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89BB9" w14:textId="77777777" w:rsidR="00D008BE" w:rsidRDefault="00ED46EF" w:rsidP="002E3615">
      <w:pPr>
        <w:rPr>
          <w:b/>
        </w:rPr>
      </w:pPr>
      <w:r>
        <w:rPr>
          <w:b/>
        </w:rPr>
        <w:t xml:space="preserve"> </w:t>
      </w:r>
    </w:p>
    <w:p w14:paraId="4FBABFA7" w14:textId="77777777" w:rsidR="00D008BE" w:rsidRDefault="00D008BE" w:rsidP="002E3615">
      <w:pPr>
        <w:rPr>
          <w:b/>
        </w:rPr>
      </w:pPr>
    </w:p>
    <w:p w14:paraId="4A575364" w14:textId="77777777" w:rsidR="002E3615" w:rsidRDefault="00ED46EF" w:rsidP="002E3615">
      <w:pPr>
        <w:rPr>
          <w:b/>
        </w:rPr>
      </w:pPr>
      <w:r>
        <w:rPr>
          <w:b/>
        </w:rPr>
        <w:t xml:space="preserve">  HOTĂRÂREA NR. 1</w:t>
      </w:r>
      <w:r w:rsidR="005F4748">
        <w:rPr>
          <w:b/>
        </w:rPr>
        <w:t>3</w:t>
      </w:r>
      <w:r>
        <w:rPr>
          <w:b/>
        </w:rPr>
        <w:t xml:space="preserve">                                                         CANDIDAT  A0009</w:t>
      </w:r>
    </w:p>
    <w:p w14:paraId="1327087C" w14:textId="77777777" w:rsidR="00797E53" w:rsidRDefault="00ED46EF">
      <w:pPr>
        <w:ind w:left="-567" w:right="281" w:firstLine="709"/>
        <w:rPr>
          <w:rStyle w:val="Fontdeparagrafimplicit1"/>
          <w:b/>
        </w:rPr>
      </w:pPr>
      <w:r>
        <w:rPr>
          <w:rStyle w:val="Fontdeparagrafimplicit1"/>
          <w:rFonts w:ascii="Garamond" w:hAnsi="Garamond"/>
        </w:rPr>
        <w:t xml:space="preserve">Cod ECLI    </w:t>
      </w:r>
    </w:p>
    <w:p w14:paraId="5B7D38C3" w14:textId="77777777" w:rsidR="00797E53" w:rsidRDefault="00ED46EF">
      <w:pPr>
        <w:tabs>
          <w:tab w:val="left" w:pos="284"/>
        </w:tabs>
        <w:ind w:left="-567" w:right="281" w:firstLine="709"/>
        <w:jc w:val="both"/>
        <w:rPr>
          <w:rStyle w:val="Fontdeparagrafimplicit1"/>
          <w:b/>
        </w:rPr>
      </w:pPr>
      <w:r>
        <w:rPr>
          <w:rStyle w:val="Fontdeparagrafimplicit1"/>
          <w:b/>
        </w:rPr>
        <w:t xml:space="preserve">Dosar nr. </w:t>
      </w:r>
      <w:r w:rsidR="00BC5446">
        <w:rPr>
          <w:rStyle w:val="Fontdeparagrafimplicit1"/>
          <w:b/>
        </w:rPr>
        <w:t>............</w:t>
      </w:r>
    </w:p>
    <w:p w14:paraId="6DF78820" w14:textId="77777777" w:rsidR="00797E53" w:rsidRDefault="00ED46EF">
      <w:pPr>
        <w:widowControl w:val="0"/>
        <w:tabs>
          <w:tab w:val="left" w:pos="284"/>
        </w:tabs>
        <w:ind w:left="-567" w:right="281" w:firstLine="709"/>
        <w:jc w:val="center"/>
        <w:rPr>
          <w:rStyle w:val="Fontdeparagrafimplicit1"/>
          <w:b/>
        </w:rPr>
      </w:pPr>
      <w:r>
        <w:rPr>
          <w:rStyle w:val="Fontdeparagrafimplicit1"/>
          <w:b/>
        </w:rPr>
        <w:t>ROMÂNIA</w:t>
      </w:r>
    </w:p>
    <w:p w14:paraId="4C2E140F" w14:textId="77777777" w:rsidR="00797E53" w:rsidRDefault="00ED46EF">
      <w:pPr>
        <w:widowControl w:val="0"/>
        <w:tabs>
          <w:tab w:val="left" w:pos="284"/>
        </w:tabs>
        <w:ind w:left="-567" w:right="281" w:firstLine="709"/>
        <w:jc w:val="center"/>
        <w:rPr>
          <w:rStyle w:val="Fontdeparagrafimplicit1"/>
          <w:b/>
        </w:rPr>
      </w:pPr>
      <w:r>
        <w:rPr>
          <w:rStyle w:val="Fontdeparagrafimplicit1"/>
          <w:b/>
        </w:rPr>
        <w:t xml:space="preserve">CURTEA DE APEL </w:t>
      </w:r>
      <w:r w:rsidR="00BC5446">
        <w:rPr>
          <w:rStyle w:val="Fontdeparagrafimplicit1"/>
          <w:b/>
        </w:rPr>
        <w:t>............</w:t>
      </w:r>
    </w:p>
    <w:p w14:paraId="1EC45499" w14:textId="77777777" w:rsidR="00797E53" w:rsidRDefault="00ED46EF">
      <w:pPr>
        <w:widowControl w:val="0"/>
        <w:tabs>
          <w:tab w:val="left" w:pos="284"/>
        </w:tabs>
        <w:ind w:left="-567" w:right="281" w:firstLine="709"/>
        <w:jc w:val="center"/>
        <w:rPr>
          <w:rStyle w:val="Fontdeparagrafimplicit1"/>
          <w:b/>
        </w:rPr>
      </w:pPr>
      <w:r>
        <w:rPr>
          <w:rStyle w:val="Fontdeparagrafimplicit1"/>
          <w:b/>
        </w:rPr>
        <w:t xml:space="preserve">SECŢIA </w:t>
      </w:r>
      <w:r w:rsidR="00BC5446">
        <w:rPr>
          <w:rStyle w:val="Fontdeparagrafimplicit1"/>
          <w:b/>
        </w:rPr>
        <w:t>............</w:t>
      </w:r>
      <w:r>
        <w:rPr>
          <w:rStyle w:val="Fontdeparagrafimplicit1"/>
          <w:b/>
        </w:rPr>
        <w:t>CONTENCIOS ADMINISTRATIV şi FISCAL</w:t>
      </w:r>
    </w:p>
    <w:p w14:paraId="6CEE408E" w14:textId="77777777" w:rsidR="00797E53" w:rsidRDefault="00ED46EF">
      <w:pPr>
        <w:tabs>
          <w:tab w:val="left" w:pos="284"/>
          <w:tab w:val="center" w:pos="4646"/>
          <w:tab w:val="left" w:pos="5910"/>
        </w:tabs>
        <w:ind w:left="-567" w:right="281" w:firstLine="709"/>
        <w:jc w:val="center"/>
        <w:rPr>
          <w:rStyle w:val="Fontdeparagrafimplicit1"/>
          <w:b/>
        </w:rPr>
      </w:pPr>
      <w:r>
        <w:rPr>
          <w:rStyle w:val="Fontdeparagrafimplicit1"/>
          <w:b/>
        </w:rPr>
        <w:t>Decizia civilă nr...........</w:t>
      </w:r>
    </w:p>
    <w:p w14:paraId="0B2F72A9" w14:textId="77777777" w:rsidR="00797E53" w:rsidRDefault="00ED46EF">
      <w:pPr>
        <w:tabs>
          <w:tab w:val="left" w:pos="284"/>
        </w:tabs>
        <w:ind w:left="-567" w:right="281" w:firstLine="709"/>
        <w:jc w:val="center"/>
        <w:rPr>
          <w:rStyle w:val="Fontdeparagrafimplicit1"/>
          <w:b/>
        </w:rPr>
      </w:pPr>
      <w:r>
        <w:rPr>
          <w:rStyle w:val="Fontdeparagrafimplicit1"/>
          <w:b/>
        </w:rPr>
        <w:t xml:space="preserve">Şedinţa publică din data de </w:t>
      </w:r>
      <w:r w:rsidR="00BC5446">
        <w:rPr>
          <w:rStyle w:val="Fontdeparagrafimplicit1"/>
          <w:b/>
        </w:rPr>
        <w:t>..............</w:t>
      </w:r>
    </w:p>
    <w:p w14:paraId="364E869A" w14:textId="77777777" w:rsidR="00797E53" w:rsidRDefault="00ED46EF">
      <w:pPr>
        <w:tabs>
          <w:tab w:val="left" w:pos="284"/>
        </w:tabs>
        <w:ind w:left="-567" w:right="281" w:firstLine="709"/>
        <w:jc w:val="center"/>
        <w:rPr>
          <w:rStyle w:val="Fontdeparagrafimplicit1"/>
          <w:b/>
        </w:rPr>
      </w:pPr>
      <w:r>
        <w:rPr>
          <w:rStyle w:val="Fontdeparagrafimplicit1"/>
          <w:b/>
        </w:rPr>
        <w:t>Curtea constituită din:</w:t>
      </w:r>
    </w:p>
    <w:p w14:paraId="7D8E872D" w14:textId="77777777" w:rsidR="00797E53" w:rsidRDefault="00ED46EF">
      <w:pPr>
        <w:tabs>
          <w:tab w:val="left" w:pos="284"/>
        </w:tabs>
        <w:ind w:left="-567" w:right="281" w:firstLine="709"/>
        <w:jc w:val="center"/>
        <w:rPr>
          <w:rStyle w:val="Fontdeparagrafimplicit1"/>
          <w:b/>
        </w:rPr>
      </w:pPr>
      <w:r>
        <w:rPr>
          <w:rStyle w:val="Fontdeparagrafimplicit1"/>
          <w:b/>
        </w:rPr>
        <w:t xml:space="preserve">Preşedinte: </w:t>
      </w:r>
      <w:r w:rsidR="00BC5446">
        <w:rPr>
          <w:rStyle w:val="Fontdeparagrafimplicit1"/>
          <w:b/>
        </w:rPr>
        <w:t>.............</w:t>
      </w:r>
    </w:p>
    <w:p w14:paraId="5FE4C341" w14:textId="77777777" w:rsidR="00797E53" w:rsidRDefault="00ED46EF">
      <w:pPr>
        <w:tabs>
          <w:tab w:val="left" w:pos="284"/>
        </w:tabs>
        <w:ind w:left="-567" w:right="281" w:firstLine="709"/>
        <w:jc w:val="center"/>
        <w:rPr>
          <w:rStyle w:val="Fontdeparagrafimplicit1"/>
          <w:b/>
        </w:rPr>
      </w:pPr>
      <w:r>
        <w:rPr>
          <w:rStyle w:val="Fontdeparagrafimplicit1"/>
          <w:b/>
        </w:rPr>
        <w:t xml:space="preserve">Judecător: </w:t>
      </w:r>
      <w:r w:rsidR="00BC5446">
        <w:rPr>
          <w:rStyle w:val="Fontdeparagrafimplicit1"/>
          <w:b/>
        </w:rPr>
        <w:t>CANDIDAT A0009</w:t>
      </w:r>
    </w:p>
    <w:p w14:paraId="662382D5" w14:textId="77777777" w:rsidR="00797E53" w:rsidRDefault="00ED46EF">
      <w:pPr>
        <w:tabs>
          <w:tab w:val="left" w:pos="284"/>
        </w:tabs>
        <w:ind w:left="-567" w:right="281" w:firstLine="709"/>
        <w:jc w:val="center"/>
        <w:rPr>
          <w:rStyle w:val="Fontdeparagrafimplicit1"/>
          <w:b/>
        </w:rPr>
      </w:pPr>
      <w:r>
        <w:rPr>
          <w:rStyle w:val="Fontdeparagrafimplicit1"/>
          <w:b/>
        </w:rPr>
        <w:t xml:space="preserve">Judecător: </w:t>
      </w:r>
      <w:r w:rsidR="00BC5446">
        <w:rPr>
          <w:rStyle w:val="Fontdeparagrafimplicit1"/>
          <w:b/>
        </w:rPr>
        <w:t>.............</w:t>
      </w:r>
    </w:p>
    <w:p w14:paraId="7B5F06A2" w14:textId="77777777" w:rsidR="00797E53" w:rsidRDefault="00ED46EF">
      <w:pPr>
        <w:tabs>
          <w:tab w:val="left" w:pos="284"/>
        </w:tabs>
        <w:ind w:left="-567" w:right="281" w:firstLine="709"/>
        <w:jc w:val="center"/>
        <w:rPr>
          <w:rStyle w:val="Fontdeparagrafimplicit1"/>
          <w:b/>
        </w:rPr>
      </w:pPr>
      <w:r>
        <w:rPr>
          <w:rStyle w:val="Fontdeparagrafimplicit1"/>
          <w:b/>
        </w:rPr>
        <w:t xml:space="preserve">Grefier: </w:t>
      </w:r>
      <w:r w:rsidR="00BC5446">
        <w:rPr>
          <w:rStyle w:val="Fontdeparagrafimplicit1"/>
          <w:b/>
        </w:rPr>
        <w:t>.............</w:t>
      </w:r>
    </w:p>
    <w:p w14:paraId="078E6C37" w14:textId="77777777" w:rsidR="00797E53" w:rsidRDefault="00797E53">
      <w:pPr>
        <w:tabs>
          <w:tab w:val="left" w:pos="284"/>
        </w:tabs>
        <w:ind w:left="-567" w:right="281" w:firstLine="709"/>
        <w:jc w:val="both"/>
        <w:rPr>
          <w:rStyle w:val="Fontdeparagrafimplicit1"/>
        </w:rPr>
      </w:pPr>
    </w:p>
    <w:p w14:paraId="7DDA3B17" w14:textId="32397F14" w:rsidR="00797E53" w:rsidRDefault="00ED46EF">
      <w:pPr>
        <w:tabs>
          <w:tab w:val="left" w:pos="284"/>
        </w:tabs>
        <w:ind w:left="-567" w:right="281" w:firstLine="709"/>
        <w:jc w:val="both"/>
        <w:rPr>
          <w:rStyle w:val="Fontdeparagrafimplicit1"/>
        </w:rPr>
      </w:pPr>
      <w:r>
        <w:t xml:space="preserve">Pe rol fiind recursurile formulate de </w:t>
      </w:r>
      <w:proofErr w:type="spellStart"/>
      <w:r>
        <w:t>recurenţii-pârâţi</w:t>
      </w:r>
      <w:proofErr w:type="spellEnd"/>
      <w:r>
        <w:t xml:space="preserve"> </w:t>
      </w:r>
      <w:r w:rsidR="00AF7A1E">
        <w:t>Consiliul</w:t>
      </w:r>
      <w:r>
        <w:t xml:space="preserve"> Municipiului </w:t>
      </w:r>
      <w:r w:rsidR="00BC5446">
        <w:t>B</w:t>
      </w:r>
      <w:r>
        <w:t xml:space="preserve"> şi </w:t>
      </w:r>
      <w:r w:rsidR="00BC5446">
        <w:t xml:space="preserve">AB </w:t>
      </w:r>
      <w:r>
        <w:t xml:space="preserve">S.R.L. împotriva sentinţei nr. </w:t>
      </w:r>
      <w:r w:rsidR="00BC5446">
        <w:t>.............</w:t>
      </w:r>
      <w:r>
        <w:t xml:space="preserve">pronunţată de Tribunalul </w:t>
      </w:r>
      <w:r w:rsidR="00BC5446">
        <w:t>............</w:t>
      </w:r>
      <w:r>
        <w:t xml:space="preserve">, Secţia </w:t>
      </w:r>
      <w:r w:rsidR="00BC5446">
        <w:t>.............</w:t>
      </w:r>
      <w:r>
        <w:t xml:space="preserve">Contencios Administrativ şi Fiscal în dosarul nr. </w:t>
      </w:r>
      <w:r w:rsidR="00BC5446">
        <w:t>............</w:t>
      </w:r>
      <w:r>
        <w:t xml:space="preserve">, în contradictoriu cu intimata – reclamantă </w:t>
      </w:r>
      <w:proofErr w:type="spellStart"/>
      <w:r w:rsidR="00BC5446">
        <w:t>Asociaţia</w:t>
      </w:r>
      <w:proofErr w:type="spellEnd"/>
      <w:r w:rsidR="00BC5446">
        <w:t xml:space="preserve"> BC </w:t>
      </w:r>
      <w:r>
        <w:t xml:space="preserve">şi intimatul – pârât Municipiul </w:t>
      </w:r>
      <w:r w:rsidR="00BC5446">
        <w:t>B</w:t>
      </w:r>
      <w:r>
        <w:t xml:space="preserve"> prin </w:t>
      </w:r>
      <w:r w:rsidR="007F2401">
        <w:t>Primar ...</w:t>
      </w:r>
      <w:r>
        <w:rPr>
          <w:rStyle w:val="Fontdeparagrafimplicit1"/>
          <w:b/>
        </w:rPr>
        <w:t xml:space="preserve">, </w:t>
      </w:r>
      <w:r>
        <w:t xml:space="preserve">cauza având ca obiect </w:t>
      </w:r>
      <w:r>
        <w:rPr>
          <w:rStyle w:val="Fontdeparagrafimplicit1"/>
          <w:i/>
        </w:rPr>
        <w:t>anulare act administrativ.</w:t>
      </w:r>
    </w:p>
    <w:p w14:paraId="3819DBA4" w14:textId="77777777" w:rsidR="00797E53" w:rsidRDefault="00ED46EF">
      <w:pPr>
        <w:tabs>
          <w:tab w:val="left" w:pos="-1418"/>
        </w:tabs>
        <w:ind w:left="-567" w:right="281" w:firstLine="709"/>
        <w:jc w:val="both"/>
      </w:pPr>
      <w:r>
        <w:t>Dezbaterile au avut loc în şedinţa publică din</w:t>
      </w:r>
      <w:r w:rsidR="00BC5446">
        <w:t>...........</w:t>
      </w:r>
      <w:r>
        <w:t xml:space="preserve">, susţinerile părţii prezente fiind consemnate în încheierea de la acea dată, care face parte din prezenta, însă Curtea, având nevoie de timp pentru a delibera, a amânat pronunţarea în mod succesiv până la data de </w:t>
      </w:r>
      <w:r w:rsidR="00BC5446">
        <w:t>..............</w:t>
      </w:r>
      <w:r>
        <w:t xml:space="preserve">, când s-au hotărât următoarele: </w:t>
      </w:r>
    </w:p>
    <w:p w14:paraId="530BE6D6" w14:textId="77777777" w:rsidR="00797E53" w:rsidRDefault="00797E53">
      <w:pPr>
        <w:tabs>
          <w:tab w:val="left" w:pos="284"/>
        </w:tabs>
        <w:ind w:left="-567" w:right="281" w:firstLine="709"/>
        <w:jc w:val="center"/>
        <w:rPr>
          <w:rStyle w:val="Fontdeparagrafimplicit1"/>
          <w:b/>
        </w:rPr>
      </w:pPr>
    </w:p>
    <w:p w14:paraId="0AA38BCB" w14:textId="77777777" w:rsidR="00797E53" w:rsidRDefault="00ED46EF">
      <w:pPr>
        <w:tabs>
          <w:tab w:val="left" w:pos="284"/>
        </w:tabs>
        <w:ind w:left="-567" w:right="281" w:firstLine="709"/>
        <w:jc w:val="center"/>
        <w:rPr>
          <w:rStyle w:val="Fontdeparagrafimplicit1"/>
          <w:b/>
        </w:rPr>
      </w:pPr>
      <w:r>
        <w:rPr>
          <w:rStyle w:val="Fontdeparagrafimplicit1"/>
          <w:b/>
        </w:rPr>
        <w:t xml:space="preserve">CURTEA, </w:t>
      </w:r>
    </w:p>
    <w:p w14:paraId="3F369B60" w14:textId="77777777" w:rsidR="00797E53" w:rsidRDefault="00797E53">
      <w:pPr>
        <w:tabs>
          <w:tab w:val="left" w:pos="284"/>
        </w:tabs>
        <w:ind w:left="-567" w:right="281" w:firstLine="709"/>
        <w:rPr>
          <w:rStyle w:val="Fontdeparagrafimplicit1"/>
          <w:b/>
        </w:rPr>
      </w:pPr>
    </w:p>
    <w:p w14:paraId="2CF3874B" w14:textId="77777777" w:rsidR="00797E53" w:rsidRDefault="00ED46EF">
      <w:pPr>
        <w:tabs>
          <w:tab w:val="left" w:pos="284"/>
        </w:tabs>
        <w:ind w:left="-567" w:right="281" w:firstLine="709"/>
        <w:jc w:val="both"/>
        <w:rPr>
          <w:rStyle w:val="Fontdeparagrafimplicit1"/>
          <w:b/>
          <w:i/>
        </w:rPr>
      </w:pPr>
      <w:r>
        <w:rPr>
          <w:rStyle w:val="Fontdeparagrafimplicit1"/>
          <w:b/>
          <w:i/>
        </w:rPr>
        <w:t>Deliberând asupra recursului de faţă, constată următoarele:</w:t>
      </w:r>
    </w:p>
    <w:p w14:paraId="159A24C9" w14:textId="77777777" w:rsidR="00797E53" w:rsidRDefault="00797E53">
      <w:pPr>
        <w:ind w:left="-567" w:right="281" w:firstLine="709"/>
        <w:jc w:val="both"/>
        <w:rPr>
          <w:rStyle w:val="Fontdeparagrafimplicit1"/>
          <w:b/>
        </w:rPr>
      </w:pPr>
    </w:p>
    <w:p w14:paraId="5581F302" w14:textId="77777777" w:rsidR="00797E53" w:rsidRDefault="00ED46EF">
      <w:pPr>
        <w:numPr>
          <w:ilvl w:val="0"/>
          <w:numId w:val="9"/>
        </w:numPr>
        <w:ind w:left="-567" w:right="281" w:firstLine="709"/>
        <w:contextualSpacing/>
        <w:jc w:val="both"/>
        <w:rPr>
          <w:rStyle w:val="Fontdeparagrafimplicit1"/>
        </w:rPr>
      </w:pPr>
      <w:r>
        <w:rPr>
          <w:rStyle w:val="Fontdeparagrafimplicit1"/>
          <w:b/>
        </w:rPr>
        <w:t>Obiectul acţiunii.</w:t>
      </w:r>
    </w:p>
    <w:p w14:paraId="75547235" w14:textId="77777777" w:rsidR="00797E53" w:rsidRDefault="00797E53">
      <w:pPr>
        <w:ind w:left="-567" w:right="281" w:firstLine="709"/>
        <w:jc w:val="both"/>
        <w:rPr>
          <w:rStyle w:val="Fontdeparagrafimplicit1"/>
        </w:rPr>
      </w:pPr>
    </w:p>
    <w:p w14:paraId="43AE5D54" w14:textId="784C316F" w:rsidR="00797E53" w:rsidRDefault="00ED46EF">
      <w:pPr>
        <w:ind w:left="-567" w:right="281" w:firstLine="709"/>
        <w:jc w:val="both"/>
      </w:pPr>
      <w:r>
        <w:t xml:space="preserve">Prin cererea înregistrată pe rolul Tribunalului </w:t>
      </w:r>
      <w:r w:rsidR="00BC5446">
        <w:t>............</w:t>
      </w:r>
      <w:r>
        <w:t xml:space="preserve"> - Secţia </w:t>
      </w:r>
      <w:r w:rsidR="00BC5446">
        <w:t>..............</w:t>
      </w:r>
      <w:r>
        <w:t xml:space="preserve">contencios administrativ şi fiscal la data de 30.08.2019, sub nr. </w:t>
      </w:r>
      <w:r w:rsidR="00BC5446">
        <w:t>..............</w:t>
      </w:r>
      <w:r>
        <w:t xml:space="preserve">, reclamanta </w:t>
      </w:r>
      <w:proofErr w:type="spellStart"/>
      <w:r>
        <w:t>Asociaţia</w:t>
      </w:r>
      <w:proofErr w:type="spellEnd"/>
      <w:r>
        <w:t xml:space="preserve"> </w:t>
      </w:r>
      <w:r w:rsidR="00BC5446">
        <w:t>BC</w:t>
      </w:r>
      <w:r>
        <w:t xml:space="preserve">, în contradictoriu cu pârâţii </w:t>
      </w:r>
      <w:r w:rsidR="00AF7A1E">
        <w:t>Consiliul</w:t>
      </w:r>
      <w:r>
        <w:t xml:space="preserve"> Municipiului </w:t>
      </w:r>
      <w:r w:rsidR="00BC5446">
        <w:t>B</w:t>
      </w:r>
      <w:r>
        <w:t xml:space="preserve">, Municipiul </w:t>
      </w:r>
      <w:r w:rsidR="00BC5446">
        <w:t>B</w:t>
      </w:r>
      <w:r>
        <w:t>, prin Primarul ...</w:t>
      </w:r>
      <w:r>
        <w:t xml:space="preserve">, şi </w:t>
      </w:r>
      <w:r w:rsidR="00BC5446">
        <w:t xml:space="preserve">AB </w:t>
      </w:r>
      <w:r>
        <w:t xml:space="preserve">S.R.L., a solicitat anularea Hotărârii </w:t>
      </w:r>
      <w:r w:rsidR="00AF7A1E">
        <w:t>Consiliului</w:t>
      </w:r>
      <w:r>
        <w:t xml:space="preserve"> Municipiului </w:t>
      </w:r>
      <w:r w:rsidR="00BC5446">
        <w:t>B</w:t>
      </w:r>
      <w:r>
        <w:t xml:space="preserve"> nr. </w:t>
      </w:r>
      <w:r w:rsidR="00BC5446">
        <w:t>.........</w:t>
      </w:r>
      <w:r>
        <w:t xml:space="preserve">/14.06.2018 privind aprobarea Planului Urbanistic Zonal (P.U.Z.) Strada </w:t>
      </w:r>
      <w:r w:rsidR="00BC5446">
        <w:t>..........</w:t>
      </w:r>
      <w:r>
        <w:t xml:space="preserve">, </w:t>
      </w:r>
      <w:r w:rsidR="00BC5446">
        <w:t>........</w:t>
      </w:r>
      <w:r>
        <w:t xml:space="preserve">, </w:t>
      </w:r>
      <w:r w:rsidR="00BC5446">
        <w:t>B.</w:t>
      </w:r>
    </w:p>
    <w:p w14:paraId="133F45F2" w14:textId="77777777" w:rsidR="00797E53" w:rsidRDefault="00797E53">
      <w:pPr>
        <w:ind w:left="-567" w:right="281" w:firstLine="709"/>
        <w:jc w:val="both"/>
        <w:rPr>
          <w:rStyle w:val="Fontdeparagrafimplicit1"/>
          <w:b/>
        </w:rPr>
      </w:pPr>
    </w:p>
    <w:p w14:paraId="7D6B1400" w14:textId="77777777" w:rsidR="00797E53" w:rsidRDefault="00ED46EF">
      <w:pPr>
        <w:numPr>
          <w:ilvl w:val="0"/>
          <w:numId w:val="9"/>
        </w:numPr>
        <w:ind w:left="-567" w:right="281" w:firstLine="709"/>
        <w:contextualSpacing/>
        <w:jc w:val="both"/>
        <w:rPr>
          <w:rStyle w:val="Fontdeparagrafimplicit1"/>
          <w:b/>
        </w:rPr>
      </w:pPr>
      <w:r>
        <w:rPr>
          <w:rStyle w:val="Fontdeparagrafimplicit1"/>
          <w:b/>
        </w:rPr>
        <w:t>Sentinţa supusă recursului.</w:t>
      </w:r>
    </w:p>
    <w:p w14:paraId="0FEB41F5" w14:textId="77777777" w:rsidR="00797E53" w:rsidRDefault="00797E53">
      <w:pPr>
        <w:ind w:left="-567" w:right="281" w:firstLine="709"/>
        <w:jc w:val="both"/>
        <w:rPr>
          <w:rStyle w:val="Fontdeparagrafimplicit1"/>
        </w:rPr>
      </w:pPr>
    </w:p>
    <w:p w14:paraId="4F4E1484" w14:textId="1E9774A3" w:rsidR="00797E53" w:rsidRDefault="00ED46EF">
      <w:pPr>
        <w:ind w:left="-567" w:right="281" w:firstLine="709"/>
        <w:jc w:val="both"/>
      </w:pPr>
      <w:r>
        <w:t xml:space="preserve">Prin sentinţa civilă nr. </w:t>
      </w:r>
      <w:r w:rsidR="00BC5446">
        <w:t>..........</w:t>
      </w:r>
      <w:r>
        <w:t xml:space="preserve">, Tribunalul </w:t>
      </w:r>
      <w:r w:rsidR="00BC5446">
        <w:t>............</w:t>
      </w:r>
      <w:r>
        <w:t xml:space="preserve"> a admis acţiunea, cu consecinţa anulării Hotărârii </w:t>
      </w:r>
      <w:r w:rsidR="00AF7A1E">
        <w:t>Consiliului</w:t>
      </w:r>
      <w:r>
        <w:t xml:space="preserve"> </w:t>
      </w:r>
      <w:r w:rsidR="00BC5446">
        <w:t xml:space="preserve">Municipiului B </w:t>
      </w:r>
      <w:r>
        <w:t xml:space="preserve">nr. </w:t>
      </w:r>
      <w:r w:rsidR="00BC5446">
        <w:t>.........</w:t>
      </w:r>
      <w:r>
        <w:t xml:space="preserve">/14.06.2018 privind aprobarea Planului Urbanistic Zonal (P.U.Z.) Strada </w:t>
      </w:r>
      <w:r w:rsidR="00BC5446">
        <w:t>......... nr........</w:t>
      </w:r>
      <w:r>
        <w:t xml:space="preserve">, </w:t>
      </w:r>
      <w:r w:rsidR="00BC5446">
        <w:t xml:space="preserve">......... </w:t>
      </w:r>
      <w:r>
        <w:t xml:space="preserve">, </w:t>
      </w:r>
      <w:r w:rsidR="00BC5446">
        <w:t>B</w:t>
      </w:r>
    </w:p>
    <w:p w14:paraId="0175F4DB" w14:textId="77777777" w:rsidR="00797E53" w:rsidRDefault="00ED46EF">
      <w:pPr>
        <w:ind w:left="-567" w:right="281" w:firstLine="709"/>
        <w:jc w:val="both"/>
        <w:rPr>
          <w:rStyle w:val="Fontdeparagrafimplicit1"/>
          <w:i/>
        </w:rPr>
      </w:pPr>
      <w:r>
        <w:t xml:space="preserve">Pentru a pronunţa această soluţie, prima instanţă a reţinut, în esenţă, că Planul Urbanistic Zonal </w:t>
      </w:r>
      <w:r w:rsidR="00BC5446">
        <w:t>Strada ......... nr......., .........</w:t>
      </w:r>
      <w:r>
        <w:t xml:space="preserve">, </w:t>
      </w:r>
      <w:r w:rsidR="00BC5446">
        <w:t>............</w:t>
      </w:r>
      <w:r>
        <w:t xml:space="preserve"> a fost emis pentru un singur lot de teren cu un singur proprietar, deşi zona vizată nu este caracterizată printr-un grad ridicat de complexitate sau printr-o dinamică urbană accentuată, astfel cum impune art. 47 alin. 1 din Legea nr. 350/2001.</w:t>
      </w:r>
    </w:p>
    <w:p w14:paraId="253F346D" w14:textId="77777777" w:rsidR="00797E53" w:rsidRDefault="00ED46EF">
      <w:pPr>
        <w:ind w:left="-567" w:right="281" w:firstLine="709"/>
        <w:jc w:val="both"/>
      </w:pPr>
      <w:r>
        <w:t xml:space="preserve">În continuare, prima instanţă a notat că, în raport de înscrisurile depuse de părţi, indicatorii urbanistici aprobaţi prin P.U.Z. </w:t>
      </w:r>
      <w:r w:rsidR="00BC5446">
        <w:t>......... nr........</w:t>
      </w:r>
      <w:r>
        <w:t xml:space="preserve"> nu asigură o dezvoltare urbană integrată şi nu se corelează cu prevederile P.U.G..</w:t>
      </w:r>
    </w:p>
    <w:p w14:paraId="04CAFC4A" w14:textId="77777777" w:rsidR="00797E53" w:rsidRDefault="00ED46EF">
      <w:pPr>
        <w:ind w:left="-567" w:right="281" w:firstLine="709"/>
        <w:jc w:val="both"/>
      </w:pPr>
      <w:r>
        <w:t xml:space="preserve">Concret, s-a observat că prin P.U.Z. </w:t>
      </w:r>
      <w:r w:rsidR="00BC5446">
        <w:t>......... nr........</w:t>
      </w:r>
      <w:r>
        <w:t xml:space="preserve"> Lot 2 se încalcă R.L.U. aferent P.U.G. al Municipiului</w:t>
      </w:r>
      <w:r w:rsidR="0019625B">
        <w:t xml:space="preserve"> B</w:t>
      </w:r>
      <w:r>
        <w:t xml:space="preserve">, în ceea ce priveşte necorelarea înălţimii maxime admise în raport cu lăţimea străzii din care se asigură accesul la proprietatea ce se intenţionează a se construi. </w:t>
      </w:r>
    </w:p>
    <w:p w14:paraId="7A3D54D2" w14:textId="77777777" w:rsidR="00797E53" w:rsidRDefault="00ED46EF">
      <w:pPr>
        <w:ind w:left="-567" w:right="281" w:firstLine="709"/>
        <w:jc w:val="both"/>
      </w:pPr>
      <w:r>
        <w:lastRenderedPageBreak/>
        <w:t xml:space="preserve">Astfel, lăţimea străzii </w:t>
      </w:r>
      <w:r w:rsidR="0019625B">
        <w:t xml:space="preserve">......... </w:t>
      </w:r>
      <w:r>
        <w:t xml:space="preserve"> fiind de maxim 11 m, incluzând trotuarele, potrivit art. 10 din R.L.U. aferent P.U.G. al </w:t>
      </w:r>
      <w:r w:rsidR="0019625B">
        <w:t>Municipiului B</w:t>
      </w:r>
      <w:r>
        <w:t>, înălţimea maximă admisă a clădirilor în subzona CB1 este de 11 m, respectiv P+2E+M, cu posibilitatea de suplimentare cu un nivel, ţinându-se cont de volumetria străzii şi a celor 4 clădiri ce se preconizează a se construi.</w:t>
      </w:r>
    </w:p>
    <w:p w14:paraId="1DEBEBBF" w14:textId="77777777" w:rsidR="00797E53" w:rsidRDefault="00ED46EF">
      <w:pPr>
        <w:ind w:left="-567" w:right="281" w:firstLine="709"/>
        <w:jc w:val="both"/>
      </w:pPr>
      <w:r>
        <w:t xml:space="preserve">Chiar daca s-ar fi acceptat teza propusă de pârâţi, în sensul că elaborarea P.U.Z. era obligatorie potrivit legii, fiind vorba de o parcela în suprafaţă de peste 8000 mp, iar P.U.Z.-ul  nu este un document ce reglementează o zonă ce cuprinde mai multe parcele, ci este un document care reglementează regimul urbanistic al unei parcele prin raportare la zonă, judecătorul fondului a apreciat ca fiind corecte afirmaţiile reclamantei, potrivit cărora ca P.U.Z. centrat pe parcela </w:t>
      </w:r>
      <w:r w:rsidR="00BC5446">
        <w:t>......... nr........</w:t>
      </w:r>
      <w:r>
        <w:t xml:space="preserve"> putea fi elaborat pentru zona L2a, pentru un regim de înălţime maxim P+2E, iar nu pentru un regim de înălţime P+5E.</w:t>
      </w:r>
    </w:p>
    <w:p w14:paraId="7EBFCC62" w14:textId="77777777" w:rsidR="00797E53" w:rsidRDefault="00ED46EF">
      <w:pPr>
        <w:ind w:left="-567" w:right="281" w:firstLine="709"/>
        <w:jc w:val="both"/>
      </w:pPr>
      <w:r>
        <w:t xml:space="preserve">În sfârşit, Tribunalul a găsit ca fiind întemeiat şi motivul de nelegalitate referitor la diminuarea nelegală a suprafețelor spațiilor verzi, respectiv  nealocarea unei suprafeţe de 20 mp spaţiu verde pentru fiecare locuitor care va locui în imobilele respective. </w:t>
      </w:r>
    </w:p>
    <w:p w14:paraId="1F10CF2E" w14:textId="77777777" w:rsidR="00797E53" w:rsidRDefault="00797E53">
      <w:pPr>
        <w:ind w:left="-567" w:right="281" w:firstLine="709"/>
        <w:jc w:val="both"/>
        <w:rPr>
          <w:rStyle w:val="Fontdeparagrafimplicit1"/>
          <w:color w:val="FF0000"/>
        </w:rPr>
      </w:pPr>
    </w:p>
    <w:p w14:paraId="62E8C9B0" w14:textId="77777777" w:rsidR="00797E53" w:rsidRDefault="00ED46EF">
      <w:pPr>
        <w:numPr>
          <w:ilvl w:val="0"/>
          <w:numId w:val="9"/>
        </w:numPr>
        <w:ind w:left="-567" w:right="281" w:firstLine="709"/>
        <w:contextualSpacing/>
        <w:jc w:val="both"/>
        <w:rPr>
          <w:rStyle w:val="Fontdeparagrafimplicit1"/>
          <w:b/>
        </w:rPr>
      </w:pPr>
      <w:r>
        <w:rPr>
          <w:rStyle w:val="Fontdeparagrafimplicit1"/>
          <w:b/>
        </w:rPr>
        <w:t>Calea de atac.</w:t>
      </w:r>
    </w:p>
    <w:p w14:paraId="178E44B3" w14:textId="77777777" w:rsidR="00797E53" w:rsidRDefault="00797E53">
      <w:pPr>
        <w:ind w:left="-567" w:right="281" w:firstLine="709"/>
        <w:jc w:val="both"/>
        <w:rPr>
          <w:rStyle w:val="Fontdeparagrafimplicit1"/>
        </w:rPr>
      </w:pPr>
    </w:p>
    <w:p w14:paraId="47EE3FBF" w14:textId="77777777" w:rsidR="00797E53" w:rsidRDefault="00ED46EF">
      <w:pPr>
        <w:numPr>
          <w:ilvl w:val="1"/>
          <w:numId w:val="9"/>
        </w:numPr>
        <w:ind w:left="-567" w:right="281" w:firstLine="709"/>
        <w:contextualSpacing/>
        <w:jc w:val="both"/>
      </w:pPr>
      <w:r>
        <w:t xml:space="preserve"> Împotriva hotărârii, a declarat recurs </w:t>
      </w:r>
      <w:r w:rsidR="00BC5446">
        <w:rPr>
          <w:rStyle w:val="Fontdeparagrafimplicit1"/>
          <w:b/>
        </w:rPr>
        <w:t>AB</w:t>
      </w:r>
      <w:r w:rsidR="0019625B">
        <w:rPr>
          <w:rStyle w:val="Fontdeparagrafimplicit1"/>
          <w:b/>
        </w:rPr>
        <w:t xml:space="preserve"> </w:t>
      </w:r>
      <w:r>
        <w:rPr>
          <w:rStyle w:val="Fontdeparagrafimplicit1"/>
          <w:b/>
        </w:rPr>
        <w:t>S.R.L.</w:t>
      </w:r>
      <w:r>
        <w:t>, solicitând admiterea căii de atac, casarea sentinţei şi, în urma rejudecării, respingerea acţiunii, ca nefondată.</w:t>
      </w:r>
    </w:p>
    <w:p w14:paraId="1A106F7C" w14:textId="77777777" w:rsidR="00797E53" w:rsidRDefault="00ED46EF">
      <w:pPr>
        <w:ind w:left="-567" w:right="281" w:firstLine="709"/>
        <w:contextualSpacing/>
        <w:jc w:val="both"/>
      </w:pPr>
      <w:r>
        <w:t xml:space="preserve">În motivarea căii de atac, recurenta a dezvoltat următoarele critici: </w:t>
      </w:r>
    </w:p>
    <w:p w14:paraId="0391AD82" w14:textId="77777777" w:rsidR="00797E53" w:rsidRDefault="00ED46EF">
      <w:pPr>
        <w:numPr>
          <w:ilvl w:val="0"/>
          <w:numId w:val="10"/>
        </w:numPr>
        <w:ind w:left="-567" w:right="281" w:firstLine="709"/>
        <w:contextualSpacing/>
        <w:jc w:val="both"/>
      </w:pPr>
      <w:r>
        <w:t xml:space="preserve">un prim aspect pe care judecătorul fondului avea obligaţia să îl verifice după casarea cu trimitere, era dacă, în raport de Decizia nr. 8/2020, </w:t>
      </w:r>
      <w:r w:rsidR="00BC5446">
        <w:t>Asociaţia BC</w:t>
      </w:r>
      <w:r w:rsidR="0019625B">
        <w:t xml:space="preserve"> </w:t>
      </w:r>
      <w:r>
        <w:t xml:space="preserve">justifică un interes sau dacă are calitate procesuală activă pentru promovarea acţiunii, cu atât mai mult cu cât nu există dovada faptului că, în raport de statutul său, avea abilitarea necesară pentru întreprinderea unui astfel de demers procesual; </w:t>
      </w:r>
    </w:p>
    <w:p w14:paraId="06BA1651" w14:textId="77777777" w:rsidR="00797E53" w:rsidRDefault="00ED46EF">
      <w:pPr>
        <w:numPr>
          <w:ilvl w:val="0"/>
          <w:numId w:val="10"/>
        </w:numPr>
        <w:ind w:left="-567" w:right="281" w:firstLine="709"/>
        <w:contextualSpacing/>
        <w:jc w:val="both"/>
      </w:pPr>
      <w:r>
        <w:t>prima instanţă a făcut o trimitere lapidară la dispoziţiile legale menţionate în cuprinsul acţiunii, fără să efectueze un examen critic al incidenţei în cauză a acestor prevederi şi fără să dezvolte argumente legale şi logice, limitându-se la a concluziona că susţinerile reclamantei sunt întemeiate; prima instanţă nu a manifestat vreo preocupare în ceea ce priveşte combaterea argumentelor expuse în cuprinsul apărărilor formulate;</w:t>
      </w:r>
    </w:p>
    <w:p w14:paraId="2BF6DCD8" w14:textId="77777777" w:rsidR="00797E53" w:rsidRDefault="00ED46EF">
      <w:pPr>
        <w:numPr>
          <w:ilvl w:val="0"/>
          <w:numId w:val="10"/>
        </w:numPr>
        <w:ind w:left="-567" w:right="281" w:firstLine="709"/>
        <w:contextualSpacing/>
        <w:jc w:val="both"/>
      </w:pPr>
      <w:r>
        <w:t xml:space="preserve">argumentul primei instanţe, în sensul că nu era necesară emiterea unui P.U.Z. întrucât zona vizată de acesta nu se caracterizează printr-un grad ridicat de complexitate sau printr-o dinamică urbană accentuată, este eronat de vreme ce, pe de-o parte terenul din strada </w:t>
      </w:r>
      <w:r w:rsidR="0019625B">
        <w:t xml:space="preserve">......... </w:t>
      </w:r>
      <w:r>
        <w:t xml:space="preserve"> are o suprafaţă de peste 8.000 m.p., iar, pe de altă parte, potrivit prevederilor R.L.U. aferent P.U.G. al </w:t>
      </w:r>
      <w:r w:rsidR="0019625B">
        <w:t>Municipiului B</w:t>
      </w:r>
      <w:r>
        <w:t>, întocmirea unui P.U.Z. este obligatorie în cazul parcelelor de peste 3.000 m.p.;</w:t>
      </w:r>
    </w:p>
    <w:p w14:paraId="388325E2" w14:textId="77777777" w:rsidR="00797E53" w:rsidRDefault="00ED46EF">
      <w:pPr>
        <w:numPr>
          <w:ilvl w:val="0"/>
          <w:numId w:val="10"/>
        </w:numPr>
        <w:ind w:left="-567" w:right="281" w:firstLine="709"/>
        <w:contextualSpacing/>
        <w:jc w:val="both"/>
      </w:pPr>
      <w:r>
        <w:t>este eronat considerentul în cuprinsul căruia se reţine că P.U.Z. a fost emis pentru un singur lot de teren, o astfel de judecată ignoră raportul care există între zona studiată prin P.U.Z. şi zona reglementată prin acesta; cu alte cuvinte, prin intermediul P.U.Z., se realizează, în acord cu prevederile art. 47 alin. 1 din Legea nr. 350/2001, o coordonare integrată a zonei vizate de acesta în cadrul zonei studiate; în cauză, zona de studiu avută în vedere la întocmirea P.U.Z. nu se limitează la o parcelă, c</w:t>
      </w:r>
      <w:r>
        <w:t xml:space="preserve">um în mod greşit a reţinut judecătorul fondului, ci include întregul Parc </w:t>
      </w:r>
      <w:r w:rsidR="00C5232C">
        <w:t>............</w:t>
      </w:r>
      <w:r>
        <w:t>, dar şi imobilele care se învecinează cu imobilul recurentei;</w:t>
      </w:r>
    </w:p>
    <w:p w14:paraId="1A5119A8" w14:textId="427D1A33" w:rsidR="00797E53" w:rsidRDefault="00ED46EF">
      <w:pPr>
        <w:numPr>
          <w:ilvl w:val="0"/>
          <w:numId w:val="10"/>
        </w:numPr>
        <w:ind w:left="-567" w:right="281" w:firstLine="709"/>
        <w:contextualSpacing/>
        <w:jc w:val="both"/>
      </w:pPr>
      <w:r>
        <w:t xml:space="preserve">cât priveşte considerentul referitor la nealocarea unei suprafeţe de 20 mp spaţiu verde pentru fiecare locuitor care va locui în imobilul ce se va construi pe terenul din strada </w:t>
      </w:r>
      <w:r w:rsidR="00BC5446">
        <w:t>......... nr........</w:t>
      </w:r>
      <w:r>
        <w:t xml:space="preserve">, sub un prim aspect, se observă că acesta nu este motivat, iar, sub un al doilea aspect, se impune a se constata că este eronat, de vreme ce, potrivit art. 13 al Anexei 3 la </w:t>
      </w:r>
      <w:r w:rsidR="00AF7A1E">
        <w:t>H.C.M.</w:t>
      </w:r>
      <w:r>
        <w:t xml:space="preserve"> nr. </w:t>
      </w:r>
      <w:r w:rsidR="00BC5446">
        <w:t>.........</w:t>
      </w:r>
      <w:r>
        <w:t>/2018, spaţiul verde pe sol natural urmează a fi în suprafaţă de aproximativ 1.750 m.p., respectiv 20% din suprafaţă, la care se adaugă spaţiul verde de pe terase în suprafaţă de aproximativ 920,50 m.p., adică 10% din suprafaţă; de altfel, referitor al îndeplinirea condiţiei de a se asigura un minim de 20 m.p. spaţiu verde pe cap de locuitor, se impune a se constat că examinarea acesteia este prematură, întrucât îndeplinirea condiţiei urmează a fi avută în vedere la momentul construirii, neput</w:t>
      </w:r>
      <w:r>
        <w:t xml:space="preserve">ându-se determina în concret anterior obţinerii autorizaţiei de </w:t>
      </w:r>
      <w:r>
        <w:lastRenderedPageBreak/>
        <w:t>construire aferente proiectului propriu – zis numărul de persoane ce urmează a locui în cadrul imobilului.</w:t>
      </w:r>
    </w:p>
    <w:p w14:paraId="3452119B" w14:textId="77777777" w:rsidR="00797E53" w:rsidRDefault="00ED46EF">
      <w:pPr>
        <w:ind w:left="-567" w:right="281" w:firstLine="709"/>
        <w:contextualSpacing/>
        <w:jc w:val="both"/>
      </w:pPr>
      <w:r>
        <w:t xml:space="preserve">În drept, au fost invocate dispoziţiile art. 488 alin. 1 pct. </w:t>
      </w:r>
      <w:r>
        <w:rPr>
          <w:rStyle w:val="Fontdeparagrafimplicit1"/>
        </w:rPr>
        <w:t>8</w:t>
      </w:r>
      <w:r>
        <w:t xml:space="preserve"> C.pr.civ.</w:t>
      </w:r>
    </w:p>
    <w:p w14:paraId="4B7A3D67" w14:textId="77777777" w:rsidR="00797E53" w:rsidRDefault="00797E53">
      <w:pPr>
        <w:ind w:left="-567" w:right="281" w:firstLine="709"/>
        <w:jc w:val="both"/>
      </w:pPr>
    </w:p>
    <w:p w14:paraId="2B9266F2" w14:textId="649845D4" w:rsidR="00797E53" w:rsidRDefault="00ED46EF">
      <w:pPr>
        <w:numPr>
          <w:ilvl w:val="1"/>
          <w:numId w:val="9"/>
        </w:numPr>
        <w:ind w:left="-567" w:right="281" w:firstLine="709"/>
        <w:contextualSpacing/>
        <w:jc w:val="both"/>
      </w:pPr>
      <w:r>
        <w:t xml:space="preserve"> Împotriva hotărârii, a declarat recurs şi </w:t>
      </w:r>
      <w:r w:rsidR="00AF7A1E">
        <w:rPr>
          <w:rStyle w:val="Fontdeparagrafimplicit1"/>
          <w:b/>
        </w:rPr>
        <w:t>Consiliul</w:t>
      </w:r>
      <w:r>
        <w:rPr>
          <w:rStyle w:val="Fontdeparagrafimplicit1"/>
          <w:b/>
        </w:rPr>
        <w:t xml:space="preserve"> </w:t>
      </w:r>
      <w:r w:rsidR="0019625B">
        <w:rPr>
          <w:rStyle w:val="Fontdeparagrafimplicit1"/>
          <w:b/>
        </w:rPr>
        <w:t>Municipiului B</w:t>
      </w:r>
      <w:r>
        <w:t>, solicitând admiterea căii de atac, casarea sentinţei şi, în urma rejudecării, respingerea, ca nefondată, a cererii de chemare în judecată.</w:t>
      </w:r>
    </w:p>
    <w:p w14:paraId="2A84132E" w14:textId="77777777" w:rsidR="00797E53" w:rsidRDefault="00ED46EF">
      <w:pPr>
        <w:ind w:left="-567" w:right="281" w:firstLine="709"/>
        <w:contextualSpacing/>
        <w:jc w:val="both"/>
      </w:pPr>
      <w:r>
        <w:t>În motivarea căii de atac, recurentul a dezvoltat următoarele critici:</w:t>
      </w:r>
    </w:p>
    <w:p w14:paraId="27E08735" w14:textId="77777777" w:rsidR="00797E53" w:rsidRDefault="00ED46EF">
      <w:pPr>
        <w:numPr>
          <w:ilvl w:val="0"/>
          <w:numId w:val="11"/>
        </w:numPr>
        <w:ind w:left="-567" w:right="281" w:firstLine="709"/>
        <w:contextualSpacing/>
        <w:jc w:val="both"/>
      </w:pPr>
      <w:r>
        <w:t xml:space="preserve">referirea la prevederile R.L.U. aferent P.U.G. al </w:t>
      </w:r>
      <w:r w:rsidR="0019625B">
        <w:t>Municipiului B</w:t>
      </w:r>
      <w:r>
        <w:t>, care impun întocmirea unui P.U.Z. pentru parcelele cu suprafaţa de peste 3.000 m.p., vine în contradicţie cu considerentul în care judecătorul fondului, deşi constată că suprafaţa parcelei este de 8.000 m.p., concluzionează că, întrucât zona vizată nu este caracterizata printr-un grad ridicat de complexitate, nu era necesară întocmirea unui P.U.Z.;</w:t>
      </w:r>
    </w:p>
    <w:p w14:paraId="6BAFB845" w14:textId="77777777" w:rsidR="00797E53" w:rsidRDefault="00ED46EF">
      <w:pPr>
        <w:numPr>
          <w:ilvl w:val="0"/>
          <w:numId w:val="11"/>
        </w:numPr>
        <w:ind w:left="-567" w:right="281" w:firstLine="709"/>
        <w:contextualSpacing/>
        <w:jc w:val="both"/>
      </w:pPr>
      <w:r>
        <w:t>din cuprinsul prevederilor art. 5.5 din Titlul I – Prescripţii Generale din R.L.U. aferent P.U.G. – M.B. rezultă că întocmirea P.U.Z. e obligatorie în cazul parcelelor de peste 3.000 m.p., astfel că este eronată concluzia că nu era necesară întocmirea unui P.U.Z.;</w:t>
      </w:r>
    </w:p>
    <w:p w14:paraId="4F3D1BDD" w14:textId="77777777" w:rsidR="00797E53" w:rsidRDefault="00ED46EF">
      <w:pPr>
        <w:numPr>
          <w:ilvl w:val="0"/>
          <w:numId w:val="11"/>
        </w:numPr>
        <w:ind w:left="-567" w:right="281" w:firstLine="709"/>
        <w:contextualSpacing/>
        <w:jc w:val="both"/>
      </w:pPr>
      <w:r>
        <w:t xml:space="preserve">având în vedere dispoziţiile art. 5.5 din Titlul I prescripţii Generale din Regulamentul Local de Urbanism aferent Planului Urbanistic General al </w:t>
      </w:r>
      <w:r w:rsidR="0019625B">
        <w:t>Municipiului B</w:t>
      </w:r>
      <w:r>
        <w:t xml:space="preserve">, este lipsită de fundament legal concluzia primei instanţe în sensul că, fiind vorba de o parcelă şi nu de o zonă, nu se putea emite un P.U.Z. pentru terenul din strada </w:t>
      </w:r>
      <w:r w:rsidR="00BC5446">
        <w:t>......... nr........</w:t>
      </w:r>
      <w:r>
        <w:t>;</w:t>
      </w:r>
    </w:p>
    <w:p w14:paraId="7662BD3B" w14:textId="77777777" w:rsidR="00797E53" w:rsidRDefault="00ED46EF">
      <w:pPr>
        <w:numPr>
          <w:ilvl w:val="0"/>
          <w:numId w:val="11"/>
        </w:numPr>
        <w:ind w:left="-567" w:right="281" w:firstLine="709"/>
        <w:contextualSpacing/>
        <w:jc w:val="both"/>
      </w:pPr>
      <w:r>
        <w:t>greşit a stabilit  judecătorul fondului că, dată fiind lăţimea străzii de 11 m, înălţimea maximă admisă a clădirilor în subzona CB1 este de 11 m, respectiv P+2E+M, cu posibilitatea de suplimentare cu un nivel; în realitate, lăţimea străzii este de 11,83 m, dimensiune ce permite un regim maxim de înălţime de P+3, cu posibilitatea de suplimentare cu 2 niveluri, ceea ce, practic, s-a aprobat prin P.U.Z.;</w:t>
      </w:r>
    </w:p>
    <w:p w14:paraId="4502795E" w14:textId="77777777" w:rsidR="00797E53" w:rsidRDefault="00ED46EF">
      <w:pPr>
        <w:numPr>
          <w:ilvl w:val="0"/>
          <w:numId w:val="11"/>
        </w:numPr>
        <w:ind w:left="-567" w:right="281" w:firstLine="709"/>
        <w:contextualSpacing/>
        <w:jc w:val="both"/>
      </w:pPr>
      <w:r>
        <w:t>în mod eronat s-a apreciat ca fiind fondată critica referitoare la nealocarea unei suprafeţe de 20 de m.p. spaţiu verde pentru fiecare locuitor care va locui în imobilul ce se intenţionează a se construi, în condiţiile în care documentaţia de urbanism atacată nu se prevede câte persoane urmează să locuiască în viitoarele imobile; de altfel, se impune a fi observat că judecătorul fondului a preluat acest argument integral din cuprinsul acţiunii.</w:t>
      </w:r>
    </w:p>
    <w:p w14:paraId="0AF6EB96" w14:textId="77777777" w:rsidR="00797E53" w:rsidRDefault="00ED46EF">
      <w:pPr>
        <w:ind w:left="-567" w:right="281" w:firstLine="709"/>
        <w:contextualSpacing/>
        <w:jc w:val="both"/>
      </w:pPr>
      <w:r>
        <w:t>În drept, au fost invocate dispoziţiile art. 488 alin. 1 pct. 6 şi 8 C.pr.civ..</w:t>
      </w:r>
    </w:p>
    <w:p w14:paraId="3DB88434" w14:textId="77777777" w:rsidR="00797E53" w:rsidRDefault="00ED46EF">
      <w:pPr>
        <w:ind w:left="-567" w:right="281" w:firstLine="709"/>
        <w:contextualSpacing/>
        <w:jc w:val="both"/>
      </w:pPr>
      <w:r>
        <w:t>În probaţiune, s-a solicitat încuviinţarea administrării probei constând în expertiză tehnică în specialitatea construcţii.</w:t>
      </w:r>
    </w:p>
    <w:p w14:paraId="6AB486E5" w14:textId="77777777" w:rsidR="00797E53" w:rsidRDefault="00797E53">
      <w:pPr>
        <w:ind w:left="-567" w:right="281" w:firstLine="709"/>
        <w:contextualSpacing/>
        <w:jc w:val="both"/>
        <w:rPr>
          <w:rStyle w:val="Fontdeparagrafimplicit1"/>
          <w:b/>
        </w:rPr>
      </w:pPr>
    </w:p>
    <w:p w14:paraId="2AA7EE63" w14:textId="77777777" w:rsidR="00797E53" w:rsidRDefault="00ED46EF">
      <w:pPr>
        <w:numPr>
          <w:ilvl w:val="0"/>
          <w:numId w:val="9"/>
        </w:numPr>
        <w:ind w:left="-567" w:right="281" w:firstLine="709"/>
        <w:contextualSpacing/>
        <w:jc w:val="both"/>
        <w:rPr>
          <w:rStyle w:val="Fontdeparagrafimplicit1"/>
          <w:b/>
        </w:rPr>
      </w:pPr>
      <w:r>
        <w:rPr>
          <w:rStyle w:val="Fontdeparagrafimplicit1"/>
          <w:b/>
        </w:rPr>
        <w:t>Aspecte procesuale relevante.</w:t>
      </w:r>
    </w:p>
    <w:p w14:paraId="077114B9" w14:textId="77777777" w:rsidR="00797E53" w:rsidRDefault="00797E53">
      <w:pPr>
        <w:ind w:left="-567" w:right="281" w:firstLine="709"/>
        <w:jc w:val="both"/>
        <w:rPr>
          <w:rStyle w:val="Fontdeparagrafimplicit1"/>
          <w:b/>
        </w:rPr>
      </w:pPr>
    </w:p>
    <w:p w14:paraId="1834BEFF" w14:textId="77777777" w:rsidR="00797E53" w:rsidRDefault="00ED46EF">
      <w:pPr>
        <w:numPr>
          <w:ilvl w:val="1"/>
          <w:numId w:val="9"/>
        </w:numPr>
        <w:ind w:left="-567" w:right="281" w:firstLine="709"/>
        <w:contextualSpacing/>
        <w:jc w:val="both"/>
        <w:rPr>
          <w:rStyle w:val="Fontdeparagrafimplicit1"/>
          <w:b/>
        </w:rPr>
      </w:pPr>
      <w:r>
        <w:rPr>
          <w:rStyle w:val="Fontdeparagrafimplicit1"/>
          <w:b/>
        </w:rPr>
        <w:t xml:space="preserve"> Primul ciclu procesual.</w:t>
      </w:r>
    </w:p>
    <w:p w14:paraId="3A90028C" w14:textId="24179FF2" w:rsidR="00797E53" w:rsidRDefault="00ED46EF">
      <w:pPr>
        <w:ind w:left="-567" w:right="281" w:firstLine="709"/>
        <w:jc w:val="both"/>
      </w:pPr>
      <w:r>
        <w:t xml:space="preserve">Prin sentinţa civilă nr. </w:t>
      </w:r>
      <w:r w:rsidR="0019625B">
        <w:t>...........</w:t>
      </w:r>
      <w:r>
        <w:t xml:space="preserve">, Tribunalul </w:t>
      </w:r>
      <w:r w:rsidR="00BC5446">
        <w:t>............</w:t>
      </w:r>
      <w:r>
        <w:t xml:space="preserve"> a admis excepţia inadmisibilităţii acţiunii, reţinând că </w:t>
      </w:r>
      <w:r w:rsidR="00AF7A1E">
        <w:t>H.C.M.</w:t>
      </w:r>
      <w:r>
        <w:t xml:space="preserve"> nr. </w:t>
      </w:r>
      <w:r w:rsidR="00BC5446">
        <w:t>.........</w:t>
      </w:r>
      <w:r>
        <w:t>/2018 reprezintă un act administrativ individual, iar plângerea prealabilă a fost depusă cu depăşirea termenului legal, ceea ce echivalează cu neparcurgerea procedurii prealabile.</w:t>
      </w:r>
    </w:p>
    <w:p w14:paraId="41BE7A65" w14:textId="286D20C7" w:rsidR="00797E53" w:rsidRDefault="00ED46EF">
      <w:pPr>
        <w:ind w:left="-567" w:right="281" w:firstLine="709"/>
        <w:jc w:val="both"/>
      </w:pPr>
      <w:r>
        <w:t xml:space="preserve">Prin Decizia nr. </w:t>
      </w:r>
      <w:r w:rsidR="0019625B">
        <w:t>...........</w:t>
      </w:r>
      <w:r>
        <w:t xml:space="preserve">, Curtea de Apel </w:t>
      </w:r>
      <w:r w:rsidR="00BC5446">
        <w:t>............</w:t>
      </w:r>
      <w:r>
        <w:t xml:space="preserve"> a admis recursul formulat de Asociaţia </w:t>
      </w:r>
      <w:r w:rsidR="00BC5446">
        <w:t>BC</w:t>
      </w:r>
      <w:r>
        <w:t xml:space="preserve">, a casat sentinţa şi a trimis cauza spre rejudecare aceleiaşi instanţe, reţinând că </w:t>
      </w:r>
      <w:r w:rsidR="00AF7A1E">
        <w:t>H.C.M.</w:t>
      </w:r>
      <w:r>
        <w:t xml:space="preserve"> nr. </w:t>
      </w:r>
      <w:r w:rsidR="00BC5446">
        <w:t>.........</w:t>
      </w:r>
      <w:r>
        <w:t>/2018 este un act administrativ cu caracter normativ, astfel că, în raport de dispoziţiile art. 7 alin. 1</w:t>
      </w:r>
      <w:r>
        <w:rPr>
          <w:rStyle w:val="Fontdeparagrafimplicit1"/>
          <w:vertAlign w:val="superscript"/>
        </w:rPr>
        <w:t>1</w:t>
      </w:r>
      <w:r>
        <w:t xml:space="preserve"> din Legea nr. 554/2004, plângerea prealabilă putea fi formulată oricând.</w:t>
      </w:r>
    </w:p>
    <w:p w14:paraId="436A3DBF" w14:textId="77777777" w:rsidR="00797E53" w:rsidRDefault="00ED46EF">
      <w:pPr>
        <w:numPr>
          <w:ilvl w:val="1"/>
          <w:numId w:val="9"/>
        </w:numPr>
        <w:ind w:left="-567" w:right="281" w:firstLine="709"/>
        <w:contextualSpacing/>
        <w:jc w:val="both"/>
        <w:rPr>
          <w:rStyle w:val="Fontdeparagrafimplicit1"/>
          <w:b/>
        </w:rPr>
      </w:pPr>
      <w:r>
        <w:rPr>
          <w:rStyle w:val="Fontdeparagrafimplicit1"/>
          <w:b/>
        </w:rPr>
        <w:t>Al doilea ciclu procesual.</w:t>
      </w:r>
    </w:p>
    <w:p w14:paraId="5DCFA60C" w14:textId="77777777" w:rsidR="00797E53" w:rsidRDefault="00ED46EF">
      <w:pPr>
        <w:ind w:left="-567" w:right="281" w:firstLine="709"/>
        <w:jc w:val="both"/>
      </w:pPr>
      <w:r>
        <w:t>Intimaţii, deşi legal citaţi, nu au formulat întâmpinare.</w:t>
      </w:r>
    </w:p>
    <w:p w14:paraId="0221F627" w14:textId="77777777" w:rsidR="00797E53" w:rsidRDefault="00ED46EF">
      <w:pPr>
        <w:ind w:left="-567" w:right="281" w:firstLine="709"/>
        <w:jc w:val="both"/>
      </w:pPr>
      <w:r>
        <w:t xml:space="preserve">În etapa procesuală a recursului din al doilea ciclu procesual, în cadrul probei cu înscrisuri, s-a dispus efectuarea unei adrese către Primăria </w:t>
      </w:r>
      <w:r w:rsidR="00BC5446">
        <w:t>Municipiului B</w:t>
      </w:r>
      <w:r w:rsidR="0019625B">
        <w:t xml:space="preserve"> </w:t>
      </w:r>
      <w:r>
        <w:t xml:space="preserve">cu menţiunea de a comunica instanţei care era dimensiunea străzii </w:t>
      </w:r>
      <w:r w:rsidR="0019625B">
        <w:t xml:space="preserve">......... </w:t>
      </w:r>
      <w:r>
        <w:t xml:space="preserve"> la data de 14.06.2018, răspunsul aflându-se la fila 103 a dosarului de recurs.</w:t>
      </w:r>
    </w:p>
    <w:p w14:paraId="6BECD6D6" w14:textId="7E755246" w:rsidR="00797E53" w:rsidRDefault="00ED46EF">
      <w:pPr>
        <w:ind w:left="-567" w:right="281" w:firstLine="709"/>
        <w:jc w:val="both"/>
      </w:pPr>
      <w:r>
        <w:t xml:space="preserve">La termenul de judecată din data de 13.03.2024, recurentul </w:t>
      </w:r>
      <w:r w:rsidR="00AF7A1E">
        <w:t>Consiliul</w:t>
      </w:r>
      <w:r>
        <w:t xml:space="preserve"> </w:t>
      </w:r>
      <w:r w:rsidR="00BC5446">
        <w:t>Municipiului B</w:t>
      </w:r>
      <w:r w:rsidR="0019625B">
        <w:t xml:space="preserve"> </w:t>
      </w:r>
      <w:r>
        <w:t>a renunţat la cererea de administrarea a probei constând în expertiză.</w:t>
      </w:r>
    </w:p>
    <w:p w14:paraId="77FAB113" w14:textId="77777777" w:rsidR="00797E53" w:rsidRDefault="00797E53">
      <w:pPr>
        <w:ind w:left="-567" w:right="281" w:firstLine="709"/>
        <w:jc w:val="both"/>
        <w:rPr>
          <w:rStyle w:val="Fontdeparagrafimplicit1"/>
          <w:b/>
        </w:rPr>
      </w:pPr>
    </w:p>
    <w:p w14:paraId="676814DE" w14:textId="77777777" w:rsidR="00797E53" w:rsidRDefault="00ED46EF">
      <w:pPr>
        <w:numPr>
          <w:ilvl w:val="0"/>
          <w:numId w:val="9"/>
        </w:numPr>
        <w:ind w:left="-567" w:right="281" w:firstLine="709"/>
        <w:contextualSpacing/>
        <w:jc w:val="both"/>
        <w:rPr>
          <w:rStyle w:val="Fontdeparagrafimplicit1"/>
          <w:b/>
        </w:rPr>
      </w:pPr>
      <w:r>
        <w:rPr>
          <w:rStyle w:val="Fontdeparagrafimplicit1"/>
          <w:b/>
        </w:rPr>
        <w:t xml:space="preserve">Considerentele Curţii de Apel </w:t>
      </w:r>
      <w:r w:rsidR="00BC5446">
        <w:rPr>
          <w:rStyle w:val="Fontdeparagrafimplicit1"/>
          <w:b/>
        </w:rPr>
        <w:t>............</w:t>
      </w:r>
      <w:r>
        <w:rPr>
          <w:rStyle w:val="Fontdeparagrafimplicit1"/>
          <w:b/>
        </w:rPr>
        <w:t>.</w:t>
      </w:r>
    </w:p>
    <w:p w14:paraId="1EF5894D" w14:textId="77777777" w:rsidR="00797E53" w:rsidRDefault="00797E53">
      <w:pPr>
        <w:ind w:left="-567" w:right="281" w:firstLine="709"/>
        <w:jc w:val="both"/>
        <w:rPr>
          <w:rStyle w:val="Fontdeparagrafimplicit1"/>
          <w:b/>
        </w:rPr>
      </w:pPr>
    </w:p>
    <w:p w14:paraId="4CA12417" w14:textId="77777777" w:rsidR="00797E53" w:rsidRDefault="00ED46EF">
      <w:pPr>
        <w:numPr>
          <w:ilvl w:val="1"/>
          <w:numId w:val="9"/>
        </w:numPr>
        <w:ind w:left="-567" w:right="281" w:firstLine="709"/>
        <w:contextualSpacing/>
        <w:jc w:val="both"/>
        <w:rPr>
          <w:rStyle w:val="Fontdeparagrafimplicit1"/>
          <w:b/>
        </w:rPr>
      </w:pPr>
      <w:r>
        <w:rPr>
          <w:rStyle w:val="Fontdeparagrafimplicit1"/>
          <w:b/>
        </w:rPr>
        <w:t xml:space="preserve"> Situaţia de fapt relevantă pentru soluţionarea căii de atac.</w:t>
      </w:r>
    </w:p>
    <w:p w14:paraId="5CF26D61" w14:textId="77777777" w:rsidR="00797E53" w:rsidRDefault="00797E53">
      <w:pPr>
        <w:ind w:left="-567" w:right="281" w:firstLine="709"/>
        <w:jc w:val="both"/>
        <w:rPr>
          <w:rStyle w:val="Fontdeparagrafimplicit1"/>
          <w:b/>
        </w:rPr>
      </w:pPr>
    </w:p>
    <w:p w14:paraId="5B5B1913" w14:textId="77777777" w:rsidR="00797E53" w:rsidRDefault="00ED46EF">
      <w:pPr>
        <w:ind w:left="-567" w:right="281" w:firstLine="709"/>
        <w:jc w:val="both"/>
      </w:pPr>
      <w:r>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14:paraId="50DDCAE3" w14:textId="6E85B833" w:rsidR="00797E53" w:rsidRDefault="00ED46EF">
      <w:pPr>
        <w:ind w:left="-567" w:right="281" w:firstLine="709"/>
        <w:jc w:val="both"/>
      </w:pPr>
      <w:r>
        <w:t xml:space="preserve">Prin Hotărârea </w:t>
      </w:r>
      <w:r w:rsidR="00AF7A1E">
        <w:t>Consiliului</w:t>
      </w:r>
      <w:r>
        <w:t xml:space="preserve"> </w:t>
      </w:r>
      <w:r w:rsidR="00BC5446">
        <w:t>Municipiului B</w:t>
      </w:r>
      <w:r w:rsidR="0019625B">
        <w:t xml:space="preserve"> </w:t>
      </w:r>
      <w:r>
        <w:t xml:space="preserve">nr. </w:t>
      </w:r>
      <w:r w:rsidR="00BC5446">
        <w:t>.........</w:t>
      </w:r>
      <w:r>
        <w:t xml:space="preserve">/2018 (filele 117 şi următoarele, vol. I al dosarului </w:t>
      </w:r>
      <w:r w:rsidR="00BC5446">
        <w:t>..............</w:t>
      </w:r>
      <w:r>
        <w:t xml:space="preserve">) a fost aprobată documentaţia de urbanism Planul Urbanistic Zonal - Str. </w:t>
      </w:r>
      <w:r w:rsidR="00BC5446">
        <w:t>......... nr........</w:t>
      </w:r>
      <w:r>
        <w:t xml:space="preserve">, </w:t>
      </w:r>
      <w:r w:rsidR="00BC5446">
        <w:t xml:space="preserve">......... </w:t>
      </w:r>
      <w:r>
        <w:t xml:space="preserve">, </w:t>
      </w:r>
      <w:r w:rsidR="0019625B">
        <w:t>B</w:t>
      </w:r>
      <w:r>
        <w:t>, în conformitate cu anexele nr. 1, nr. 2 şi nr. 3, părţi componente ale documentaţiei de urbanism</w:t>
      </w:r>
      <w:r w:rsidR="0019625B">
        <w:t xml:space="preserve"> (avizul Arhitectului Şef nr........</w:t>
      </w:r>
      <w:r>
        <w:t>/21.12.2017, prevăzut în anexa nr. 1, planul de reglementări urbanistice  - vizat spre neschimbare prezentat în anexa nr. 2 şi Regulamentul Local de Urbanism reprezentând a</w:t>
      </w:r>
      <w:r>
        <w:t>nexa nr. 3), care fac parte integrantă din hotărâre.</w:t>
      </w:r>
    </w:p>
    <w:p w14:paraId="67BD5043" w14:textId="77777777" w:rsidR="00797E53" w:rsidRDefault="00ED46EF">
      <w:pPr>
        <w:ind w:left="-567" w:right="281" w:firstLine="709"/>
        <w:jc w:val="both"/>
      </w:pPr>
      <w:r>
        <w:t>Prin documentaţia de urbanism antereferită, s-au avizat următorii indicatori urbanistici:</w:t>
      </w:r>
    </w:p>
    <w:p w14:paraId="64BD0676" w14:textId="77777777" w:rsidR="00797E53" w:rsidRDefault="00ED46EF">
      <w:pPr>
        <w:ind w:left="-567" w:right="281" w:firstLine="709"/>
        <w:jc w:val="both"/>
      </w:pPr>
      <w:r>
        <w:t>POT max  = 50%</w:t>
      </w:r>
    </w:p>
    <w:p w14:paraId="42ADBAD4" w14:textId="77777777" w:rsidR="00797E53" w:rsidRDefault="00ED46EF">
      <w:pPr>
        <w:ind w:left="-567" w:right="281" w:firstLine="709"/>
        <w:jc w:val="both"/>
      </w:pPr>
      <w:r>
        <w:t>CUT max = 2,88 mpADC/mp teren</w:t>
      </w:r>
    </w:p>
    <w:p w14:paraId="1DE52851" w14:textId="77777777" w:rsidR="00797E53" w:rsidRDefault="00ED46EF">
      <w:pPr>
        <w:ind w:left="-567" w:right="281" w:firstLine="709"/>
        <w:jc w:val="both"/>
      </w:pPr>
      <w:r>
        <w:t>Rh max = 2S+Ds+P+4E retras (17,00m)-5E retras (21.00 m).</w:t>
      </w:r>
    </w:p>
    <w:p w14:paraId="7B4861F8" w14:textId="7B4C1E55" w:rsidR="00797E53" w:rsidRDefault="00ED46EF">
      <w:pPr>
        <w:ind w:left="-567" w:right="281" w:firstLine="709"/>
        <w:jc w:val="both"/>
      </w:pPr>
      <w:r>
        <w:t xml:space="preserve">Conform aceleiaşi documentaţii, terenul din strada </w:t>
      </w:r>
      <w:r w:rsidR="0019625B">
        <w:t xml:space="preserve">......... </w:t>
      </w:r>
      <w:r>
        <w:t xml:space="preserve"> se află în subzona CB1- servicii publice dispersate în afara zonelor protejate, în care sunt admise ca utilizări instituţii şi servicii publice supramunicipale şi municipale şi sedii ale unor organisme extrateritoriale, iar prin </w:t>
      </w:r>
      <w:r w:rsidR="00AF7A1E">
        <w:t>H.C.M.</w:t>
      </w:r>
      <w:r>
        <w:t xml:space="preserve"> nr </w:t>
      </w:r>
      <w:r w:rsidR="00BC5446">
        <w:t>.........</w:t>
      </w:r>
      <w:r>
        <w:t>/2018 funcţiunea avizată este „Ansamblu de locuit cu funcţiuni complementare: comerţ, servicii, birouri, circulaţii, parcări şi spaţii verzi”.</w:t>
      </w:r>
    </w:p>
    <w:p w14:paraId="22E3704A" w14:textId="77777777" w:rsidR="00797E53" w:rsidRDefault="00797E53">
      <w:pPr>
        <w:ind w:left="-567" w:right="281" w:firstLine="709"/>
        <w:jc w:val="both"/>
        <w:rPr>
          <w:rStyle w:val="Fontdeparagrafimplicit1"/>
          <w:b/>
        </w:rPr>
      </w:pPr>
    </w:p>
    <w:p w14:paraId="0A5790D7" w14:textId="77777777" w:rsidR="00797E53" w:rsidRDefault="00ED46EF">
      <w:pPr>
        <w:numPr>
          <w:ilvl w:val="1"/>
          <w:numId w:val="9"/>
        </w:numPr>
        <w:ind w:left="-567" w:right="281" w:firstLine="709"/>
        <w:contextualSpacing/>
        <w:jc w:val="both"/>
        <w:rPr>
          <w:rStyle w:val="Fontdeparagrafimplicit1"/>
          <w:b/>
        </w:rPr>
      </w:pPr>
      <w:r>
        <w:rPr>
          <w:rStyle w:val="Fontdeparagrafimplicit1"/>
          <w:b/>
        </w:rPr>
        <w:t xml:space="preserve"> Examinarea criticilor de nelegalitate.</w:t>
      </w:r>
    </w:p>
    <w:p w14:paraId="5C5C464B" w14:textId="77777777" w:rsidR="00797E53" w:rsidRDefault="00797E53">
      <w:pPr>
        <w:ind w:left="-567" w:right="281" w:firstLine="709"/>
        <w:jc w:val="both"/>
        <w:rPr>
          <w:rStyle w:val="Fontdeparagrafimplicit1"/>
        </w:rPr>
      </w:pPr>
    </w:p>
    <w:p w14:paraId="5B01A24E" w14:textId="77777777" w:rsidR="00797E53" w:rsidRDefault="00ED46EF">
      <w:pPr>
        <w:ind w:left="-567" w:right="281" w:firstLine="709"/>
        <w:jc w:val="both"/>
      </w:pPr>
      <w:r>
        <w:t>Preliminar, Curtea arată că, dată fiind similitudinea lor parţială a motivelor de nelegalitate dezvoltate în cuprinsul cererilor de recurs vor fi examinate împreună.</w:t>
      </w:r>
    </w:p>
    <w:p w14:paraId="68BC7C3A" w14:textId="77777777" w:rsidR="00797E53" w:rsidRDefault="00ED46EF">
      <w:pPr>
        <w:ind w:left="-567" w:right="281" w:firstLine="709"/>
        <w:jc w:val="both"/>
      </w:pPr>
      <w:r>
        <w:t xml:space="preserve">Tot cu titlu preliminar, Curtea punctează că art.488 alin.1 din Codul de procedură civilă, republicată) prevede: „(1) Casarea unor hotărâri se poate cere numai pentru următoarele motive de nelegalitate : (…); 6. </w:t>
      </w:r>
      <w:r>
        <w:rPr>
          <w:rStyle w:val="Fontdeparagrafimplicit1"/>
          <w:i/>
        </w:rPr>
        <w:t>când hotărârea nu cuprinde motivele pe care se întemeiază sau când cuprinde motive contradictorii ori numai motive străine de natura cauzei</w:t>
      </w:r>
      <w:r>
        <w:t xml:space="preserve">; (…) 8. </w:t>
      </w:r>
      <w:r>
        <w:rPr>
          <w:rStyle w:val="Fontdeparagrafimplicit1"/>
          <w:i/>
        </w:rPr>
        <w:t>când hotărârea a fost dată cu încălcarea sau aplicarea greșită a normelor de drept material.</w:t>
      </w:r>
      <w:r>
        <w:t xml:space="preserve">”; totodată, potrivit art. 483 C.pr.civ. „(3) </w:t>
      </w:r>
      <w:r>
        <w:rPr>
          <w:rStyle w:val="Fontdeparagrafimplicit1"/>
          <w:i/>
        </w:rPr>
        <w:t>Recursul urmărește să supună Înaltei Curți de Casație și Justiție examinarea, în condițiile legii, a conformității hotărârii atacate cu regulile de drept aplicabile . (4) În cazurile anume prevăzute de lege, recursul se soluți</w:t>
      </w:r>
      <w:r>
        <w:rPr>
          <w:rStyle w:val="Fontdeparagrafimplicit1"/>
          <w:i/>
        </w:rPr>
        <w:t xml:space="preserve">onează de către instanța ierarhic superioară celei care a pronunțat hotărârea atacată. Dispozițiile alin. (3) se aplică în mod corespunzător </w:t>
      </w:r>
      <w:r>
        <w:t xml:space="preserve">.” [s.n.]. </w:t>
      </w:r>
    </w:p>
    <w:p w14:paraId="21F69A82" w14:textId="77777777" w:rsidR="00797E53" w:rsidRDefault="00ED46EF">
      <w:pPr>
        <w:tabs>
          <w:tab w:val="left" w:pos="690"/>
        </w:tabs>
        <w:ind w:left="-567" w:right="281" w:firstLine="709"/>
        <w:jc w:val="both"/>
      </w:pPr>
      <w:r>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w:t>
      </w:r>
    </w:p>
    <w:p w14:paraId="0C92341D" w14:textId="77777777" w:rsidR="00797E53" w:rsidRDefault="00ED46EF">
      <w:pPr>
        <w:ind w:left="-567" w:right="281" w:firstLine="709"/>
        <w:jc w:val="both"/>
      </w:pPr>
      <w:r>
        <w:t>Curtea constată că în cauză au fost invocate două motive de casare, respectiv cel de la art. 488 alin. 1 pct. 6 C.pr.civ. şi cel de la art. 488 alin. 1 pct. 8 C.pr.civ., acestea urmând a fi examinate distinct în continuare.</w:t>
      </w:r>
    </w:p>
    <w:p w14:paraId="5FE5E991" w14:textId="77777777" w:rsidR="00797E53" w:rsidRDefault="00797E53">
      <w:pPr>
        <w:ind w:left="-567" w:right="281" w:firstLine="709"/>
        <w:jc w:val="both"/>
      </w:pPr>
    </w:p>
    <w:p w14:paraId="123E3FE3" w14:textId="77777777" w:rsidR="00797E53" w:rsidRDefault="00797E53">
      <w:pPr>
        <w:ind w:left="-567" w:right="281" w:firstLine="709"/>
        <w:jc w:val="both"/>
      </w:pPr>
    </w:p>
    <w:p w14:paraId="7925A3A1" w14:textId="77777777" w:rsidR="00797E53" w:rsidRDefault="00797E53">
      <w:pPr>
        <w:ind w:left="-567" w:right="281" w:firstLine="709"/>
        <w:jc w:val="both"/>
      </w:pPr>
    </w:p>
    <w:p w14:paraId="34035239" w14:textId="77777777" w:rsidR="00797E53" w:rsidRDefault="00ED46EF">
      <w:pPr>
        <w:numPr>
          <w:ilvl w:val="2"/>
          <w:numId w:val="9"/>
        </w:numPr>
        <w:spacing w:after="200" w:line="276" w:lineRule="auto"/>
        <w:ind w:left="-567" w:right="281" w:firstLine="709"/>
        <w:contextualSpacing/>
        <w:jc w:val="both"/>
        <w:rPr>
          <w:rStyle w:val="Fontdeparagrafimplicit1"/>
          <w:b/>
        </w:rPr>
      </w:pPr>
      <w:r>
        <w:rPr>
          <w:rStyle w:val="Fontdeparagrafimplicit1"/>
          <w:b/>
        </w:rPr>
        <w:lastRenderedPageBreak/>
        <w:t>când hotărârea nu cuprinde motivele pe care se întemeiază sau când cuprinde motive contradictorii ori numai motive străine de natura cauzei – art. 488 alin. 1 pct. 6 C.pr.civ.;</w:t>
      </w:r>
    </w:p>
    <w:p w14:paraId="7E761C8F" w14:textId="77777777" w:rsidR="00797E53" w:rsidRDefault="00797E53">
      <w:pPr>
        <w:ind w:left="-567" w:right="281" w:firstLine="709"/>
        <w:contextualSpacing/>
        <w:jc w:val="both"/>
        <w:rPr>
          <w:rStyle w:val="Fontdeparagrafimplicit1"/>
        </w:rPr>
      </w:pPr>
    </w:p>
    <w:p w14:paraId="1432A193" w14:textId="77777777" w:rsidR="00797E53" w:rsidRDefault="00ED46EF">
      <w:pPr>
        <w:ind w:left="-567" w:right="281" w:firstLine="709"/>
        <w:contextualSpacing/>
        <w:jc w:val="both"/>
      </w:pPr>
      <w:r>
        <w:t>În referire la cazul de casare prevăzut de art. 488 alin. 1 pct. 6 C.pr.civ., Curtea, în urma lecturării criticilor de nelegalitate, constată că pot fi subsumate acestuia următoarele aspecte:</w:t>
      </w:r>
    </w:p>
    <w:p w14:paraId="756D2F2F" w14:textId="77777777" w:rsidR="00797E53" w:rsidRDefault="00ED46EF">
      <w:pPr>
        <w:numPr>
          <w:ilvl w:val="0"/>
          <w:numId w:val="12"/>
        </w:numPr>
        <w:ind w:left="-567" w:right="281" w:firstLine="709"/>
        <w:contextualSpacing/>
        <w:jc w:val="both"/>
      </w:pPr>
      <w:r>
        <w:t>prima instanţă a făcut o trimitere lapidară la dispoziţiile legale menţionate în cuprinsul acţiunii, fără să efectueze un examen critic al incidenţei în cauză a acestor prevederi şi fără să dezvolte argumente legale şi logice, limitându-se la a concluziona că susţinerile reclamantei sunt întemeiate; prima instanţă nu a manifestat vreo preocupare în ceea ce priveşte combaterea argumentelor expuse în cuprinsul apărărilor formulate [</w:t>
      </w:r>
      <w:r>
        <w:rPr>
          <w:rStyle w:val="Fontdeparagrafimplicit1"/>
          <w:b/>
        </w:rPr>
        <w:t>pct. 3.1. lit. b)</w:t>
      </w:r>
      <w:r>
        <w:t>];</w:t>
      </w:r>
    </w:p>
    <w:p w14:paraId="78B81369" w14:textId="77777777" w:rsidR="00797E53" w:rsidRDefault="00ED46EF">
      <w:pPr>
        <w:numPr>
          <w:ilvl w:val="0"/>
          <w:numId w:val="12"/>
        </w:numPr>
        <w:ind w:left="-567" w:right="281" w:firstLine="709"/>
        <w:contextualSpacing/>
        <w:jc w:val="both"/>
      </w:pPr>
      <w:r>
        <w:t xml:space="preserve">cât priveşte considerentul referitor la nealocarea unei suprafeţe de 20 mp spaţiu verde pentru fiecare locuitor care va locui în imobilul ce se va construi pe terenul din strada </w:t>
      </w:r>
      <w:r w:rsidR="00BC5446">
        <w:t>......... nr........</w:t>
      </w:r>
      <w:r>
        <w:t>, se observă că acesta nu este motivat [</w:t>
      </w:r>
      <w:r>
        <w:rPr>
          <w:rStyle w:val="Fontdeparagrafimplicit1"/>
          <w:b/>
        </w:rPr>
        <w:t>pct. 3.1. lit. e)</w:t>
      </w:r>
      <w:r>
        <w:t xml:space="preserve"> prima teză];</w:t>
      </w:r>
    </w:p>
    <w:p w14:paraId="48CD8E5E" w14:textId="77777777" w:rsidR="00797E53" w:rsidRDefault="00ED46EF">
      <w:pPr>
        <w:numPr>
          <w:ilvl w:val="0"/>
          <w:numId w:val="12"/>
        </w:numPr>
        <w:ind w:left="-567" w:right="281" w:firstLine="709"/>
        <w:contextualSpacing/>
        <w:jc w:val="both"/>
      </w:pPr>
      <w:r>
        <w:t xml:space="preserve">referirea la prevederile R.L.U. aferent P.U.G. al </w:t>
      </w:r>
      <w:r w:rsidR="0019625B">
        <w:t>Municipiului B</w:t>
      </w:r>
      <w:r>
        <w:t>, care impun întocmirea unui P.U.Z. pentru parcelele cu suprafaţa de peste 3.000 m.p., vine în contradicţie cu considerentul în care judecătorul fondului, deşi constată că suprafaţa parcelei este de 8.000 m.p., concluzionează că, întrucât zona vizată nu este caracterizata printr-un grad ridicat de complexitate, nu era necesară întocmirea unui P.U.Z. [</w:t>
      </w:r>
      <w:r>
        <w:rPr>
          <w:rStyle w:val="Fontdeparagrafimplicit1"/>
          <w:b/>
        </w:rPr>
        <w:t>pct. 3.2. lit. a)</w:t>
      </w:r>
      <w:r>
        <w:t>];</w:t>
      </w:r>
    </w:p>
    <w:p w14:paraId="10DB834B" w14:textId="77777777" w:rsidR="00797E53" w:rsidRDefault="00ED46EF">
      <w:pPr>
        <w:numPr>
          <w:ilvl w:val="0"/>
          <w:numId w:val="12"/>
        </w:numPr>
        <w:ind w:left="-567" w:right="281" w:firstLine="709"/>
        <w:contextualSpacing/>
        <w:jc w:val="both"/>
      </w:pPr>
      <w:r>
        <w:t>judecătorul fondului a preluat din acţiune argumentul referitor la nealocarea unei suprafeţe de 20 de m.p. spaţiu verde pentru fiecare locuitor al imobilelor care se vor construi [</w:t>
      </w:r>
      <w:r>
        <w:rPr>
          <w:rStyle w:val="Fontdeparagrafimplicit1"/>
          <w:b/>
        </w:rPr>
        <w:t>pct. 3.2. lit. e)</w:t>
      </w:r>
      <w:r>
        <w:t xml:space="preserve"> teza finală].</w:t>
      </w:r>
    </w:p>
    <w:p w14:paraId="5048913D" w14:textId="77777777" w:rsidR="00797E53" w:rsidRDefault="00ED46EF">
      <w:pPr>
        <w:ind w:left="-567" w:right="281" w:firstLine="709"/>
        <w:jc w:val="both"/>
      </w:pPr>
      <w:r>
        <w:t>Criticile sunt nefondate.</w:t>
      </w:r>
    </w:p>
    <w:p w14:paraId="0AF8A575" w14:textId="77777777" w:rsidR="00797E53" w:rsidRDefault="00ED46EF">
      <w:pPr>
        <w:ind w:left="-567" w:right="281" w:firstLine="709"/>
        <w:jc w:val="both"/>
      </w:pPr>
      <w:r>
        <w:t>Astfel, lecturând sentinţa civilă recurată, Curtea constată că judecătorul fondului a examinat argumentele relevante ale părţilor şi a expus raţionamentului logico-juridic care a fundamentat soluţia adoptată, de unde rezultă că sentinţa recurată respectă exigenţele impuse de art. 425 alin. 1 lit. b C.pr.civ.</w:t>
      </w:r>
    </w:p>
    <w:p w14:paraId="7FF03A3D" w14:textId="77777777" w:rsidR="00797E53" w:rsidRDefault="00ED46EF">
      <w:pPr>
        <w:ind w:left="-567" w:right="281" w:firstLine="709"/>
        <w:jc w:val="both"/>
      </w:pPr>
      <w:r>
        <w:t xml:space="preserve">Contrar susţinerii recurentei </w:t>
      </w:r>
      <w:r w:rsidR="00BC5446">
        <w:t>AB</w:t>
      </w:r>
      <w:r w:rsidR="0019625B">
        <w:t xml:space="preserve"> </w:t>
      </w:r>
      <w:r>
        <w:t xml:space="preserve">S.R.L., considerentele dezvoltate de Tribunalul </w:t>
      </w:r>
      <w:r w:rsidR="00BC5446">
        <w:t>............</w:t>
      </w:r>
      <w:r>
        <w:t xml:space="preserve"> sunt în legătură cu obiectul cererii de chemare în judecată, cu apărările formulate şi soluţia pronunţată, referirile la cadrul legal aplicabil în speţă nefiind lapidare, ci, din contră, cuprind argumente care susţin în mod logic soluţia.</w:t>
      </w:r>
    </w:p>
    <w:p w14:paraId="3DF733F7" w14:textId="77777777" w:rsidR="00797E53" w:rsidRDefault="00ED46EF">
      <w:pPr>
        <w:ind w:left="-567" w:right="281" w:firstLine="709"/>
        <w:jc w:val="both"/>
      </w:pPr>
      <w:r>
        <w:t>Cât priveşte afirmaţia că prin sentinţă nu au fost înlăturate apărările dezvoltate în cuprinsul întâmpinării, Curtea subliniază, sub un prim aspect, că recurenta nu a motivat corespunzător acest caz de casare, în sensul că nu a indicat motivele esenţiale evocate şi neanalizate de către Tribunal, limitându-se la a invoca o critică formală şi generală, în sensul că hotărârea nu ar fi motivată.</w:t>
      </w:r>
    </w:p>
    <w:p w14:paraId="4F9163AB" w14:textId="77777777" w:rsidR="00797E53" w:rsidRDefault="00ED46EF">
      <w:pPr>
        <w:ind w:left="-567" w:right="281" w:firstLine="709"/>
        <w:jc w:val="both"/>
      </w:pPr>
      <w:r>
        <w:t>Sub un al doilea aspect, Curtea reţine că instanța de judecată nu este obligată legal să răspundă oricărui argument de fapt şi de drept invocat de parte, ci să analizeze chestiunea litigioasă, sens în care poate să examineze global argumentele respective, printr-un raţionament juridic de sinteză, ori să cerceteze un singur aspect considerat esenţial - ceea ce face de prisos analiza restului argumentelor menţionate în cererea părţii în sprijinul aceluiași motiv, astfel că omisiunea de a cerceta un anumit arg</w:t>
      </w:r>
      <w:r>
        <w:t>ument sau o afirmaţie a unei părţi nu deschide calea recursului, pentru nemotivare [</w:t>
      </w:r>
      <w:r>
        <w:rPr>
          <w:rStyle w:val="Fontdeparagrafimplicit1"/>
          <w:b/>
        </w:rPr>
        <w:t>pct. 3.1. lit. b)</w:t>
      </w:r>
      <w:r>
        <w:t>].</w:t>
      </w:r>
    </w:p>
    <w:p w14:paraId="17A98844" w14:textId="77777777" w:rsidR="00797E53" w:rsidRDefault="00ED46EF">
      <w:pPr>
        <w:ind w:left="-567" w:right="281" w:firstLine="709"/>
        <w:jc w:val="both"/>
      </w:pPr>
      <w:r>
        <w:t xml:space="preserve">Relativ la lipsa de motivare a concluziei primei instanţe cu privire la nealocarea unei suprafeţe de 20 m.p. spaţiu verde pentru fiecare locuitor care va locui în imobilele ce se vor construi pe terenul din strada </w:t>
      </w:r>
      <w:r w:rsidR="00BC5446">
        <w:t>......... nr........</w:t>
      </w:r>
      <w:r>
        <w:t xml:space="preserve"> [</w:t>
      </w:r>
      <w:r>
        <w:rPr>
          <w:rStyle w:val="Fontdeparagrafimplicit1"/>
          <w:b/>
        </w:rPr>
        <w:t>pct. 3.1. lit. e)</w:t>
      </w:r>
      <w:r>
        <w:t xml:space="preserve"> prima teză], Curtea constată că apărarea esenţială formulată de către recurenţi în faţa instanţei de fond a vizat faptul că, potrivit documentaţiei de urbanism, se asigură un procent de 30% spaţiu verde.</w:t>
      </w:r>
    </w:p>
    <w:p w14:paraId="5DDD56D1" w14:textId="77777777" w:rsidR="00797E53" w:rsidRDefault="00ED46EF">
      <w:pPr>
        <w:ind w:left="-567" w:right="281" w:firstLine="709"/>
        <w:jc w:val="both"/>
      </w:pPr>
      <w:r>
        <w:t xml:space="preserve">Întrucât condiţia pe care dispoziţiile legale o impun cu privire la întinderea spaţiului verde nu are drept reper suprafaţa terenului, ci numărul de locuitori, situaţie în care argumentul privind asigurarea unui procent de 30% din suprafaţa terenului nu avea în nicio ipoteză posibilitatea de a înlătura critica dezvoltată în această privinţă în cuprinsul cererii de chemare în </w:t>
      </w:r>
      <w:r>
        <w:lastRenderedPageBreak/>
        <w:t>judecată, Curtea apreciază că omisiunea primei instanţe de a răspunde acestei critici nu poate atrage incidenţa cazului de casare de la art. 488 alin. 1 pct. 6 C.pr.civ..</w:t>
      </w:r>
    </w:p>
    <w:p w14:paraId="0F588006" w14:textId="77777777" w:rsidR="00797E53" w:rsidRDefault="00ED46EF">
      <w:pPr>
        <w:ind w:left="-567" w:right="281" w:firstLine="709"/>
        <w:jc w:val="both"/>
      </w:pPr>
      <w:r>
        <w:t>În plus, nu se poate susţine cu succes că judecătorul fondului a preluat din acţiune argumentul referitor la nealocarea unei suprafeţe de 20 de m.p. spaţiu verde pentru fiecare locuitor [</w:t>
      </w:r>
      <w:r>
        <w:rPr>
          <w:rStyle w:val="Fontdeparagrafimplicit1"/>
          <w:b/>
        </w:rPr>
        <w:t>pct. 3.2. lit. e)</w:t>
      </w:r>
      <w:r>
        <w:t xml:space="preserve"> teza finală], în condiţiile în care din cuprinsul sentinţei rezultă că, pentru a pronunţa soluţia, judecătorul a analizat actele şi lucrările dosarului, adică documentaţia de urbanism ataşată la dosarul cauzei.</w:t>
      </w:r>
    </w:p>
    <w:p w14:paraId="51340F77" w14:textId="77777777" w:rsidR="00797E53" w:rsidRDefault="00ED46EF">
      <w:pPr>
        <w:ind w:left="-567" w:right="281" w:firstLine="709"/>
        <w:jc w:val="both"/>
      </w:pPr>
      <w:r>
        <w:t>Or, observând că niciunde în cuprinsul acestora nu se face referire la elemente din care să rezulte respectare cerinţei în discuţie, Curtea apreciază că nu se impunea ca judecătorul fondului să dezvolte elemente suplimentare prin care să se argumenteze concluzia cu privire la nealocarea unei suprafeţe de 20 de m.p., neputându-i se pretinde să motiveze evidenţa inexistenţei acestor date în documentaţia de urbanism.</w:t>
      </w:r>
    </w:p>
    <w:p w14:paraId="5542254A" w14:textId="77777777" w:rsidR="00797E53" w:rsidRDefault="00ED46EF">
      <w:pPr>
        <w:ind w:left="-567" w:right="281" w:firstLine="709"/>
        <w:jc w:val="both"/>
      </w:pPr>
      <w:r>
        <w:t>Cu alte cuvinte, o astfel de carenţă a documentaţiei implica în mod necesar şi suficient o afirmaţie frustă, în sensul că nu este îndeplinită condiţia în discuţie, ceea ce a şi făcut prima instanţă.</w:t>
      </w:r>
    </w:p>
    <w:p w14:paraId="659D78A6" w14:textId="77777777" w:rsidR="00797E53" w:rsidRDefault="00ED46EF">
      <w:pPr>
        <w:ind w:left="-567" w:right="281" w:firstLine="709"/>
        <w:jc w:val="both"/>
      </w:pPr>
      <w:r>
        <w:t>În acest context, se impune a se arăta că simplul fapt că, în cauză, considerente expuse de prima instanţă nu concordă modului în care apreciază partea recurentul că trebuia motivată hotărârea judecătorească nu determină incidenţa motivului de casare reglementat de art. 488 alin. 1 pct. 6 C.pr.civ., după cum acesta nu trebuie confundat nici cu motivul de nelegalitate prevăzut de art. 488 alin.1 pct. 8 C.pr.civ., prin intermediul căruia se poate critica aplicarea de către prima instanţă a dreptului material.</w:t>
      </w:r>
    </w:p>
    <w:p w14:paraId="652A604E" w14:textId="77777777" w:rsidR="00797E53" w:rsidRDefault="00ED46EF">
      <w:pPr>
        <w:ind w:left="-567" w:right="281" w:firstLine="709"/>
        <w:jc w:val="both"/>
      </w:pPr>
      <w:r>
        <w:t>În continuare, Curtea arată că nici teza referitoare la existenţa în cuprinsul sentinţei a unor considerente contradictorii [</w:t>
      </w:r>
      <w:r>
        <w:rPr>
          <w:rStyle w:val="Fontdeparagrafimplicit1"/>
          <w:b/>
        </w:rPr>
        <w:t>pct. 3.2. lit. a)</w:t>
      </w:r>
      <w:r>
        <w:t>] nu este fondată.</w:t>
      </w:r>
    </w:p>
    <w:p w14:paraId="25BD6EAC" w14:textId="77777777" w:rsidR="00797E53" w:rsidRDefault="00ED46EF">
      <w:pPr>
        <w:ind w:left="-567" w:right="281" w:firstLine="709"/>
        <w:jc w:val="both"/>
      </w:pPr>
      <w:r>
        <w:t>Astfel, parcurgând sentinţa, Curtea constată că judecătorul fondului, după ce a făcut trimitere la textul legal care, într-adevăr, vizează suprafaţa de 3.000 m.p., a concluzionat că, deşi suprafaţa terenului este de peste 8.000 de m.p., dat fiind faptul că zona vizată nu este caracterizata printr-un grad ridicat de complexitate, nu era necesară întocmirea PUZ.</w:t>
      </w:r>
    </w:p>
    <w:p w14:paraId="6F4B8A42" w14:textId="77777777" w:rsidR="00797E53" w:rsidRDefault="00ED46EF">
      <w:pPr>
        <w:ind w:left="-567" w:right="281" w:firstLine="709"/>
        <w:jc w:val="both"/>
      </w:pPr>
      <w:r>
        <w:t xml:space="preserve">Împrejurarea că judecătorul, în urma examinării materialului probator şi a prevederilor legale incidente, trage o concluzie contrară unui text de lege nu are semnificaţia unui considerent contradictoriu în sensul art. 488 alin. 1 pct. 6 teza </w:t>
      </w:r>
      <w:r w:rsidR="0019625B">
        <w:t xml:space="preserve">a II- a </w:t>
      </w:r>
      <w:r>
        <w:t>C.pr.civ., ci reprezintă dezvoltarea silogismului judiciar prin care magistratul a interpretate dispoziţiile legale incidente în cauză, acesta putând fi cenzurat prin intermediul cazului de casare de la art. 488 alin. 1 pct. 8 C.pr.civ..</w:t>
      </w:r>
    </w:p>
    <w:p w14:paraId="4003F4A5" w14:textId="77777777" w:rsidR="00797E53" w:rsidRDefault="00ED46EF">
      <w:pPr>
        <w:ind w:left="-567" w:right="281" w:firstLine="709"/>
        <w:jc w:val="both"/>
      </w:pPr>
      <w:r>
        <w:t>În plus, pentru a fi incident cazul de casare de la art. 488 alin. 1 pct. 6 C.pr.civ, teza invocat de recurent,este necesar, astfel cum rezultă limpede din textul legal, ca sentinţa să cuprindă „</w:t>
      </w:r>
      <w:r>
        <w:rPr>
          <w:rStyle w:val="Fontdeparagrafimplicit1"/>
          <w:i/>
        </w:rPr>
        <w:t>numai motive străinede natura cauzei”</w:t>
      </w:r>
      <w:r>
        <w:t>, condiţie care, pe de – o parte, nu a fost afirmată sau dovedită de recurent, iar, pe de altă parte, după cum se poate observa în urma lecturării elementele dezvoltate la pct. 2 din prezenta decizie, nici nu este îndeplinită în cauză.</w:t>
      </w:r>
    </w:p>
    <w:p w14:paraId="72CD42B8" w14:textId="77777777" w:rsidR="00797E53" w:rsidRDefault="00797E53">
      <w:pPr>
        <w:ind w:left="-567" w:right="281" w:firstLine="709"/>
        <w:jc w:val="both"/>
      </w:pPr>
    </w:p>
    <w:p w14:paraId="47857272" w14:textId="77777777" w:rsidR="00797E53" w:rsidRDefault="00ED46EF">
      <w:pPr>
        <w:numPr>
          <w:ilvl w:val="2"/>
          <w:numId w:val="9"/>
        </w:numPr>
        <w:spacing w:after="200" w:line="276" w:lineRule="auto"/>
        <w:ind w:left="-567" w:right="281" w:firstLine="709"/>
        <w:contextualSpacing/>
        <w:jc w:val="both"/>
        <w:rPr>
          <w:rStyle w:val="Fontdeparagrafimplicit1"/>
          <w:b/>
        </w:rPr>
      </w:pPr>
      <w:r>
        <w:rPr>
          <w:rStyle w:val="Fontdeparagrafimplicit1"/>
          <w:b/>
        </w:rPr>
        <w:t>când hotărârea a fost dată cu încălcarea sau aplicarea greșită a normelor de drept material - art. 488 alin. 1 pct. 8C.pr.civ.;</w:t>
      </w:r>
    </w:p>
    <w:p w14:paraId="658464F1" w14:textId="77777777" w:rsidR="00797E53" w:rsidRDefault="00797E53">
      <w:pPr>
        <w:spacing w:after="200" w:line="276" w:lineRule="auto"/>
        <w:ind w:left="-567" w:right="281" w:firstLine="709"/>
        <w:contextualSpacing/>
        <w:jc w:val="both"/>
        <w:rPr>
          <w:rStyle w:val="Fontdeparagrafimplicit1"/>
          <w:b/>
        </w:rPr>
      </w:pPr>
    </w:p>
    <w:p w14:paraId="2321501D" w14:textId="77777777" w:rsidR="00797E53" w:rsidRDefault="00ED46EF">
      <w:pPr>
        <w:spacing w:after="200" w:line="276" w:lineRule="auto"/>
        <w:ind w:left="-567" w:right="281" w:firstLine="709"/>
        <w:contextualSpacing/>
        <w:jc w:val="both"/>
        <w:rPr>
          <w:rStyle w:val="Fontdeparagrafimplicit1"/>
          <w:b/>
        </w:rPr>
      </w:pPr>
      <w:r>
        <w:rPr>
          <w:rStyle w:val="Fontdeparagrafimplicit1"/>
          <w:b/>
        </w:rPr>
        <w:t xml:space="preserve">O primă critică subsumată acestui caz de casare vizează interesul şi, implicit, calitatea procesuală a Asociaţiei </w:t>
      </w:r>
      <w:r w:rsidR="0019625B">
        <w:rPr>
          <w:rStyle w:val="Fontdeparagrafimplicit1"/>
          <w:b/>
        </w:rPr>
        <w:t>BC</w:t>
      </w:r>
      <w:r>
        <w:rPr>
          <w:rStyle w:val="Fontdeparagrafimplicit1"/>
          <w:b/>
        </w:rPr>
        <w:t>[pct. 3.1. lit. a)].</w:t>
      </w:r>
    </w:p>
    <w:p w14:paraId="500B24DA" w14:textId="77777777" w:rsidR="00797E53" w:rsidRDefault="00ED46EF">
      <w:pPr>
        <w:spacing w:after="200" w:line="276" w:lineRule="auto"/>
        <w:ind w:left="-567" w:right="281" w:firstLine="709"/>
        <w:contextualSpacing/>
        <w:jc w:val="both"/>
        <w:rPr>
          <w:rStyle w:val="Fontdeparagrafimplicit1"/>
          <w:b/>
        </w:rPr>
      </w:pPr>
      <w:r>
        <w:t>Critica este nefondată.</w:t>
      </w:r>
    </w:p>
    <w:p w14:paraId="5691A180" w14:textId="77777777" w:rsidR="00797E53" w:rsidRDefault="00ED46EF">
      <w:pPr>
        <w:ind w:left="-567" w:right="281" w:firstLine="709"/>
        <w:jc w:val="both"/>
      </w:pPr>
      <w:r>
        <w:t>Astfel, conform prevederilor art. 1 alin. 1 din Legea nr. 554/2004, se poate adresa instanţei de contencios administrativ orice persoană care se consideră vătămată într-un drept al său ori într-un interes legitim, de către o autoritate publică, printr-un act administrativ, interesul legitim putând fi atât privat, cât şi public.</w:t>
      </w:r>
    </w:p>
    <w:p w14:paraId="2BED9154" w14:textId="77777777" w:rsidR="00797E53" w:rsidRDefault="00ED46EF">
      <w:pPr>
        <w:ind w:left="-567" w:right="281" w:firstLine="709"/>
        <w:jc w:val="both"/>
      </w:pPr>
      <w:r>
        <w:t>De asemenea, în acord cu dispoziţiile art. 2 alin. 1 lit. a din acelaşi act normativ, legea asimilează persoanei vătămate şi organismele sociale care invocă vătămarea prin actul administrativ atacat fie a unui interes legitim public, fie a drepturilor şi intereselor legitime ale unor persoane fizice determinate.</w:t>
      </w:r>
    </w:p>
    <w:p w14:paraId="53ED1796" w14:textId="77777777" w:rsidR="00797E53" w:rsidRDefault="00ED46EF">
      <w:pPr>
        <w:ind w:left="-567" w:right="281" w:firstLine="709"/>
        <w:jc w:val="both"/>
      </w:pPr>
      <w:r>
        <w:lastRenderedPageBreak/>
        <w:t xml:space="preserve">Pornind de la aceste prevederi legale şi reţinând, totodată, că, în acord art. 1.b. din Statut (filele 46 şi următoarele, vol. I dosar nr. </w:t>
      </w:r>
      <w:r w:rsidR="00BC5446">
        <w:t>..............</w:t>
      </w:r>
      <w:r>
        <w:t xml:space="preserve">), scopul Asociaţiei </w:t>
      </w:r>
      <w:r w:rsidR="00BC5446">
        <w:t>BC</w:t>
      </w:r>
      <w:r>
        <w:t xml:space="preserve"> este acela de a se implica în problemele dezvoltării urbanistice a celor două cartiere, în sensul susţinerii unei dezvoltări durabile şi armonioase a zonei, inclusiv prin protecţia parcurilor şi asigurarea unui mediu înconjurător sănătos şi păstrarea patrimoniului arhitectural – urbanistic, precum şi faptul că actul contestat a vizat tocmai condiţiile de edificare în cartierele </w:t>
      </w:r>
      <w:r w:rsidR="0019625B">
        <w:t xml:space="preserve">............. </w:t>
      </w:r>
      <w:r>
        <w:t xml:space="preserve">şi </w:t>
      </w:r>
      <w:r w:rsidR="0019625B">
        <w:t>......</w:t>
      </w:r>
      <w:r w:rsidR="00BC5446">
        <w:t>.....</w:t>
      </w:r>
      <w:r>
        <w:t>, Curtea apreciază că intimata-reclamantă este un organism social interesat care justifică atât interesul, cât şi calitatea în ceea ce priveşte declanşarea prezentului demers judiciar.</w:t>
      </w:r>
    </w:p>
    <w:p w14:paraId="49AEA7B0" w14:textId="77777777" w:rsidR="00797E53" w:rsidRDefault="00797E53">
      <w:pPr>
        <w:ind w:left="-567" w:right="281" w:firstLine="709"/>
        <w:jc w:val="both"/>
      </w:pPr>
    </w:p>
    <w:p w14:paraId="4C63EEBE" w14:textId="77777777" w:rsidR="00797E53" w:rsidRDefault="00ED46EF">
      <w:pPr>
        <w:ind w:left="-567" w:right="281" w:firstLine="709"/>
        <w:jc w:val="both"/>
        <w:rPr>
          <w:rStyle w:val="Fontdeparagrafimplicit1"/>
          <w:b/>
        </w:rPr>
      </w:pPr>
      <w:r>
        <w:rPr>
          <w:rStyle w:val="Fontdeparagrafimplicit1"/>
          <w:b/>
        </w:rPr>
        <w:t>O a doua critică invocată de ambii recurenţi vizează caracterul eronat al concluziei judecătorului fondului referitoare necesitatea întocmirii unui P.U.Z. [pct. 3.1. lit. c) şi pct. 3.2. lit. b)].</w:t>
      </w:r>
    </w:p>
    <w:p w14:paraId="30CAC6C4" w14:textId="77777777" w:rsidR="00797E53" w:rsidRDefault="00ED46EF">
      <w:pPr>
        <w:ind w:left="-567" w:right="281" w:firstLine="709"/>
        <w:jc w:val="both"/>
      </w:pPr>
      <w:r>
        <w:t>Critică este fondată.</w:t>
      </w:r>
    </w:p>
    <w:p w14:paraId="6E381B93" w14:textId="77777777" w:rsidR="00797E53" w:rsidRDefault="00ED46EF">
      <w:pPr>
        <w:ind w:left="-567" w:right="281" w:firstLine="709"/>
        <w:jc w:val="both"/>
      </w:pPr>
      <w:r>
        <w:t xml:space="preserve">Astfel, potrivit prevederilor art. 5.5. din Regulamentul Local de Urbanism aferent Planului Urbanistic General al </w:t>
      </w:r>
      <w:r w:rsidR="0019625B">
        <w:t>Municipiului B</w:t>
      </w:r>
      <w:r>
        <w:t>, „</w:t>
      </w:r>
      <w:r>
        <w:rPr>
          <w:rStyle w:val="Fontdeparagrafimplicit1"/>
          <w:i/>
        </w:rPr>
        <w:t>Pentru parcelele cu suprafaţa peste 3000 mp. sau cu raportul laturilor peste 1/5 se vor elabora şi aproba documentaţii P.U.Z.</w:t>
      </w:r>
      <w:r>
        <w:t>”.</w:t>
      </w:r>
    </w:p>
    <w:p w14:paraId="7986D674" w14:textId="77777777" w:rsidR="00797E53" w:rsidRDefault="00ED46EF">
      <w:pPr>
        <w:ind w:left="-567" w:right="281" w:firstLine="709"/>
        <w:jc w:val="both"/>
      </w:pPr>
      <w:r>
        <w:t>Din cuprinsul prevederilor redate în precedent transpare cu claritate că întocmirea unui P.U.Z. este obligatorie în cazul suprafeţelor mai mari de 3.000 m.p..</w:t>
      </w:r>
    </w:p>
    <w:p w14:paraId="44DE0A50" w14:textId="77777777" w:rsidR="00797E53" w:rsidRDefault="00ED46EF">
      <w:pPr>
        <w:ind w:left="-567" w:right="281" w:firstLine="709"/>
        <w:jc w:val="both"/>
      </w:pPr>
      <w:r>
        <w:t xml:space="preserve">Cum terenul din strada </w:t>
      </w:r>
      <w:r w:rsidR="00BC5446">
        <w:t>......... nr........</w:t>
      </w:r>
      <w:r>
        <w:t xml:space="preserve"> are o suprafaţă de peste 8.921 m.p., rezultă cu evidenţă că era necesară întocmirea unui P.U.Z..</w:t>
      </w:r>
    </w:p>
    <w:p w14:paraId="153E87BE" w14:textId="77777777" w:rsidR="00797E53" w:rsidRDefault="00ED46EF">
      <w:pPr>
        <w:ind w:left="-567" w:right="281" w:firstLine="709"/>
        <w:jc w:val="both"/>
      </w:pPr>
      <w:r>
        <w:t xml:space="preserve">Este adevărat că, potrivit art. 47 alin. 1 din Legea nr. 350/2001, planul urbanistic zonal vizează zone caracterizate printr-un grad ridicat de complexitate sau printr-o dinamică urbană accentuată, însă nu trebuie omis că pentru </w:t>
      </w:r>
      <w:r w:rsidR="00BC5446">
        <w:t>Municipiului B</w:t>
      </w:r>
      <w:r w:rsidR="0019625B">
        <w:t xml:space="preserve"> </w:t>
      </w:r>
      <w:r>
        <w:t>există instrumente de planificare urbanistică, respectiv Regulamentul Local de Urbanism aferent Planului Urbanistic General, prin care se derogă de la legislaţia primară.</w:t>
      </w:r>
    </w:p>
    <w:p w14:paraId="1AEA2DFC" w14:textId="77777777" w:rsidR="00797E53" w:rsidRDefault="00ED46EF">
      <w:pPr>
        <w:ind w:left="-567" w:right="281" w:firstLine="709"/>
        <w:jc w:val="both"/>
      </w:pPr>
      <w:r>
        <w:t>În atare condiţii, atât timp cât Regulamentul Local de Urbanism nu a făcut obiectul unei acţiuni în anulare, instanţa este obligată să facă aplicarea dispoziţiilor din cuprinsul acestuia, în sensul celor arătate anterior.</w:t>
      </w:r>
    </w:p>
    <w:p w14:paraId="24F2EB99" w14:textId="77777777" w:rsidR="00797E53" w:rsidRDefault="00797E53">
      <w:pPr>
        <w:ind w:left="-567" w:right="281" w:firstLine="709"/>
        <w:jc w:val="both"/>
      </w:pPr>
    </w:p>
    <w:p w14:paraId="16451843" w14:textId="77777777" w:rsidR="00797E53" w:rsidRDefault="00ED46EF">
      <w:pPr>
        <w:ind w:left="-567" w:right="281" w:firstLine="709"/>
        <w:jc w:val="both"/>
        <w:rPr>
          <w:rStyle w:val="Fontdeparagrafimplicit1"/>
          <w:b/>
        </w:rPr>
      </w:pPr>
      <w:r>
        <w:rPr>
          <w:rStyle w:val="Fontdeparagrafimplicit1"/>
          <w:b/>
        </w:rPr>
        <w:t>O a treia critică subsumată de ambele părţi acestui motiv de casare vizează greşita concluzie la care a ajuns instanţa de fond cu privire la faptul că P.U.Z. este nelegal întrucât a fost emis pentru o parcelă şi nu pentru o zonă [pct. 3.1. lit. d) şi pct. 3.2. lit. c)].</w:t>
      </w:r>
    </w:p>
    <w:p w14:paraId="73C08759" w14:textId="77777777" w:rsidR="00797E53" w:rsidRDefault="00ED46EF">
      <w:pPr>
        <w:ind w:left="-567" w:right="281" w:firstLine="709"/>
        <w:jc w:val="both"/>
      </w:pPr>
      <w:r>
        <w:t>Critica este fondată.</w:t>
      </w:r>
    </w:p>
    <w:p w14:paraId="3C154656" w14:textId="77777777" w:rsidR="00797E53" w:rsidRDefault="00ED46EF">
      <w:pPr>
        <w:ind w:left="-567" w:right="281" w:firstLine="709"/>
        <w:jc w:val="both"/>
      </w:pPr>
      <w:r>
        <w:t>Astfel, conform art. 46 alin. 1 din Legea nr. 350/2001, „</w:t>
      </w:r>
      <w:r>
        <w:rPr>
          <w:rStyle w:val="Fontdeparagrafimplicit1"/>
          <w:i/>
        </w:rPr>
        <w:t>Planul urbanistic general are atât caracter director şi strategic, cât şi caracter de reglementare şi reprezintă principalul instrument de planificare operaţională, constituind baza legală pentru realizarea programelor şi acţiunilor de dezvoltare. Fiecare unitate administrativ-teritorială trebuie să îşi actualizeze la maximum 10 ani Planul urbanistic general în funcţie de evoluţia previzibilă a factorilor sociali, geografici, economici, culturali şi a necesităţilor locale.</w:t>
      </w:r>
      <w:r>
        <w:t>”.</w:t>
      </w:r>
    </w:p>
    <w:p w14:paraId="17382564" w14:textId="77777777" w:rsidR="00797E53" w:rsidRDefault="00ED46EF">
      <w:pPr>
        <w:ind w:left="-567" w:right="281" w:firstLine="709"/>
        <w:jc w:val="both"/>
        <w:rPr>
          <w:rStyle w:val="Fontdeparagrafimplicit1"/>
        </w:rPr>
      </w:pPr>
      <w:r>
        <w:t>Totodată, în acord cu art. 47 din Legea nr. 350/2001, „</w:t>
      </w:r>
      <w:r>
        <w:rPr>
          <w:rStyle w:val="Fontdeparagrafimplicit1"/>
          <w:i/>
        </w:rPr>
        <w:t>Planul urbanistic zonal este instrumentul de planificare urbană de reglementare specifică, prin care se coordonează dezvoltarea urbanistică integrată a unor zone din localitate, caracterizate printr-un grad ridicat de complexitate sau printr-o dinamică urbană accentuată. Planul urbanistic zonal asigură corelarea programelor de dezvoltare urbană integrată a zonei cu Planul urbanistic general.”.</w:t>
      </w:r>
    </w:p>
    <w:p w14:paraId="5FFF2021" w14:textId="77777777" w:rsidR="00797E53" w:rsidRDefault="00ED46EF">
      <w:pPr>
        <w:ind w:left="-567" w:right="281" w:firstLine="709"/>
        <w:jc w:val="both"/>
        <w:rPr>
          <w:rStyle w:val="Fontdeparagrafimplicit1"/>
          <w:i/>
        </w:rPr>
      </w:pPr>
      <w:r>
        <w:t>În sfârşit, art. 32 alin. 5 lit. a) din acelaşi act normativ prevede că</w:t>
      </w:r>
      <w:r>
        <w:rPr>
          <w:rStyle w:val="Fontdeparagrafimplicit1"/>
          <w:i/>
        </w:rPr>
        <w:t xml:space="preserve"> „Prin Planul urbanistic zonal se stabilesc reglementări noi cu privire la: regimul de construire, funcţiunea zonei, înălţimea maximă admisă, coeficientul de utilizare a terenului (CUT), procentul de ocupare a terenului (POT), retragerea clădirilor faţă de aliniament şi distanţele faţă de limitele laterale şi posterioare ale parcelei.”.</w:t>
      </w:r>
    </w:p>
    <w:p w14:paraId="598071AC" w14:textId="77777777" w:rsidR="00797E53" w:rsidRDefault="00ED46EF">
      <w:pPr>
        <w:ind w:left="-567" w:right="281" w:firstLine="709"/>
        <w:jc w:val="both"/>
      </w:pPr>
      <w:r>
        <w:t>Pornind de la textele legale redate în precedent, Curtea reţine că, în scopul recunoaşterii unor eventuale derogări admise de lege de la reglementarea urbanistică de un nivel superior, respectiv P.U.G., se poate obţine un plan urbanistic zonal care să reglementeze în mod integrat regimul construibil derogator de la regulile stabilite prin P.U.G. pentru terenul în discuţie.</w:t>
      </w:r>
    </w:p>
    <w:p w14:paraId="2F95AB9A" w14:textId="77777777" w:rsidR="00797E53" w:rsidRDefault="00ED46EF">
      <w:pPr>
        <w:ind w:left="-567" w:right="281" w:firstLine="709"/>
        <w:jc w:val="both"/>
      </w:pPr>
      <w:r>
        <w:lastRenderedPageBreak/>
        <w:t>Este real că scopul P.U.Z. nu trebuie să fie exclusiv instituirea unei derogări pentru terenul (parcela) aparţinând iniţiatorului documentaţiei aprobate, ci şi stabilirea compatibilităţii acestei reglementări zonale derogatorii cu regimul construibil al terenurilor învecinate, în vederea recunoaşterii şi în favoarea proprietarilor învecinaţi a aceloraşi drepturi sau, cel puţin, de a nu fi afectate în substanţa lor drepturile de care aceştia din urmă beneficiau anterior aprobării P.U.Z.-ului în cauză.</w:t>
      </w:r>
    </w:p>
    <w:p w14:paraId="1BE4FDCD" w14:textId="77777777" w:rsidR="00797E53" w:rsidRDefault="00ED46EF">
      <w:pPr>
        <w:ind w:left="-567" w:right="281" w:firstLine="709"/>
        <w:jc w:val="both"/>
      </w:pPr>
      <w:r>
        <w:t>În cauză, suntem într-o astfel de ipoteză, din documentaţia de urbanism supusă controlului de legalitate, rezultă că evidenţă că, deşi iniţiatorul acesteia este recurenta-pârâtă, persoană juridică privată care intenţionează să construiască pe un singur teren, totuşi P.U.Z.-ul aprobat vizează studiul întregii zone delimitate în cadrul pieselor desenate care sunt parte integrantă din această documentaţie de urbanism, astfel că scopul prevăzut de lege pentru aprobarea unui P.U.Z., respectiv dezvoltarea urbanis</w:t>
      </w:r>
      <w:r>
        <w:t>tică integrată a unor zone din localitate, a fost atins.</w:t>
      </w:r>
    </w:p>
    <w:p w14:paraId="3AE9668F" w14:textId="77777777" w:rsidR="00797E53" w:rsidRDefault="00797E53">
      <w:pPr>
        <w:ind w:left="-567" w:right="281" w:firstLine="709"/>
        <w:jc w:val="both"/>
        <w:rPr>
          <w:rStyle w:val="Fontdeparagrafimplicit1"/>
          <w:b/>
        </w:rPr>
      </w:pPr>
    </w:p>
    <w:p w14:paraId="2710418F" w14:textId="7DB27277" w:rsidR="00797E53" w:rsidRDefault="00ED46EF">
      <w:pPr>
        <w:ind w:left="-567" w:right="281" w:firstLine="709"/>
        <w:jc w:val="both"/>
        <w:rPr>
          <w:rStyle w:val="Fontdeparagrafimplicit1"/>
          <w:b/>
        </w:rPr>
      </w:pPr>
      <w:r>
        <w:rPr>
          <w:rStyle w:val="Fontdeparagrafimplicit1"/>
          <w:b/>
        </w:rPr>
        <w:t xml:space="preserve">O a patra critică subsumată de recurentul </w:t>
      </w:r>
      <w:r w:rsidR="00AF7A1E">
        <w:rPr>
          <w:rStyle w:val="Fontdeparagrafimplicit1"/>
          <w:b/>
        </w:rPr>
        <w:t>Consiliul</w:t>
      </w:r>
      <w:r>
        <w:rPr>
          <w:rStyle w:val="Fontdeparagrafimplicit1"/>
          <w:b/>
        </w:rPr>
        <w:t xml:space="preserve"> </w:t>
      </w:r>
      <w:r w:rsidR="00BC5446">
        <w:rPr>
          <w:rStyle w:val="Fontdeparagrafimplicit1"/>
          <w:b/>
        </w:rPr>
        <w:t>Municipiului B</w:t>
      </w:r>
      <w:r w:rsidR="0019625B">
        <w:rPr>
          <w:rStyle w:val="Fontdeparagrafimplicit1"/>
          <w:b/>
        </w:rPr>
        <w:t xml:space="preserve"> </w:t>
      </w:r>
      <w:r>
        <w:rPr>
          <w:rStyle w:val="Fontdeparagrafimplicit1"/>
          <w:b/>
        </w:rPr>
        <w:t>acestui caz de casare vizează înălţimea maximă admisă pentru clădirile situate în subzona CB1 [pct. 3.2. lit. d)].</w:t>
      </w:r>
    </w:p>
    <w:p w14:paraId="35AFDAF9" w14:textId="77777777" w:rsidR="00797E53" w:rsidRDefault="00ED46EF">
      <w:pPr>
        <w:ind w:left="-567" w:right="281" w:firstLine="709"/>
        <w:jc w:val="both"/>
      </w:pPr>
      <w:r>
        <w:t>Critica este fondată.</w:t>
      </w:r>
    </w:p>
    <w:p w14:paraId="36705BFF" w14:textId="77777777" w:rsidR="00797E53" w:rsidRDefault="00ED46EF">
      <w:pPr>
        <w:ind w:left="-567" w:right="281" w:firstLine="709"/>
        <w:jc w:val="both"/>
      </w:pPr>
      <w:r>
        <w:t xml:space="preserve">Astfel, aşa cum rezultă din adresa emisă de către Primăria </w:t>
      </w:r>
      <w:r w:rsidR="00BC5446">
        <w:t>Municipiului B</w:t>
      </w:r>
      <w:r w:rsidR="0019625B">
        <w:t xml:space="preserve"> </w:t>
      </w:r>
      <w:r>
        <w:t xml:space="preserve">dimensiunea străzii </w:t>
      </w:r>
      <w:r w:rsidR="0019625B">
        <w:t xml:space="preserve">......... </w:t>
      </w:r>
      <w:r>
        <w:t xml:space="preserve"> la data de 14.06.2018 (fila 103 a dosarului de recurs) era de 12 m.p., situaţie în care, în acord cu prevederile Titlului II din Planul Urbanistic General al </w:t>
      </w:r>
      <w:r w:rsidR="0019625B">
        <w:t>Municipiului B</w:t>
      </w:r>
      <w:r>
        <w:t>, clădirile situate în subzona CB1 puteau avea o înălţime maxim admisă de 13 metri, iar numărul de niveluri era de P+3, un nivel putând avea 3 m.</w:t>
      </w:r>
    </w:p>
    <w:p w14:paraId="0F8621CD" w14:textId="77777777" w:rsidR="00797E53" w:rsidRDefault="00ED46EF">
      <w:pPr>
        <w:ind w:left="-567" w:right="281" w:firstLine="709"/>
        <w:jc w:val="both"/>
      </w:pPr>
      <w:r>
        <w:t>Conform aceloraşi prevederi, se permite suplimentarea cu 3 niveluri, respectiv două trase în interiorul unui arc de cerc cu raza de 4,0 metri şi tangenta la 45 o la acesta, iau unul în planul faţadei la clădirile de colţ pe o lungime de maxim 15 metri, apoi retrase.</w:t>
      </w:r>
    </w:p>
    <w:p w14:paraId="27CB78FC" w14:textId="77777777" w:rsidR="00797E53" w:rsidRDefault="00ED46EF">
      <w:pPr>
        <w:ind w:left="-567" w:right="281" w:firstLine="709"/>
        <w:jc w:val="both"/>
      </w:pPr>
      <w:r>
        <w:t xml:space="preserve">Aşadar, pe lângă numărul de niveluri P+3 (un nivel este de 3 m) este permisă suplimentarea cu 3 niveluri (fiecare nivel putând avea 3 m), rezultând o înălţime maximă de 21 de metri, adică P+6, deci 7 niveluri de câte 3 metri fiecare. </w:t>
      </w:r>
    </w:p>
    <w:p w14:paraId="43ED2846" w14:textId="77777777" w:rsidR="00797E53" w:rsidRDefault="00ED46EF">
      <w:pPr>
        <w:ind w:left="-567" w:firstLine="709"/>
        <w:jc w:val="both"/>
      </w:pPr>
      <w:r>
        <w:t xml:space="preserve">Pornind de la aceste coordonate şi reţinând că prin PUZ strada </w:t>
      </w:r>
      <w:r w:rsidR="00BC5446">
        <w:t>......... nr........</w:t>
      </w:r>
      <w:r>
        <w:t xml:space="preserve"> s-a aprobat Rmh = Ds+P+4E+5Er, unde Hmax 17m P+4E şi Hmax 21m P+5Er, rezultă că s-a respectat atât numărul maxim de niveluri (P+5, faţă de P+6 cât permit reglementările urbanistice), cât şi înălţimea maximă permisă de aceleaşi dispoziţii, respectiv 21 de metri.</w:t>
      </w:r>
    </w:p>
    <w:p w14:paraId="7C2EDF44" w14:textId="77777777" w:rsidR="00797E53" w:rsidRDefault="00ED46EF">
      <w:pPr>
        <w:ind w:left="-567" w:firstLine="709"/>
        <w:jc w:val="both"/>
      </w:pPr>
      <w:r>
        <w:t>În finalul considerentelor subsumate acestei critici, Curtea arată că argumentul invocat de intimata-reclamantă cu ocazia dezbaterilor, în sensul că distanţa dintre aliniamente este mult mai mică decât înălţimea clădirilor, nu poate fi identificat în cuprinsul cererii de chemare în judecată (în acţiune, s-a criticat doar depăşirea înălţimii clădirilor în raport cu lăţimea străzii), astfel că, în raport de dispoziţiile art. 494 rap. la art. 478 C.pr.civ., acesta nu poate face obiectul cenzurii instanţei de c</w:t>
      </w:r>
      <w:r>
        <w:t>asare.</w:t>
      </w:r>
    </w:p>
    <w:p w14:paraId="2D382BBD" w14:textId="77777777" w:rsidR="00797E53" w:rsidRDefault="00797E53">
      <w:pPr>
        <w:ind w:left="-567" w:right="281" w:firstLine="709"/>
        <w:jc w:val="both"/>
      </w:pPr>
    </w:p>
    <w:p w14:paraId="5EF2CB33" w14:textId="77777777" w:rsidR="00797E53" w:rsidRDefault="00ED46EF">
      <w:pPr>
        <w:ind w:left="-567" w:right="281" w:firstLine="709"/>
        <w:jc w:val="both"/>
        <w:rPr>
          <w:rStyle w:val="Fontdeparagrafimplicit1"/>
          <w:b/>
        </w:rPr>
      </w:pPr>
      <w:r>
        <w:rPr>
          <w:rStyle w:val="Fontdeparagrafimplicit1"/>
          <w:b/>
        </w:rPr>
        <w:t>O a cincea critică invocată de ambii recurenţi vizează concluzia primei instanţe cu privire la nealocarea unei suprafeţe de 20 m.p. spaţiu verde pentru fiecare locuitor al imobilelor ce se vor construi [pct. 3.1. lit. e) şi pct. 3.2. lit. e)].</w:t>
      </w:r>
    </w:p>
    <w:p w14:paraId="236A3FB1" w14:textId="77777777" w:rsidR="00797E53" w:rsidRDefault="00ED46EF">
      <w:pPr>
        <w:ind w:left="-567" w:right="281" w:firstLine="709"/>
        <w:jc w:val="both"/>
      </w:pPr>
      <w:r>
        <w:t>Critica este nefondată.</w:t>
      </w:r>
    </w:p>
    <w:p w14:paraId="3E1A2CD0" w14:textId="77777777" w:rsidR="00797E53" w:rsidRDefault="00ED46EF">
      <w:pPr>
        <w:ind w:left="-567" w:right="281" w:firstLine="709"/>
        <w:jc w:val="both"/>
      </w:pPr>
      <w:r>
        <w:t xml:space="preserve">Astfel, conform R.L.U. aferent P.U.G. Municipiul </w:t>
      </w:r>
      <w:r w:rsidR="00BC5446">
        <w:t>............</w:t>
      </w:r>
      <w:r>
        <w:t xml:space="preserve">, terenul situat în strada </w:t>
      </w:r>
      <w:r w:rsidR="00BC5446">
        <w:t>......... nr........</w:t>
      </w:r>
      <w:r>
        <w:t xml:space="preserve"> face parte din CB1 – subzona serviciilor publice dispersate în afara zonelor protejate, în care sunt admise ca utilizări instituţii şi servicii publice supramunicipale şi municipale, precum şi sedii ale unor organisme extrateritoriale.</w:t>
      </w:r>
    </w:p>
    <w:p w14:paraId="0D35F44B" w14:textId="77777777" w:rsidR="00797E53" w:rsidRDefault="00ED46EF">
      <w:pPr>
        <w:ind w:left="-567" w:right="281" w:firstLine="709"/>
        <w:jc w:val="both"/>
      </w:pPr>
      <w:r>
        <w:t>Potrivit art. 2 intitulat „</w:t>
      </w:r>
      <w:r>
        <w:rPr>
          <w:rStyle w:val="Fontdeparagrafimplicit1"/>
          <w:i/>
        </w:rPr>
        <w:t>Utilizări admise cu condiţionări</w:t>
      </w:r>
      <w:r>
        <w:t>”, în subzona CB1 sunt permise extinderile şi schimbările de profil cu condiţia să nu incomodeze prin poluare şi trafic funcţiunile învecinate.</w:t>
      </w:r>
    </w:p>
    <w:p w14:paraId="69E994B8" w14:textId="297521F6" w:rsidR="00797E53" w:rsidRDefault="00ED46EF">
      <w:pPr>
        <w:ind w:left="-567" w:right="281" w:firstLine="709"/>
        <w:jc w:val="both"/>
      </w:pPr>
      <w:r>
        <w:t xml:space="preserve">Din textele redate în precedent, rezultă că există posibilitatea avizării unor noi utilizări ale terenului, ceea ce s-a şi realizat prin intermediul P.U.Z. aprobat prin </w:t>
      </w:r>
      <w:r w:rsidR="00AF7A1E">
        <w:t>H.C.M.</w:t>
      </w:r>
      <w:r>
        <w:t xml:space="preserve"> nr. </w:t>
      </w:r>
      <w:r w:rsidR="00BC5446">
        <w:t>.........</w:t>
      </w:r>
      <w:r>
        <w:t xml:space="preserve">/2018, prin </w:t>
      </w:r>
      <w:r>
        <w:lastRenderedPageBreak/>
        <w:t xml:space="preserve">s-a avizat o nouă funcţiune pentru terenul din strada </w:t>
      </w:r>
      <w:r w:rsidR="0019625B">
        <w:t>.........  nr. ........</w:t>
      </w:r>
      <w:r>
        <w:t>, respectiv „</w:t>
      </w:r>
      <w:r>
        <w:rPr>
          <w:rStyle w:val="Fontdeparagrafimplicit1"/>
          <w:i/>
        </w:rPr>
        <w:t>Ansamblu de locuit cu funcţiuni complementare: comerţ, servicii, birouri, parcări şi spaţii verzi</w:t>
      </w:r>
      <w:r>
        <w:t>.”.</w:t>
      </w:r>
    </w:p>
    <w:p w14:paraId="40FB4EE1" w14:textId="77777777" w:rsidR="00797E53" w:rsidRDefault="00ED46EF">
      <w:pPr>
        <w:ind w:left="-567" w:right="281" w:firstLine="709"/>
        <w:jc w:val="both"/>
      </w:pPr>
      <w:r>
        <w:t>Potrivit dispoziţiilor art. 10 alin. 3 din Legea nr. 24/2007, transformarea zonelor cu altefuncţiuni în zone rezidenţiale se poate realiza exclusiv pe baza unor documentaţii de urbanism care trebuie să prevadă un minimum de 20 m.p. de spaţiu verde pe cap de locuitor.</w:t>
      </w:r>
    </w:p>
    <w:p w14:paraId="040DE722" w14:textId="77777777" w:rsidR="00797E53" w:rsidRDefault="00ED46EF">
      <w:pPr>
        <w:ind w:left="-567" w:right="281" w:firstLine="709"/>
        <w:jc w:val="both"/>
        <w:rPr>
          <w:rStyle w:val="Fontdeparagrafimplicit1"/>
          <w:i/>
        </w:rPr>
      </w:pPr>
      <w:r>
        <w:t>Acest text legal este aplicabil şi cauza pendinte, întrucât a avut loc transformarea unei zone, pentru care R.L.U. prevede că are ca utilizări admise</w:t>
      </w:r>
      <w:r>
        <w:rPr>
          <w:rStyle w:val="Fontdeparagrafimplicit1"/>
          <w:i/>
        </w:rPr>
        <w:t xml:space="preserve"> „instituţii şi servicii publice supramunicipale şi municipale, sedii ale unor organisme extrateritoriale</w:t>
      </w:r>
      <w:r>
        <w:t>”, într-o zonăcu funcţiunea, în parte, rezidenţială.</w:t>
      </w:r>
    </w:p>
    <w:p w14:paraId="2468AB37" w14:textId="01D0505F" w:rsidR="00797E53" w:rsidRDefault="00ED46EF">
      <w:pPr>
        <w:ind w:left="-567" w:right="281" w:firstLine="709"/>
        <w:jc w:val="both"/>
      </w:pPr>
      <w:r>
        <w:t xml:space="preserve">De altfel, se impune a se nota că şi în </w:t>
      </w:r>
      <w:r w:rsidR="0019625B">
        <w:t>Avizului de oportunitate nr. ......</w:t>
      </w:r>
      <w:r>
        <w:t xml:space="preserve">17.02.2015 (fila 141, vol. I, dosar nr. </w:t>
      </w:r>
      <w:r w:rsidR="00BC5446">
        <w:t>..............</w:t>
      </w:r>
      <w:r>
        <w:t>), la punctul 3 intitulat „</w:t>
      </w:r>
      <w:r>
        <w:rPr>
          <w:rStyle w:val="Fontdeparagrafimplicit1"/>
          <w:i/>
        </w:rPr>
        <w:t>Reglementări obligatorii şi dotări de interes public</w:t>
      </w:r>
      <w:r>
        <w:t xml:space="preserve">”, liniuţa a şaptea, aviz care a stat la baza adoptării </w:t>
      </w:r>
      <w:r w:rsidR="00AF7A1E">
        <w:t>H.C.M.</w:t>
      </w:r>
      <w:r>
        <w:t xml:space="preserve"> nr. </w:t>
      </w:r>
      <w:r w:rsidR="00BC5446">
        <w:t>.........</w:t>
      </w:r>
      <w:r>
        <w:t>/2018,  se prevede că „</w:t>
      </w:r>
      <w:r>
        <w:rPr>
          <w:rStyle w:val="Fontdeparagrafimplicit1"/>
          <w:i/>
        </w:rPr>
        <w:t>Se vor respecta prevederile art. 10 alin. 3 din Legea nr. 24/2007 privind reglementarea şi administrarea spaţiilor verzi din intravilanul localităţilor</w:t>
      </w:r>
      <w:r>
        <w:t>.”.</w:t>
      </w:r>
    </w:p>
    <w:p w14:paraId="5E7D28BB" w14:textId="77777777" w:rsidR="00797E53" w:rsidRDefault="00ED46EF">
      <w:pPr>
        <w:ind w:left="-567" w:right="281" w:firstLine="709"/>
        <w:jc w:val="both"/>
      </w:pPr>
      <w:r>
        <w:t>Sintetizând elementele punctate în precedent, Curtea reţine că era posibilă schimbarea condiţionată a funcţiunii terenului, însă, într-o atare ipoteză, exista obligaţia asigurării un minimum de 20 m.p. de spaţiu verde pe cap de locuitor.</w:t>
      </w:r>
    </w:p>
    <w:p w14:paraId="02908047" w14:textId="77777777" w:rsidR="00797E53" w:rsidRDefault="00ED46EF">
      <w:pPr>
        <w:ind w:left="-567" w:right="281" w:firstLine="709"/>
        <w:jc w:val="both"/>
      </w:pPr>
      <w:r>
        <w:t>Fiind lămurită această chestiune, în continuare, Curtea va examina în ce măsură cerinţa legii a fost îndeplinită în cauză şi dacă argumentul recurenţilor referitor la prematuritatea analizării unui astfel de aspect are fundament legal.</w:t>
      </w:r>
    </w:p>
    <w:p w14:paraId="7C95DE4F" w14:textId="77777777" w:rsidR="00797E53" w:rsidRDefault="00ED46EF">
      <w:pPr>
        <w:ind w:left="-567" w:right="281" w:firstLine="709"/>
        <w:jc w:val="both"/>
      </w:pPr>
      <w:r>
        <w:t>Astfel, pornind de la prevederile art. 10 alin. 3 din Legea nr. 24/2007, Curtea constată că documentaţia supusă controlului instanţei de contencios administrativ este nelegal adoptată, întrucât din cuprinsul său, piese scrise şi/sau desenate, nu rezultă că, într-adevăr, aceasta îndeplineşte toate condiţiile impuse de lege pentru a se fi posibilă schimbarea funcţiunii terenului, respectiv nu rezultă că se asigură un minimum de 20 m.p. de spaţiu verde pe cap de locuitor.</w:t>
      </w:r>
    </w:p>
    <w:p w14:paraId="1C7E7796" w14:textId="77777777" w:rsidR="00797E53" w:rsidRDefault="00ED46EF">
      <w:pPr>
        <w:ind w:left="-567" w:right="281" w:firstLine="709"/>
        <w:jc w:val="both"/>
      </w:pPr>
      <w:r>
        <w:t>Instanţa punctează că legalitatea documentaţiei de urbanism se întemeiază exclusiv pe conţinutul său, sub condiţia ca aceasta să fie conformă reglementărilor având forţă juridică superioară, însă prezumţia de legalitate nu rezultă din faptul adoptării acesteia de către autoritatea publică, ci numai prin raportare la documentaţia aprobată</w:t>
      </w:r>
      <w:r>
        <w:rPr>
          <w:rStyle w:val="Fontdeparagrafimplicit1"/>
          <w:color w:val="FF0000"/>
        </w:rPr>
        <w:t xml:space="preserve">, </w:t>
      </w:r>
      <w:r>
        <w:t>fără a fi admise şi necesare alte interpretări/lămuriri şi/sau înscrisuri suplimentare.</w:t>
      </w:r>
    </w:p>
    <w:p w14:paraId="3ABE7BDA" w14:textId="77777777" w:rsidR="00797E53" w:rsidRDefault="00ED46EF">
      <w:pPr>
        <w:ind w:left="-567" w:right="281" w:firstLine="709"/>
        <w:jc w:val="both"/>
        <w:rPr>
          <w:rStyle w:val="Fontdeparagrafimplicit1"/>
          <w:i/>
        </w:rPr>
      </w:pPr>
      <w:r>
        <w:t>Curtea apreciază că revenea titularului dreptului de proprietate asupra terenului vizat de aprobarea P.U.Z. contestat obligaţia de a face dovada că din cuprinsul acestei documentaţii rezultă în mod transparent că se respectă prevederile art. 10 alin. 3 din Legea nr. 24/2007 care permiteau schimbarea funcţiunii în zonă rezidenţială,însă exclusiv pe baza documentaţiilor de urbanism care să prevadă un minimum de 20 m.p. de spaţiu verde pe cap de locuitor.</w:t>
      </w:r>
    </w:p>
    <w:p w14:paraId="38A2232D" w14:textId="77777777" w:rsidR="00797E53" w:rsidRDefault="00ED46EF">
      <w:pPr>
        <w:ind w:left="-567" w:right="281" w:firstLine="709"/>
        <w:jc w:val="both"/>
      </w:pPr>
      <w:r>
        <w:t>Or, în cauză, recurenţii nici nu au afirmat şi nici nu au dovedit că, faţă de numărul de locuitori care ar putea utiliza spaţiul din imobilele preconizat a fi edificate, s-a prevăzut în cuprinsul documentaţiei un minimum de 20 m.p. de spaţiu verde pe cap de locuitor.</w:t>
      </w:r>
    </w:p>
    <w:p w14:paraId="3F2C4C0A" w14:textId="77777777" w:rsidR="00797E53" w:rsidRDefault="00ED46EF">
      <w:pPr>
        <w:ind w:left="-567" w:right="281" w:firstLine="709"/>
        <w:jc w:val="both"/>
        <w:rPr>
          <w:rStyle w:val="Fontdeparagrafimplicit1"/>
          <w:color w:val="FF0000"/>
        </w:rPr>
      </w:pPr>
      <w:r>
        <w:t xml:space="preserve">În referire la apărarea recurentei </w:t>
      </w:r>
      <w:r w:rsidR="00BC5446">
        <w:t>AB</w:t>
      </w:r>
      <w:r w:rsidR="0019625B">
        <w:t xml:space="preserve"> </w:t>
      </w:r>
      <w:r>
        <w:t>S.R.L., în sensul că sunt respectate dispoziţiile legale prin aceea că spaţiul verde pe sol natural urmează a fi în suprafaţă de aproximativ 1.750 m.p., respectiv 20% din suprafaţă, la care se adaugă spaţiul verde de pe terase în suprafaţă de aproximativ 920,50 m.p., adică 10% din suprafaţă, Curtea arată că o astfel de împrejurare nu echivalează cu dovada îndeplinirii condiţiei prevăzute de art. 10 alin. 3 din Legea nr. 24/2007 care impune alocarea unei suprafeţe de 20 m.p. pe cap de locuitor.</w:t>
      </w:r>
    </w:p>
    <w:p w14:paraId="216DFB8B" w14:textId="77777777" w:rsidR="00797E53" w:rsidRDefault="00ED46EF">
      <w:pPr>
        <w:ind w:left="-567" w:right="281" w:firstLine="709"/>
        <w:jc w:val="both"/>
      </w:pPr>
      <w:r>
        <w:t>Curtea subliniază că cele două condiţii, respectiv cea referitoare la asigurarea unui procent din suprafaţa totală a terenului pentru spaţiu verde amenajat şi cea de se a aloca o suprafaţă de 20 de m.p. de spaţiu verde pentru fiecare locuitor, sunt diferite şi trebuie să fie îndeplinite concomitent.</w:t>
      </w:r>
    </w:p>
    <w:p w14:paraId="1357CA28" w14:textId="77777777" w:rsidR="00797E53" w:rsidRDefault="00ED46EF">
      <w:pPr>
        <w:ind w:left="-567" w:right="281" w:firstLine="709"/>
        <w:jc w:val="both"/>
      </w:pPr>
      <w:r>
        <w:t xml:space="preserve">De altfel, Curtea observă că această dublă condiţionare i –a fost adusă la cunoştinţă </w:t>
      </w:r>
      <w:r w:rsidR="00BC5446">
        <w:t>AB</w:t>
      </w:r>
      <w:r w:rsidR="0019625B">
        <w:t xml:space="preserve"> </w:t>
      </w:r>
      <w:r>
        <w:t xml:space="preserve">S.R.L., proprietarul terenului, şi prin Avizului de </w:t>
      </w:r>
      <w:r w:rsidR="0019625B">
        <w:t>oportunitate nr. ......</w:t>
      </w:r>
      <w:r>
        <w:t xml:space="preserve">.07.02.2015 (fila 141 vol. I dosar nr. </w:t>
      </w:r>
      <w:r w:rsidR="00BC5446">
        <w:t>..............</w:t>
      </w:r>
      <w:r>
        <w:t>), unde la pct. 3 „</w:t>
      </w:r>
      <w:r>
        <w:rPr>
          <w:rStyle w:val="Fontdeparagrafimplicit1"/>
          <w:i/>
        </w:rPr>
        <w:t>Reglementări obligatorii şi dotări de interes public necesare</w:t>
      </w:r>
      <w:r>
        <w:t>” cele două condiţii s-au stipulat în mod distinct la liniuţa 5, respectiv 7.</w:t>
      </w:r>
    </w:p>
    <w:p w14:paraId="29F31F06" w14:textId="77777777" w:rsidR="00797E53" w:rsidRDefault="00ED46EF">
      <w:pPr>
        <w:ind w:left="-567" w:right="281" w:firstLine="709"/>
        <w:jc w:val="both"/>
      </w:pPr>
      <w:r>
        <w:lastRenderedPageBreak/>
        <w:t>În sfârşit, Curtea va înlătura şi apărarea recurenţilor, referitoare la caracterul prematur al analizării îndeplinirii condiţiei relative la asigurarea unei suprafeţe de 20 de m.p. de spaţiu verde pentru fiecare locuitor, reţinând că textul art. 10 alin. 3 din Legea nr. 24/2007 prevede în mod expres că o astfel de condiţie trebuie dovedită în cuprinsul documentaţiilor de urbanism prin care se transformă zonelor cu alte funcţiuni în zone rezidenţiale.</w:t>
      </w:r>
    </w:p>
    <w:p w14:paraId="6EF9EF63" w14:textId="5A1A49D6" w:rsidR="00797E53" w:rsidRDefault="00ED46EF">
      <w:pPr>
        <w:ind w:left="-567" w:right="281" w:firstLine="709"/>
        <w:jc w:val="both"/>
      </w:pPr>
      <w:r>
        <w:t xml:space="preserve">Or, în cauză, transformarea zonei cu altă funcţiune, respectiv CB1, în zonă rezidenţială a avut loc prin P.U.Z., ceea ce semnifică faptul că </w:t>
      </w:r>
      <w:proofErr w:type="spellStart"/>
      <w:r>
        <w:t>în</w:t>
      </w:r>
      <w:r w:rsidR="00AF7A1E">
        <w:t>H.C.M</w:t>
      </w:r>
      <w:proofErr w:type="spellEnd"/>
      <w:r w:rsidR="00AF7A1E">
        <w:t>.</w:t>
      </w:r>
      <w:r>
        <w:t xml:space="preserve"> nr. </w:t>
      </w:r>
      <w:r w:rsidR="00BC5446">
        <w:t>.........</w:t>
      </w:r>
      <w:r>
        <w:t>/2018 şi în documentaţia, piese scrise şi desenate, care face parte integrantă din aceasta, trebuie dovedită îndeplinirea condiţiei prevăzute de art. 10 alin 3 din Legea nr. 24/2007, cu atât mai mult cu cât planul urbanistic zonal este un act normativ în cuprinsul căruia trebuie evidenţiată în mod corect şi complet întreaga reglementare care va fi avută în vedere în continuare pentru terenul în cauză, respectiv condiţiile în care se poate elibera autorizaţia de construire şi în care se poate e</w:t>
      </w:r>
      <w:r>
        <w:t>difica.</w:t>
      </w:r>
    </w:p>
    <w:p w14:paraId="05618A60" w14:textId="77777777" w:rsidR="00797E53" w:rsidRDefault="00797E53">
      <w:pPr>
        <w:ind w:left="-567" w:right="281" w:firstLine="709"/>
        <w:jc w:val="both"/>
      </w:pPr>
    </w:p>
    <w:p w14:paraId="0A063D73" w14:textId="77777777" w:rsidR="00797E53" w:rsidRDefault="00ED46EF">
      <w:pPr>
        <w:numPr>
          <w:ilvl w:val="0"/>
          <w:numId w:val="9"/>
        </w:numPr>
        <w:ind w:right="281"/>
        <w:jc w:val="both"/>
        <w:rPr>
          <w:rStyle w:val="Fontdeparagrafimplicit1"/>
          <w:b/>
        </w:rPr>
      </w:pPr>
      <w:r>
        <w:rPr>
          <w:rStyle w:val="Fontdeparagrafimplicit1"/>
          <w:b/>
        </w:rPr>
        <w:t xml:space="preserve">Temeiul de drept al soluţiei. </w:t>
      </w:r>
    </w:p>
    <w:p w14:paraId="2C701D93" w14:textId="77777777" w:rsidR="00797E53" w:rsidRDefault="00797E53">
      <w:pPr>
        <w:ind w:left="-567" w:right="281" w:firstLine="709"/>
        <w:jc w:val="both"/>
        <w:rPr>
          <w:rStyle w:val="Fontdeparagrafimplicit1"/>
        </w:rPr>
      </w:pPr>
    </w:p>
    <w:p w14:paraId="642B5E1A" w14:textId="77777777" w:rsidR="00797E53" w:rsidRDefault="00ED46EF">
      <w:pPr>
        <w:ind w:left="-567" w:right="281" w:firstLine="709"/>
        <w:jc w:val="both"/>
      </w:pPr>
      <w:r>
        <w:t>Pentru considerentele expuse, reţinând, totodată, că, în economia speţei, este irelevant faptul că anumite critici au fost apreciate de instanţa de casare ca fondate, atât timp cât cel puţin unul din motivele de nelegalitate reţinute de instanţa de fond în privinţa actului contestat a fost menţinut, Curtea constată, că în temeiul art. 496 C.pr.civ. se impune respingerea recursurilor formulate în cauză, ca nefondate.</w:t>
      </w:r>
    </w:p>
    <w:p w14:paraId="6EC5F325" w14:textId="77777777" w:rsidR="00797E53" w:rsidRDefault="00797E53">
      <w:pPr>
        <w:tabs>
          <w:tab w:val="left" w:pos="284"/>
        </w:tabs>
        <w:ind w:left="-567" w:right="281" w:firstLine="709"/>
        <w:rPr>
          <w:rStyle w:val="Fontdeparagrafimplicit1"/>
          <w:b/>
        </w:rPr>
      </w:pPr>
    </w:p>
    <w:p w14:paraId="3B0DBB44" w14:textId="77777777" w:rsidR="00797E53" w:rsidRDefault="00ED46EF">
      <w:pPr>
        <w:tabs>
          <w:tab w:val="left" w:pos="284"/>
        </w:tabs>
        <w:ind w:left="-567" w:right="281" w:firstLine="709"/>
        <w:jc w:val="center"/>
        <w:rPr>
          <w:rStyle w:val="Fontdeparagrafimplicit1"/>
          <w:b/>
        </w:rPr>
      </w:pPr>
      <w:r>
        <w:rPr>
          <w:rStyle w:val="Fontdeparagrafimplicit1"/>
          <w:b/>
        </w:rPr>
        <w:t>PENTRU ACESTE MOTIVE,</w:t>
      </w:r>
    </w:p>
    <w:p w14:paraId="18D5FE0A" w14:textId="77777777" w:rsidR="00797E53" w:rsidRDefault="00ED46EF">
      <w:pPr>
        <w:tabs>
          <w:tab w:val="left" w:pos="284"/>
        </w:tabs>
        <w:ind w:left="-567" w:right="281" w:firstLine="709"/>
        <w:jc w:val="center"/>
        <w:rPr>
          <w:rStyle w:val="Fontdeparagrafimplicit1"/>
          <w:b/>
        </w:rPr>
      </w:pPr>
      <w:r>
        <w:rPr>
          <w:rStyle w:val="Fontdeparagrafimplicit1"/>
          <w:b/>
        </w:rPr>
        <w:t>ÎN NUMELE LEGII,</w:t>
      </w:r>
    </w:p>
    <w:p w14:paraId="647F9368" w14:textId="77777777" w:rsidR="00797E53" w:rsidRDefault="00ED46EF">
      <w:pPr>
        <w:tabs>
          <w:tab w:val="left" w:pos="284"/>
        </w:tabs>
        <w:ind w:left="-567" w:right="281" w:firstLine="709"/>
        <w:jc w:val="center"/>
        <w:rPr>
          <w:rStyle w:val="Fontdeparagrafimplicit1"/>
          <w:b/>
        </w:rPr>
      </w:pPr>
      <w:r>
        <w:rPr>
          <w:rStyle w:val="Fontdeparagrafimplicit1"/>
          <w:b/>
        </w:rPr>
        <w:t>DECIDE:</w:t>
      </w:r>
    </w:p>
    <w:p w14:paraId="0D46EB74" w14:textId="77777777" w:rsidR="00797E53" w:rsidRDefault="00797E53">
      <w:pPr>
        <w:tabs>
          <w:tab w:val="left" w:pos="284"/>
        </w:tabs>
        <w:ind w:left="-567" w:right="281" w:firstLine="709"/>
        <w:jc w:val="center"/>
        <w:rPr>
          <w:rStyle w:val="Fontdeparagrafimplicit1"/>
          <w:b/>
        </w:rPr>
      </w:pPr>
    </w:p>
    <w:p w14:paraId="74C37F7A" w14:textId="227F0B39" w:rsidR="00797E53" w:rsidRDefault="00ED46EF">
      <w:pPr>
        <w:ind w:left="-567" w:right="281" w:firstLine="709"/>
        <w:jc w:val="both"/>
      </w:pPr>
      <w:r>
        <w:t xml:space="preserve">Respinge recursurile formulate de </w:t>
      </w:r>
      <w:proofErr w:type="spellStart"/>
      <w:r>
        <w:rPr>
          <w:rStyle w:val="Fontdeparagrafimplicit1"/>
          <w:b/>
        </w:rPr>
        <w:t>recurenţii-pârâţi</w:t>
      </w:r>
      <w:proofErr w:type="spellEnd"/>
      <w:r>
        <w:rPr>
          <w:rStyle w:val="Fontdeparagrafimplicit1"/>
          <w:b/>
        </w:rPr>
        <w:t xml:space="preserve"> </w:t>
      </w:r>
      <w:r w:rsidR="00AF7A1E">
        <w:rPr>
          <w:rStyle w:val="Fontdeparagrafimplicit1"/>
          <w:b/>
        </w:rPr>
        <w:t>Consiliul</w:t>
      </w:r>
      <w:r>
        <w:rPr>
          <w:rStyle w:val="Fontdeparagrafimplicit1"/>
          <w:b/>
        </w:rPr>
        <w:t xml:space="preserve"> </w:t>
      </w:r>
      <w:r w:rsidR="0019625B">
        <w:rPr>
          <w:rStyle w:val="Fontdeparagrafimplicit1"/>
          <w:b/>
        </w:rPr>
        <w:t>Municipiului B</w:t>
      </w:r>
      <w:r>
        <w:rPr>
          <w:rStyle w:val="Fontdeparagrafimplicit1"/>
          <w:b/>
        </w:rPr>
        <w:t xml:space="preserve">, </w:t>
      </w:r>
      <w:r>
        <w:rPr>
          <w:rStyle w:val="Fontdeparagrafimplicit1"/>
          <w:i/>
        </w:rPr>
        <w:t xml:space="preserve">cu sediul în </w:t>
      </w:r>
      <w:r w:rsidR="00BC5446">
        <w:rPr>
          <w:rStyle w:val="Fontdeparagrafimplicit1"/>
          <w:i/>
        </w:rPr>
        <w:t>............</w:t>
      </w:r>
      <w:r>
        <w:rPr>
          <w:rStyle w:val="Fontdeparagrafimplicit1"/>
          <w:i/>
        </w:rPr>
        <w:t>, Bd.</w:t>
      </w:r>
      <w:r w:rsidR="0019625B">
        <w:rPr>
          <w:rStyle w:val="Fontdeparagrafimplicit1"/>
          <w:i/>
        </w:rPr>
        <w:t>........., nr..........</w:t>
      </w:r>
      <w:r>
        <w:rPr>
          <w:rStyle w:val="Fontdeparagrafimplicit1"/>
          <w:i/>
        </w:rPr>
        <w:t xml:space="preserve">, </w:t>
      </w:r>
      <w:r w:rsidR="0019625B">
        <w:rPr>
          <w:rStyle w:val="Fontdeparagrafimplicit1"/>
          <w:i/>
        </w:rPr>
        <w:t xml:space="preserve">........... </w:t>
      </w:r>
      <w:r>
        <w:t xml:space="preserve">şi </w:t>
      </w:r>
      <w:r w:rsidR="00BC5446">
        <w:rPr>
          <w:rStyle w:val="Fontdeparagrafimplicit1"/>
          <w:b/>
        </w:rPr>
        <w:t>AB</w:t>
      </w:r>
      <w:r w:rsidR="0019625B">
        <w:rPr>
          <w:rStyle w:val="Fontdeparagrafimplicit1"/>
          <w:b/>
        </w:rPr>
        <w:t xml:space="preserve"> </w:t>
      </w:r>
      <w:r>
        <w:rPr>
          <w:rStyle w:val="Fontdeparagrafimplicit1"/>
          <w:b/>
        </w:rPr>
        <w:t xml:space="preserve">S.R.L, </w:t>
      </w:r>
      <w:r>
        <w:rPr>
          <w:rStyle w:val="Fontdeparagrafimplicit1"/>
          <w:i/>
        </w:rPr>
        <w:t xml:space="preserve">cu sediul ales în </w:t>
      </w:r>
      <w:r w:rsidR="00BC5446">
        <w:rPr>
          <w:rStyle w:val="Fontdeparagrafimplicit1"/>
          <w:i/>
        </w:rPr>
        <w:t>............</w:t>
      </w:r>
      <w:r>
        <w:rPr>
          <w:rStyle w:val="Fontdeparagrafimplicit1"/>
          <w:i/>
        </w:rPr>
        <w:t xml:space="preserve">, </w:t>
      </w:r>
      <w:r w:rsidR="0019625B">
        <w:rPr>
          <w:rStyle w:val="Fontdeparagrafimplicit1"/>
          <w:i/>
        </w:rPr>
        <w:t>............ Bd.........., nr.........</w:t>
      </w:r>
      <w:r>
        <w:rPr>
          <w:rStyle w:val="Fontdeparagrafimplicit1"/>
          <w:i/>
        </w:rPr>
        <w:t>,</w:t>
      </w:r>
      <w:r>
        <w:t xml:space="preserve"> împotriva sentinţei nr. </w:t>
      </w:r>
      <w:r w:rsidR="00BC5446">
        <w:t>.............</w:t>
      </w:r>
      <w:r>
        <w:t xml:space="preserve">pronunţată de Tribunalul </w:t>
      </w:r>
      <w:r w:rsidR="00BC5446">
        <w:t>............</w:t>
      </w:r>
      <w:r>
        <w:t xml:space="preserve">, Secţia </w:t>
      </w:r>
      <w:r w:rsidR="00BC5446">
        <w:t>.............</w:t>
      </w:r>
      <w:r>
        <w:t xml:space="preserve">Contencios Administrativ şi Fiscal în dosarul nr. </w:t>
      </w:r>
      <w:r w:rsidR="00BC5446">
        <w:t>............</w:t>
      </w:r>
      <w:r>
        <w:t xml:space="preserve">, în contradictoriu cu </w:t>
      </w:r>
      <w:r>
        <w:rPr>
          <w:rStyle w:val="Fontdeparagrafimplicit1"/>
          <w:b/>
        </w:rPr>
        <w:t xml:space="preserve">intimata – reclamantă Asociaţia </w:t>
      </w:r>
      <w:r w:rsidR="00BC5446">
        <w:rPr>
          <w:rStyle w:val="Fontdeparagrafimplicit1"/>
          <w:b/>
        </w:rPr>
        <w:t>BC</w:t>
      </w:r>
      <w:r>
        <w:rPr>
          <w:rStyle w:val="Fontdeparagrafimplicit1"/>
          <w:b/>
        </w:rPr>
        <w:t xml:space="preserve">, </w:t>
      </w:r>
      <w:r>
        <w:rPr>
          <w:rStyle w:val="Fontdeparagrafimplicit1"/>
          <w:i/>
        </w:rPr>
        <w:t xml:space="preserve">cu sediul ales în </w:t>
      </w:r>
      <w:r w:rsidR="00BC5446">
        <w:rPr>
          <w:rStyle w:val="Fontdeparagrafimplicit1"/>
          <w:i/>
        </w:rPr>
        <w:t>............</w:t>
      </w:r>
      <w:r>
        <w:rPr>
          <w:rStyle w:val="Fontdeparagrafimplicit1"/>
          <w:i/>
        </w:rPr>
        <w:t>, str.</w:t>
      </w:r>
      <w:r w:rsidR="0019625B">
        <w:rPr>
          <w:rStyle w:val="Fontdeparagrafimplicit1"/>
          <w:i/>
        </w:rPr>
        <w:t>..........., nr.........</w:t>
      </w:r>
      <w:r>
        <w:rPr>
          <w:rStyle w:val="Fontdeparagrafimplicit1"/>
          <w:i/>
        </w:rPr>
        <w:t xml:space="preserve">, </w:t>
      </w:r>
      <w:r w:rsidR="0019625B">
        <w:rPr>
          <w:rStyle w:val="Fontdeparagrafimplicit1"/>
          <w:i/>
        </w:rPr>
        <w:t xml:space="preserve">............ </w:t>
      </w:r>
      <w:r>
        <w:rPr>
          <w:rStyle w:val="Fontdeparagrafimplicit1"/>
          <w:b/>
        </w:rPr>
        <w:t xml:space="preserve">şi intimatul – pârât Municipiul </w:t>
      </w:r>
      <w:r w:rsidR="0019625B">
        <w:rPr>
          <w:rStyle w:val="Fontdeparagrafimplicit1"/>
          <w:b/>
        </w:rPr>
        <w:t>B</w:t>
      </w:r>
      <w:r>
        <w:rPr>
          <w:rStyle w:val="Fontdeparagrafimplicit1"/>
          <w:b/>
        </w:rPr>
        <w:t xml:space="preserve"> prin </w:t>
      </w:r>
      <w:r w:rsidR="007F2401">
        <w:rPr>
          <w:rStyle w:val="Fontdeparagrafimplicit1"/>
          <w:b/>
        </w:rPr>
        <w:t>Primar ...</w:t>
      </w:r>
      <w:r>
        <w:rPr>
          <w:rStyle w:val="Fontdeparagrafimplicit1"/>
          <w:b/>
        </w:rPr>
        <w:t xml:space="preserve">, </w:t>
      </w:r>
      <w:r>
        <w:rPr>
          <w:rStyle w:val="Fontdeparagrafimplicit1"/>
          <w:i/>
        </w:rPr>
        <w:t xml:space="preserve">cu sediul în </w:t>
      </w:r>
      <w:r w:rsidR="00BC5446">
        <w:rPr>
          <w:rStyle w:val="Fontdeparagrafimplicit1"/>
          <w:i/>
        </w:rPr>
        <w:t>............</w:t>
      </w:r>
      <w:r>
        <w:rPr>
          <w:rStyle w:val="Fontdeparagrafimplicit1"/>
          <w:i/>
        </w:rPr>
        <w:t>, Bd.</w:t>
      </w:r>
      <w:r w:rsidR="0019625B">
        <w:rPr>
          <w:rStyle w:val="Fontdeparagrafimplicit1"/>
          <w:i/>
        </w:rPr>
        <w:t>........, nr........., ...........</w:t>
      </w:r>
      <w:r>
        <w:rPr>
          <w:rStyle w:val="Fontdeparagrafimplicit1"/>
          <w:i/>
        </w:rPr>
        <w:t>,</w:t>
      </w:r>
      <w:r>
        <w:t xml:space="preserve">în cauza având ca obiect </w:t>
      </w:r>
      <w:r>
        <w:rPr>
          <w:rStyle w:val="Fontdeparagrafimplicit1"/>
          <w:i/>
        </w:rPr>
        <w:t>anulare act administrativ</w:t>
      </w:r>
      <w:r>
        <w:t>, ca nefondate.</w:t>
      </w:r>
    </w:p>
    <w:p w14:paraId="0AFE7052" w14:textId="77777777" w:rsidR="00797E53" w:rsidRDefault="00ED46EF">
      <w:pPr>
        <w:ind w:left="-567" w:right="281" w:firstLine="709"/>
      </w:pPr>
      <w:r>
        <w:t>Definitivă.</w:t>
      </w:r>
    </w:p>
    <w:p w14:paraId="5E27BD26" w14:textId="77777777" w:rsidR="00797E53" w:rsidRDefault="00ED46EF">
      <w:pPr>
        <w:ind w:left="-567" w:right="281" w:firstLine="709"/>
      </w:pPr>
      <w:r>
        <w:t xml:space="preserve">Pronunţată prin punerea soluţiei la dispoziţia părţilor de către grefa instanţei azi, </w:t>
      </w:r>
      <w:r w:rsidR="00BC5446">
        <w:t>..............</w:t>
      </w:r>
      <w:r>
        <w:t>.</w:t>
      </w:r>
    </w:p>
    <w:p w14:paraId="35903FF5" w14:textId="77777777" w:rsidR="00797E53" w:rsidRDefault="00797E53">
      <w:pPr>
        <w:tabs>
          <w:tab w:val="left" w:pos="284"/>
        </w:tabs>
        <w:ind w:left="-567" w:right="281" w:firstLine="709"/>
        <w:jc w:val="center"/>
        <w:rPr>
          <w:rStyle w:val="Fontdeparagrafimplicit1"/>
          <w:b/>
        </w:rPr>
      </w:pPr>
    </w:p>
    <w:p w14:paraId="79F27C15" w14:textId="77777777" w:rsidR="00797E53" w:rsidRDefault="00797E53">
      <w:pPr>
        <w:tabs>
          <w:tab w:val="left" w:pos="284"/>
        </w:tabs>
        <w:ind w:left="-567" w:right="281" w:firstLine="709"/>
        <w:jc w:val="both"/>
        <w:rPr>
          <w:rStyle w:val="Fontdeparagrafimplicit1"/>
          <w:b/>
        </w:rPr>
      </w:pPr>
    </w:p>
    <w:p w14:paraId="668F28EA" w14:textId="77777777" w:rsidR="00797E53" w:rsidRDefault="00ED46EF">
      <w:pPr>
        <w:tabs>
          <w:tab w:val="left" w:pos="284"/>
        </w:tabs>
        <w:ind w:left="-567" w:right="281" w:firstLine="709"/>
        <w:rPr>
          <w:rStyle w:val="Fontdeparagrafimplicit1"/>
          <w:b/>
        </w:rPr>
      </w:pPr>
      <w:r>
        <w:rPr>
          <w:rStyle w:val="Fontdeparagrafimplicit1"/>
          <w:b/>
        </w:rPr>
        <w:t>Preşedinte,</w:t>
      </w:r>
      <w:r>
        <w:rPr>
          <w:rStyle w:val="Fontdeparagrafimplicit1"/>
          <w:b/>
        </w:rPr>
        <w:tab/>
      </w:r>
      <w:r>
        <w:rPr>
          <w:rStyle w:val="Fontdeparagrafimplicit1"/>
          <w:b/>
        </w:rPr>
        <w:tab/>
      </w:r>
      <w:r>
        <w:rPr>
          <w:rStyle w:val="Fontdeparagrafimplicit1"/>
          <w:b/>
        </w:rPr>
        <w:tab/>
        <w:t>Judecător,</w:t>
      </w:r>
      <w:r>
        <w:rPr>
          <w:rStyle w:val="Fontdeparagrafimplicit1"/>
          <w:b/>
        </w:rPr>
        <w:tab/>
        <w:t>Judecător,</w:t>
      </w:r>
    </w:p>
    <w:p w14:paraId="1D217971" w14:textId="77777777" w:rsidR="00797E53" w:rsidRDefault="00ED46EF">
      <w:pPr>
        <w:tabs>
          <w:tab w:val="left" w:pos="284"/>
        </w:tabs>
        <w:ind w:left="-567" w:right="281" w:firstLine="709"/>
        <w:rPr>
          <w:rStyle w:val="Fontdeparagrafimplicit1"/>
          <w:b/>
        </w:rPr>
      </w:pPr>
      <w:r>
        <w:rPr>
          <w:rStyle w:val="Fontdeparagrafimplicit1"/>
          <w:b/>
        </w:rPr>
        <w:t>.............</w:t>
      </w:r>
      <w:r w:rsidR="00D008BE">
        <w:rPr>
          <w:rStyle w:val="Fontdeparagrafimplicit1"/>
          <w:b/>
        </w:rPr>
        <w:tab/>
      </w:r>
      <w:r w:rsidR="00D008BE">
        <w:rPr>
          <w:rStyle w:val="Fontdeparagrafimplicit1"/>
          <w:b/>
        </w:rPr>
        <w:tab/>
      </w:r>
      <w:r>
        <w:rPr>
          <w:rStyle w:val="Fontdeparagrafimplicit1"/>
          <w:b/>
        </w:rPr>
        <w:t>CANDIDAT A0009</w:t>
      </w:r>
      <w:r w:rsidR="0019625B">
        <w:rPr>
          <w:rStyle w:val="Fontdeparagrafimplicit1"/>
          <w:b/>
        </w:rPr>
        <w:tab/>
        <w:t xml:space="preserve">   </w:t>
      </w:r>
      <w:r w:rsidR="00D008BE">
        <w:rPr>
          <w:rStyle w:val="Fontdeparagrafimplicit1"/>
          <w:b/>
        </w:rPr>
        <w:t xml:space="preserve"> </w:t>
      </w:r>
      <w:r>
        <w:rPr>
          <w:rStyle w:val="Fontdeparagrafimplicit1"/>
          <w:b/>
        </w:rPr>
        <w:t>.............</w:t>
      </w:r>
      <w:r w:rsidR="00D008BE">
        <w:rPr>
          <w:rStyle w:val="Fontdeparagrafimplicit1"/>
          <w:b/>
        </w:rPr>
        <w:t xml:space="preserve">    </w:t>
      </w:r>
    </w:p>
    <w:p w14:paraId="283CB520" w14:textId="77777777" w:rsidR="00797E53" w:rsidRDefault="00797E53">
      <w:pPr>
        <w:tabs>
          <w:tab w:val="left" w:pos="284"/>
        </w:tabs>
        <w:ind w:left="-567" w:right="281" w:firstLine="709"/>
        <w:rPr>
          <w:rStyle w:val="Fontdeparagrafimplicit1"/>
          <w:b/>
        </w:rPr>
      </w:pPr>
    </w:p>
    <w:p w14:paraId="3BFD54A2" w14:textId="77777777" w:rsidR="00797E53" w:rsidRDefault="00797E53">
      <w:pPr>
        <w:tabs>
          <w:tab w:val="left" w:pos="284"/>
        </w:tabs>
        <w:ind w:left="-567" w:right="281" w:firstLine="709"/>
        <w:rPr>
          <w:rStyle w:val="Fontdeparagrafimplicit1"/>
          <w:b/>
        </w:rPr>
      </w:pPr>
    </w:p>
    <w:p w14:paraId="00A493B0" w14:textId="77777777" w:rsidR="00797E53" w:rsidRDefault="00ED46EF">
      <w:pPr>
        <w:tabs>
          <w:tab w:val="left" w:pos="284"/>
        </w:tabs>
        <w:ind w:left="-567" w:right="281" w:firstLine="709"/>
        <w:rPr>
          <w:rStyle w:val="Fontdeparagrafimplicit1"/>
          <w:b/>
        </w:rPr>
      </w:pPr>
      <w:r>
        <w:rPr>
          <w:rStyle w:val="Fontdeparagrafimplicit1"/>
          <w:b/>
        </w:rPr>
        <w:t>Grefier,</w:t>
      </w:r>
    </w:p>
    <w:p w14:paraId="44C26954" w14:textId="77777777" w:rsidR="00797E53" w:rsidRDefault="00ED46EF">
      <w:pPr>
        <w:tabs>
          <w:tab w:val="left" w:pos="284"/>
        </w:tabs>
        <w:ind w:left="-567" w:right="281" w:firstLine="709"/>
        <w:rPr>
          <w:rStyle w:val="Fontdeparagrafimplicit1"/>
          <w:b/>
        </w:rPr>
      </w:pPr>
      <w:r>
        <w:rPr>
          <w:rStyle w:val="Fontdeparagrafimplicit1"/>
          <w:b/>
        </w:rPr>
        <w:t xml:space="preserve"> </w:t>
      </w:r>
      <w:r w:rsidR="00BC5446">
        <w:rPr>
          <w:rStyle w:val="Fontdeparagrafimplicit1"/>
          <w:b/>
        </w:rPr>
        <w:t>.............</w:t>
      </w:r>
    </w:p>
    <w:p w14:paraId="714FA3AA" w14:textId="77777777" w:rsidR="00797E53" w:rsidRDefault="00797E53">
      <w:pPr>
        <w:tabs>
          <w:tab w:val="left" w:pos="284"/>
        </w:tabs>
        <w:ind w:left="-567" w:right="281" w:firstLine="709"/>
        <w:rPr>
          <w:rStyle w:val="Fontdeparagrafimplicit1"/>
          <w:b/>
        </w:rPr>
      </w:pPr>
    </w:p>
    <w:p w14:paraId="1746A87F" w14:textId="77777777" w:rsidR="00797E53" w:rsidRDefault="00ED46EF">
      <w:pPr>
        <w:tabs>
          <w:tab w:val="left" w:pos="284"/>
        </w:tabs>
        <w:ind w:left="-567" w:right="281" w:firstLine="709"/>
        <w:jc w:val="both"/>
        <w:rPr>
          <w:rStyle w:val="Fontdeparagrafimplicit1"/>
          <w:sz w:val="16"/>
        </w:rPr>
      </w:pPr>
      <w:r>
        <w:rPr>
          <w:rStyle w:val="Fontdeparagrafimplicit1"/>
          <w:sz w:val="16"/>
        </w:rPr>
        <w:t>Red./thred. CANDIDAT A0009/ 2+4 ex/ .........</w:t>
      </w:r>
      <w:r w:rsidR="00D008BE">
        <w:rPr>
          <w:rStyle w:val="Fontdeparagrafimplicit1"/>
          <w:sz w:val="16"/>
        </w:rPr>
        <w:t>.</w:t>
      </w:r>
    </w:p>
    <w:p w14:paraId="0CBACDCE" w14:textId="77777777" w:rsidR="00797E53" w:rsidRDefault="00ED46EF">
      <w:pPr>
        <w:tabs>
          <w:tab w:val="left" w:pos="284"/>
        </w:tabs>
        <w:ind w:left="-567" w:right="281" w:firstLine="709"/>
        <w:jc w:val="both"/>
        <w:rPr>
          <w:rStyle w:val="Fontdeparagrafimplicit1"/>
          <w:sz w:val="16"/>
        </w:rPr>
      </w:pPr>
      <w:r>
        <w:rPr>
          <w:rStyle w:val="Fontdeparagrafimplicit1"/>
          <w:sz w:val="16"/>
        </w:rPr>
        <w:t>Judecător fond:</w:t>
      </w:r>
      <w:r w:rsidR="0019625B">
        <w:rPr>
          <w:rStyle w:val="Fontdeparagrafimplicit1"/>
          <w:sz w:val="16"/>
        </w:rPr>
        <w:t>...........</w:t>
      </w:r>
      <w:r>
        <w:rPr>
          <w:rStyle w:val="Fontdeparagrafimplicit1"/>
          <w:sz w:val="16"/>
        </w:rPr>
        <w:t xml:space="preserve">, Tribunalul </w:t>
      </w:r>
      <w:r w:rsidR="0019625B">
        <w:rPr>
          <w:rStyle w:val="Fontdeparagrafimplicit1"/>
          <w:sz w:val="16"/>
        </w:rPr>
        <w:t>.....</w:t>
      </w:r>
      <w:r w:rsidR="00BC5446">
        <w:rPr>
          <w:rStyle w:val="Fontdeparagrafimplicit1"/>
          <w:sz w:val="16"/>
        </w:rPr>
        <w:t>.....</w:t>
      </w:r>
      <w:r>
        <w:rPr>
          <w:rStyle w:val="Fontdeparagrafimplicit1"/>
          <w:sz w:val="16"/>
        </w:rPr>
        <w:t xml:space="preserve">, Secţia </w:t>
      </w:r>
      <w:r w:rsidR="0019625B">
        <w:rPr>
          <w:rStyle w:val="Fontdeparagrafimplicit1"/>
          <w:sz w:val="16"/>
        </w:rPr>
        <w:t>...</w:t>
      </w:r>
      <w:r w:rsidR="00BC5446">
        <w:rPr>
          <w:rStyle w:val="Fontdeparagrafimplicit1"/>
          <w:sz w:val="16"/>
        </w:rPr>
        <w:t>.......</w:t>
      </w:r>
      <w:r>
        <w:rPr>
          <w:rStyle w:val="Fontdeparagrafimplicit1"/>
          <w:sz w:val="16"/>
        </w:rPr>
        <w:t>Contencios Administrativ şi Fiscal</w:t>
      </w:r>
    </w:p>
    <w:p w14:paraId="75761E1E" w14:textId="77777777" w:rsidR="00797E53" w:rsidRDefault="00797E53" w:rsidP="0019625B">
      <w:pPr>
        <w:widowControl w:val="0"/>
        <w:tabs>
          <w:tab w:val="left" w:pos="284"/>
        </w:tabs>
        <w:ind w:right="281"/>
        <w:jc w:val="both"/>
        <w:rPr>
          <w:rStyle w:val="Fontdeparagrafimplicit1"/>
          <w:sz w:val="16"/>
        </w:rPr>
      </w:pPr>
    </w:p>
    <w:p w14:paraId="4F6E4D46" w14:textId="77777777" w:rsidR="00797E53" w:rsidRDefault="00797E53">
      <w:pPr>
        <w:tabs>
          <w:tab w:val="left" w:pos="284"/>
        </w:tabs>
        <w:ind w:left="-567" w:right="281" w:firstLine="709"/>
        <w:rPr>
          <w:rStyle w:val="Fontdeparagrafimplicit1"/>
          <w:sz w:val="16"/>
        </w:rPr>
      </w:pPr>
    </w:p>
    <w:p w14:paraId="55975151" w14:textId="77777777" w:rsidR="00797E53" w:rsidRDefault="00797E53">
      <w:pPr>
        <w:tabs>
          <w:tab w:val="left" w:pos="284"/>
        </w:tabs>
        <w:ind w:left="-567" w:right="281" w:firstLine="709"/>
        <w:rPr>
          <w:rStyle w:val="Fontdeparagrafimplicit1"/>
          <w:sz w:val="16"/>
        </w:rPr>
      </w:pPr>
    </w:p>
    <w:p w14:paraId="291776EE" w14:textId="77777777" w:rsidR="00797E53" w:rsidRDefault="00797E53">
      <w:pPr>
        <w:ind w:left="-567" w:right="281" w:firstLine="709"/>
        <w:jc w:val="both"/>
        <w:rPr>
          <w:rStyle w:val="Fontdeparagrafimplicit1"/>
          <w:rFonts w:ascii="Garamond" w:hAnsi="Garamond"/>
          <w:sz w:val="16"/>
        </w:rPr>
      </w:pPr>
    </w:p>
    <w:sectPr w:rsidR="00797E53" w:rsidSect="00797E53">
      <w:footerReference w:type="default" r:id="rId7"/>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A82FD" w14:textId="77777777" w:rsidR="00ED46EF" w:rsidRDefault="00ED46EF">
      <w:r>
        <w:separator/>
      </w:r>
    </w:p>
  </w:endnote>
  <w:endnote w:type="continuationSeparator" w:id="0">
    <w:p w14:paraId="4A65AD06" w14:textId="77777777" w:rsidR="00ED46EF" w:rsidRDefault="00ED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2EC5" w14:textId="77777777" w:rsidR="00797E53" w:rsidRDefault="00ED46EF">
    <w:pPr>
      <w:pStyle w:val="Subsol1"/>
      <w:jc w:val="center"/>
      <w:rPr>
        <w:rStyle w:val="Fontdeparagrafimplicit1"/>
      </w:rPr>
    </w:pPr>
    <w:r>
      <w:rPr>
        <w:rStyle w:val="Fontdeparagrafimplicit1"/>
      </w:rPr>
      <w:t xml:space="preserve">Pagină </w:t>
    </w:r>
    <w:r w:rsidR="00834FAE">
      <w:rPr>
        <w:rStyle w:val="Fontdeparagrafimplicit1"/>
      </w:rPr>
      <w:fldChar w:fldCharType="begin"/>
    </w:r>
    <w:r>
      <w:rPr>
        <w:rStyle w:val="Fontdeparagrafimplicit1"/>
        <w:b/>
      </w:rPr>
      <w:instrText>PAGE</w:instrText>
    </w:r>
    <w:r w:rsidR="00834FAE">
      <w:rPr>
        <w:rStyle w:val="Fontdeparagrafimplicit1"/>
      </w:rPr>
      <w:fldChar w:fldCharType="separate"/>
    </w:r>
    <w:r w:rsidR="00C5232C">
      <w:rPr>
        <w:rStyle w:val="Fontdeparagrafimplicit1"/>
        <w:b/>
        <w:noProof/>
      </w:rPr>
      <w:t>10</w:t>
    </w:r>
    <w:r w:rsidR="00834FAE">
      <w:rPr>
        <w:rStyle w:val="Fontdeparagrafimplicit1"/>
      </w:rPr>
      <w:fldChar w:fldCharType="end"/>
    </w:r>
    <w:r>
      <w:rPr>
        <w:rStyle w:val="Fontdeparagrafimplicit1"/>
      </w:rPr>
      <w:t xml:space="preserve"> din </w:t>
    </w:r>
    <w:r w:rsidR="00834FAE">
      <w:rPr>
        <w:rStyle w:val="Fontdeparagrafimplicit1"/>
      </w:rPr>
      <w:fldChar w:fldCharType="begin"/>
    </w:r>
    <w:r>
      <w:rPr>
        <w:rStyle w:val="Fontdeparagrafimplicit1"/>
        <w:b/>
      </w:rPr>
      <w:instrText>NUMPAGES</w:instrText>
    </w:r>
    <w:r w:rsidR="00834FAE">
      <w:rPr>
        <w:rStyle w:val="Fontdeparagrafimplicit1"/>
      </w:rPr>
      <w:fldChar w:fldCharType="separate"/>
    </w:r>
    <w:r w:rsidR="00C5232C">
      <w:rPr>
        <w:rStyle w:val="Fontdeparagrafimplicit1"/>
        <w:b/>
        <w:noProof/>
      </w:rPr>
      <w:t>10</w:t>
    </w:r>
    <w:r w:rsidR="00834FAE">
      <w:rPr>
        <w:rStyle w:val="Fontdeparagrafimplicit1"/>
      </w:rPr>
      <w:fldChar w:fldCharType="end"/>
    </w:r>
  </w:p>
  <w:p w14:paraId="7FA8E9CB" w14:textId="77777777" w:rsidR="00797E53" w:rsidRDefault="00797E53">
    <w:pPr>
      <w:pStyle w:val="Subsol1"/>
      <w:rPr>
        <w:rStyle w:val="Fontdeparagrafimplici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317C9" w14:textId="77777777" w:rsidR="00ED46EF" w:rsidRDefault="00ED46EF">
      <w:r>
        <w:separator/>
      </w:r>
    </w:p>
  </w:footnote>
  <w:footnote w:type="continuationSeparator" w:id="0">
    <w:p w14:paraId="42E19993" w14:textId="77777777" w:rsidR="00ED46EF" w:rsidRDefault="00ED4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2E2"/>
    <w:multiLevelType w:val="hybridMultilevel"/>
    <w:tmpl w:val="C7963A38"/>
    <w:lvl w:ilvl="0" w:tplc="65BC3F78">
      <w:numFmt w:val="bullet"/>
      <w:lvlText w:val="-"/>
      <w:lvlJc w:val="left"/>
      <w:pPr>
        <w:ind w:left="1080" w:hanging="360"/>
      </w:pPr>
      <w:rPr>
        <w:rFonts w:ascii="Times New Roman" w:hAnsi="Times New Roman"/>
      </w:rPr>
    </w:lvl>
    <w:lvl w:ilvl="1" w:tplc="40D220B0">
      <w:start w:val="1"/>
      <w:numFmt w:val="bullet"/>
      <w:lvlText w:val="o"/>
      <w:lvlJc w:val="left"/>
      <w:pPr>
        <w:ind w:left="1800" w:hanging="360"/>
      </w:pPr>
      <w:rPr>
        <w:rFonts w:ascii="Courier New" w:hAnsi="Courier New"/>
      </w:rPr>
    </w:lvl>
    <w:lvl w:ilvl="2" w:tplc="60FC1816">
      <w:start w:val="1"/>
      <w:numFmt w:val="bullet"/>
      <w:lvlText w:val=""/>
      <w:lvlJc w:val="left"/>
      <w:pPr>
        <w:ind w:left="2520" w:hanging="360"/>
      </w:pPr>
      <w:rPr>
        <w:rFonts w:ascii="Wingdings" w:hAnsi="Wingdings"/>
      </w:rPr>
    </w:lvl>
    <w:lvl w:ilvl="3" w:tplc="6CE05ED6">
      <w:start w:val="1"/>
      <w:numFmt w:val="bullet"/>
      <w:lvlText w:val=""/>
      <w:lvlJc w:val="left"/>
      <w:pPr>
        <w:ind w:left="3240" w:hanging="360"/>
      </w:pPr>
      <w:rPr>
        <w:rFonts w:ascii="Symbol" w:hAnsi="Symbol"/>
      </w:rPr>
    </w:lvl>
    <w:lvl w:ilvl="4" w:tplc="9AF426BC">
      <w:start w:val="1"/>
      <w:numFmt w:val="bullet"/>
      <w:lvlText w:val="o"/>
      <w:lvlJc w:val="left"/>
      <w:pPr>
        <w:ind w:left="3960" w:hanging="360"/>
      </w:pPr>
      <w:rPr>
        <w:rFonts w:ascii="Courier New" w:hAnsi="Courier New"/>
      </w:rPr>
    </w:lvl>
    <w:lvl w:ilvl="5" w:tplc="7C763CD0">
      <w:start w:val="1"/>
      <w:numFmt w:val="bullet"/>
      <w:lvlText w:val=""/>
      <w:lvlJc w:val="left"/>
      <w:pPr>
        <w:ind w:left="4680" w:hanging="360"/>
      </w:pPr>
      <w:rPr>
        <w:rFonts w:ascii="Wingdings" w:hAnsi="Wingdings"/>
      </w:rPr>
    </w:lvl>
    <w:lvl w:ilvl="6" w:tplc="834C71D6">
      <w:start w:val="1"/>
      <w:numFmt w:val="bullet"/>
      <w:lvlText w:val=""/>
      <w:lvlJc w:val="left"/>
      <w:pPr>
        <w:ind w:left="5400" w:hanging="360"/>
      </w:pPr>
      <w:rPr>
        <w:rFonts w:ascii="Symbol" w:hAnsi="Symbol"/>
      </w:rPr>
    </w:lvl>
    <w:lvl w:ilvl="7" w:tplc="8F623A70">
      <w:start w:val="1"/>
      <w:numFmt w:val="bullet"/>
      <w:lvlText w:val="o"/>
      <w:lvlJc w:val="left"/>
      <w:pPr>
        <w:ind w:left="6120" w:hanging="360"/>
      </w:pPr>
      <w:rPr>
        <w:rFonts w:ascii="Courier New" w:hAnsi="Courier New"/>
      </w:rPr>
    </w:lvl>
    <w:lvl w:ilvl="8" w:tplc="398C3BD8">
      <w:start w:val="1"/>
      <w:numFmt w:val="bullet"/>
      <w:lvlText w:val=""/>
      <w:lvlJc w:val="left"/>
      <w:pPr>
        <w:ind w:left="6840" w:hanging="360"/>
      </w:pPr>
      <w:rPr>
        <w:rFonts w:ascii="Wingdings" w:hAnsi="Wingdings"/>
      </w:rPr>
    </w:lvl>
  </w:abstractNum>
  <w:abstractNum w:abstractNumId="1" w15:restartNumberingAfterBreak="0">
    <w:nsid w:val="08CC36F6"/>
    <w:multiLevelType w:val="multilevel"/>
    <w:tmpl w:val="42C4E49E"/>
    <w:lvl w:ilvl="0">
      <w:start w:val="5"/>
      <w:numFmt w:val="lowerLetter"/>
      <w:lvlText w:val="%1)"/>
      <w:legacy w:legacy="1" w:legacySpace="0" w:legacyIndent="303"/>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 w15:restartNumberingAfterBreak="0">
    <w:nsid w:val="1E7D587E"/>
    <w:multiLevelType w:val="hybridMultilevel"/>
    <w:tmpl w:val="3B90618C"/>
    <w:lvl w:ilvl="0" w:tplc="391C4180">
      <w:start w:val="1"/>
      <w:numFmt w:val="bullet"/>
      <w:lvlText w:val="-"/>
      <w:lvlJc w:val="left"/>
      <w:pPr>
        <w:ind w:left="720" w:hanging="360"/>
      </w:pPr>
      <w:rPr>
        <w:rFonts w:ascii="Times New Roman" w:hAnsi="Times New Roman"/>
      </w:rPr>
    </w:lvl>
    <w:lvl w:ilvl="1" w:tplc="3CCA7E6A">
      <w:start w:val="1"/>
      <w:numFmt w:val="bullet"/>
      <w:lvlText w:val="o"/>
      <w:lvlJc w:val="left"/>
      <w:pPr>
        <w:ind w:left="1440" w:hanging="360"/>
      </w:pPr>
      <w:rPr>
        <w:rFonts w:ascii="Courier New" w:hAnsi="Courier New"/>
      </w:rPr>
    </w:lvl>
    <w:lvl w:ilvl="2" w:tplc="3D7AD7CC">
      <w:start w:val="1"/>
      <w:numFmt w:val="bullet"/>
      <w:lvlText w:val=""/>
      <w:lvlJc w:val="left"/>
      <w:pPr>
        <w:ind w:left="2160" w:hanging="360"/>
      </w:pPr>
      <w:rPr>
        <w:rFonts w:ascii="Wingdings" w:hAnsi="Wingdings"/>
      </w:rPr>
    </w:lvl>
    <w:lvl w:ilvl="3" w:tplc="57501BE2">
      <w:start w:val="1"/>
      <w:numFmt w:val="bullet"/>
      <w:lvlText w:val=""/>
      <w:lvlJc w:val="left"/>
      <w:pPr>
        <w:ind w:left="2880" w:hanging="360"/>
      </w:pPr>
      <w:rPr>
        <w:rFonts w:ascii="Symbol" w:hAnsi="Symbol"/>
      </w:rPr>
    </w:lvl>
    <w:lvl w:ilvl="4" w:tplc="FDEC07B8">
      <w:start w:val="1"/>
      <w:numFmt w:val="bullet"/>
      <w:lvlText w:val="o"/>
      <w:lvlJc w:val="left"/>
      <w:pPr>
        <w:ind w:left="3600" w:hanging="360"/>
      </w:pPr>
      <w:rPr>
        <w:rFonts w:ascii="Courier New" w:hAnsi="Courier New"/>
      </w:rPr>
    </w:lvl>
    <w:lvl w:ilvl="5" w:tplc="6406BBAA">
      <w:start w:val="1"/>
      <w:numFmt w:val="bullet"/>
      <w:lvlText w:val=""/>
      <w:lvlJc w:val="left"/>
      <w:pPr>
        <w:ind w:left="4320" w:hanging="360"/>
      </w:pPr>
      <w:rPr>
        <w:rFonts w:ascii="Wingdings" w:hAnsi="Wingdings"/>
      </w:rPr>
    </w:lvl>
    <w:lvl w:ilvl="6" w:tplc="F0D6EC0E">
      <w:start w:val="1"/>
      <w:numFmt w:val="bullet"/>
      <w:lvlText w:val=""/>
      <w:lvlJc w:val="left"/>
      <w:pPr>
        <w:ind w:left="5040" w:hanging="360"/>
      </w:pPr>
      <w:rPr>
        <w:rFonts w:ascii="Symbol" w:hAnsi="Symbol"/>
      </w:rPr>
    </w:lvl>
    <w:lvl w:ilvl="7" w:tplc="61DA7356">
      <w:start w:val="1"/>
      <w:numFmt w:val="bullet"/>
      <w:lvlText w:val="o"/>
      <w:lvlJc w:val="left"/>
      <w:pPr>
        <w:ind w:left="5760" w:hanging="360"/>
      </w:pPr>
      <w:rPr>
        <w:rFonts w:ascii="Courier New" w:hAnsi="Courier New"/>
      </w:rPr>
    </w:lvl>
    <w:lvl w:ilvl="8" w:tplc="18A85F2E">
      <w:start w:val="1"/>
      <w:numFmt w:val="bullet"/>
      <w:lvlText w:val=""/>
      <w:lvlJc w:val="left"/>
      <w:pPr>
        <w:ind w:left="6480" w:hanging="360"/>
      </w:pPr>
      <w:rPr>
        <w:rFonts w:ascii="Wingdings" w:hAnsi="Wingdings"/>
      </w:rPr>
    </w:lvl>
  </w:abstractNum>
  <w:abstractNum w:abstractNumId="3" w15:restartNumberingAfterBreak="0">
    <w:nsid w:val="2BE81B2B"/>
    <w:multiLevelType w:val="multilevel"/>
    <w:tmpl w:val="5F6E808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A41036B"/>
    <w:multiLevelType w:val="multilevel"/>
    <w:tmpl w:val="6D4218F2"/>
    <w:lvl w:ilvl="0">
      <w:start w:val="3"/>
      <w:numFmt w:val="decimal"/>
      <w:lvlText w:val="(%1)"/>
      <w:legacy w:legacy="1" w:legacySpace="0" w:legacyIndent="367"/>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5" w15:restartNumberingAfterBreak="0">
    <w:nsid w:val="4B3449F5"/>
    <w:multiLevelType w:val="hybridMultilevel"/>
    <w:tmpl w:val="722A1E84"/>
    <w:lvl w:ilvl="0" w:tplc="79F88DCA">
      <w:start w:val="1"/>
      <w:numFmt w:val="lowerLetter"/>
      <w:lvlText w:val="%1)"/>
      <w:lvlJc w:val="left"/>
      <w:pPr>
        <w:ind w:left="1069" w:hanging="360"/>
      </w:pPr>
      <w:rPr>
        <w:rFonts w:ascii="Times New Roman" w:hAnsi="Times New Roman"/>
        <w:b/>
      </w:rPr>
    </w:lvl>
    <w:lvl w:ilvl="1" w:tplc="141E30BA">
      <w:start w:val="1"/>
      <w:numFmt w:val="bullet"/>
      <w:lvlText w:val="o"/>
      <w:lvlJc w:val="left"/>
      <w:pPr>
        <w:ind w:left="1789" w:hanging="360"/>
      </w:pPr>
      <w:rPr>
        <w:rFonts w:ascii="Courier New" w:hAnsi="Courier New"/>
      </w:rPr>
    </w:lvl>
    <w:lvl w:ilvl="2" w:tplc="CE96FF42">
      <w:start w:val="1"/>
      <w:numFmt w:val="bullet"/>
      <w:lvlText w:val=""/>
      <w:lvlJc w:val="left"/>
      <w:pPr>
        <w:ind w:left="2509" w:hanging="360"/>
      </w:pPr>
      <w:rPr>
        <w:rFonts w:ascii="Wingdings" w:hAnsi="Wingdings"/>
      </w:rPr>
    </w:lvl>
    <w:lvl w:ilvl="3" w:tplc="2B18BBB4">
      <w:start w:val="1"/>
      <w:numFmt w:val="bullet"/>
      <w:lvlText w:val=""/>
      <w:lvlJc w:val="left"/>
      <w:pPr>
        <w:ind w:left="3229" w:hanging="360"/>
      </w:pPr>
      <w:rPr>
        <w:rFonts w:ascii="Symbol" w:hAnsi="Symbol"/>
      </w:rPr>
    </w:lvl>
    <w:lvl w:ilvl="4" w:tplc="8982D6D8">
      <w:start w:val="1"/>
      <w:numFmt w:val="bullet"/>
      <w:lvlText w:val="o"/>
      <w:lvlJc w:val="left"/>
      <w:pPr>
        <w:ind w:left="3949" w:hanging="360"/>
      </w:pPr>
      <w:rPr>
        <w:rFonts w:ascii="Courier New" w:hAnsi="Courier New"/>
      </w:rPr>
    </w:lvl>
    <w:lvl w:ilvl="5" w:tplc="964A35DE">
      <w:start w:val="1"/>
      <w:numFmt w:val="bullet"/>
      <w:lvlText w:val=""/>
      <w:lvlJc w:val="left"/>
      <w:pPr>
        <w:ind w:left="4669" w:hanging="360"/>
      </w:pPr>
      <w:rPr>
        <w:rFonts w:ascii="Wingdings" w:hAnsi="Wingdings"/>
      </w:rPr>
    </w:lvl>
    <w:lvl w:ilvl="6" w:tplc="147057F2">
      <w:start w:val="1"/>
      <w:numFmt w:val="bullet"/>
      <w:lvlText w:val=""/>
      <w:lvlJc w:val="left"/>
      <w:pPr>
        <w:ind w:left="5389" w:hanging="360"/>
      </w:pPr>
      <w:rPr>
        <w:rFonts w:ascii="Symbol" w:hAnsi="Symbol"/>
      </w:rPr>
    </w:lvl>
    <w:lvl w:ilvl="7" w:tplc="75E8D682">
      <w:start w:val="1"/>
      <w:numFmt w:val="bullet"/>
      <w:lvlText w:val="o"/>
      <w:lvlJc w:val="left"/>
      <w:pPr>
        <w:ind w:left="6109" w:hanging="360"/>
      </w:pPr>
      <w:rPr>
        <w:rFonts w:ascii="Courier New" w:hAnsi="Courier New"/>
      </w:rPr>
    </w:lvl>
    <w:lvl w:ilvl="8" w:tplc="C71623BA">
      <w:start w:val="1"/>
      <w:numFmt w:val="bullet"/>
      <w:lvlText w:val=""/>
      <w:lvlJc w:val="left"/>
      <w:pPr>
        <w:ind w:left="6829" w:hanging="360"/>
      </w:pPr>
      <w:rPr>
        <w:rFonts w:ascii="Wingdings" w:hAnsi="Wingdings"/>
      </w:rPr>
    </w:lvl>
  </w:abstractNum>
  <w:abstractNum w:abstractNumId="6" w15:restartNumberingAfterBreak="0">
    <w:nsid w:val="6082296F"/>
    <w:multiLevelType w:val="multilevel"/>
    <w:tmpl w:val="1CA44054"/>
    <w:lvl w:ilvl="0">
      <w:start w:val="1"/>
      <w:numFmt w:val="low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68037927"/>
    <w:multiLevelType w:val="multilevel"/>
    <w:tmpl w:val="689A57BA"/>
    <w:lvl w:ilvl="0">
      <w:start w:val="1"/>
      <w:numFmt w:val="decimal"/>
      <w:lvlText w:val="%1."/>
      <w:lvlJc w:val="left"/>
      <w:pPr>
        <w:ind w:left="720" w:hanging="360"/>
      </w:pPr>
      <w:rPr>
        <w:b/>
      </w:r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76B26313"/>
    <w:multiLevelType w:val="hybridMultilevel"/>
    <w:tmpl w:val="0156A7E6"/>
    <w:lvl w:ilvl="0" w:tplc="EF74D76A">
      <w:start w:val="2"/>
      <w:numFmt w:val="bullet"/>
      <w:lvlText w:val="-"/>
      <w:lvlJc w:val="left"/>
      <w:pPr>
        <w:ind w:left="501" w:hanging="360"/>
      </w:pPr>
      <w:rPr>
        <w:rFonts w:ascii="Times New Roman" w:hAnsi="Times New Roman"/>
      </w:rPr>
    </w:lvl>
    <w:lvl w:ilvl="1" w:tplc="9FF63716">
      <w:start w:val="1"/>
      <w:numFmt w:val="bullet"/>
      <w:lvlText w:val="o"/>
      <w:lvlJc w:val="left"/>
      <w:pPr>
        <w:ind w:left="1221" w:hanging="360"/>
      </w:pPr>
      <w:rPr>
        <w:rFonts w:ascii="Courier New" w:hAnsi="Courier New"/>
      </w:rPr>
    </w:lvl>
    <w:lvl w:ilvl="2" w:tplc="98C2C246">
      <w:start w:val="1"/>
      <w:numFmt w:val="bullet"/>
      <w:lvlText w:val=""/>
      <w:lvlJc w:val="left"/>
      <w:pPr>
        <w:ind w:left="1941" w:hanging="360"/>
      </w:pPr>
      <w:rPr>
        <w:rFonts w:ascii="Wingdings" w:hAnsi="Wingdings"/>
      </w:rPr>
    </w:lvl>
    <w:lvl w:ilvl="3" w:tplc="8E3AF388">
      <w:start w:val="1"/>
      <w:numFmt w:val="bullet"/>
      <w:lvlText w:val=""/>
      <w:lvlJc w:val="left"/>
      <w:pPr>
        <w:ind w:left="2661" w:hanging="360"/>
      </w:pPr>
      <w:rPr>
        <w:rFonts w:ascii="Symbol" w:hAnsi="Symbol"/>
      </w:rPr>
    </w:lvl>
    <w:lvl w:ilvl="4" w:tplc="72A82946">
      <w:start w:val="1"/>
      <w:numFmt w:val="bullet"/>
      <w:lvlText w:val="o"/>
      <w:lvlJc w:val="left"/>
      <w:pPr>
        <w:ind w:left="3381" w:hanging="360"/>
      </w:pPr>
      <w:rPr>
        <w:rFonts w:ascii="Courier New" w:hAnsi="Courier New"/>
      </w:rPr>
    </w:lvl>
    <w:lvl w:ilvl="5" w:tplc="DAF45716">
      <w:start w:val="1"/>
      <w:numFmt w:val="bullet"/>
      <w:lvlText w:val=""/>
      <w:lvlJc w:val="left"/>
      <w:pPr>
        <w:ind w:left="4101" w:hanging="360"/>
      </w:pPr>
      <w:rPr>
        <w:rFonts w:ascii="Wingdings" w:hAnsi="Wingdings"/>
      </w:rPr>
    </w:lvl>
    <w:lvl w:ilvl="6" w:tplc="7968F40C">
      <w:start w:val="1"/>
      <w:numFmt w:val="bullet"/>
      <w:lvlText w:val=""/>
      <w:lvlJc w:val="left"/>
      <w:pPr>
        <w:ind w:left="4821" w:hanging="360"/>
      </w:pPr>
      <w:rPr>
        <w:rFonts w:ascii="Symbol" w:hAnsi="Symbol"/>
      </w:rPr>
    </w:lvl>
    <w:lvl w:ilvl="7" w:tplc="347A7596">
      <w:start w:val="1"/>
      <w:numFmt w:val="bullet"/>
      <w:lvlText w:val="o"/>
      <w:lvlJc w:val="left"/>
      <w:pPr>
        <w:ind w:left="5541" w:hanging="360"/>
      </w:pPr>
      <w:rPr>
        <w:rFonts w:ascii="Courier New" w:hAnsi="Courier New"/>
      </w:rPr>
    </w:lvl>
    <w:lvl w:ilvl="8" w:tplc="5AF4B754">
      <w:start w:val="1"/>
      <w:numFmt w:val="bullet"/>
      <w:lvlText w:val=""/>
      <w:lvlJc w:val="left"/>
      <w:pPr>
        <w:ind w:left="6261" w:hanging="360"/>
      </w:pPr>
      <w:rPr>
        <w:rFonts w:ascii="Wingdings" w:hAnsi="Wingdings"/>
      </w:rPr>
    </w:lvl>
  </w:abstractNum>
  <w:abstractNum w:abstractNumId="9" w15:restartNumberingAfterBreak="0">
    <w:nsid w:val="7BF949D5"/>
    <w:multiLevelType w:val="multilevel"/>
    <w:tmpl w:val="A13AD408"/>
    <w:lvl w:ilvl="0">
      <w:start w:val="1"/>
      <w:numFmt w:val="upperRoman"/>
      <w:lvlText w:val="%1."/>
      <w:lvlJc w:val="left"/>
      <w:pPr>
        <w:ind w:left="1705" w:hanging="990"/>
      </w:pPr>
    </w:lvl>
    <w:lvl w:ilvl="1">
      <w:start w:val="1"/>
      <w:numFmt w:val="lowerLetter"/>
      <w:lvlText w:val="%2."/>
      <w:lvlJc w:val="left"/>
      <w:pPr>
        <w:ind w:left="1795" w:hanging="360"/>
      </w:pPr>
    </w:lvl>
    <w:lvl w:ilvl="2">
      <w:start w:val="1"/>
      <w:numFmt w:val="lowerRoman"/>
      <w:lvlText w:val="%3."/>
      <w:lvlJc w:val="right"/>
      <w:pPr>
        <w:ind w:left="2515" w:hanging="180"/>
      </w:pPr>
    </w:lvl>
    <w:lvl w:ilvl="3">
      <w:start w:val="1"/>
      <w:numFmt w:val="decimal"/>
      <w:lvlText w:val="%4."/>
      <w:lvlJc w:val="left"/>
      <w:pPr>
        <w:ind w:left="3235" w:hanging="360"/>
      </w:pPr>
    </w:lvl>
    <w:lvl w:ilvl="4">
      <w:start w:val="1"/>
      <w:numFmt w:val="lowerLetter"/>
      <w:lvlText w:val="%5."/>
      <w:lvlJc w:val="left"/>
      <w:pPr>
        <w:ind w:left="3955" w:hanging="360"/>
      </w:pPr>
    </w:lvl>
    <w:lvl w:ilvl="5">
      <w:start w:val="1"/>
      <w:numFmt w:val="lowerRoman"/>
      <w:lvlText w:val="%6."/>
      <w:lvlJc w:val="right"/>
      <w:pPr>
        <w:ind w:left="4675" w:hanging="180"/>
      </w:pPr>
    </w:lvl>
    <w:lvl w:ilvl="6">
      <w:start w:val="1"/>
      <w:numFmt w:val="decimal"/>
      <w:lvlText w:val="%7."/>
      <w:lvlJc w:val="left"/>
      <w:pPr>
        <w:ind w:left="5395" w:hanging="360"/>
      </w:pPr>
    </w:lvl>
    <w:lvl w:ilvl="7">
      <w:start w:val="1"/>
      <w:numFmt w:val="lowerLetter"/>
      <w:lvlText w:val="%8."/>
      <w:lvlJc w:val="left"/>
      <w:pPr>
        <w:ind w:left="6115" w:hanging="360"/>
      </w:pPr>
    </w:lvl>
    <w:lvl w:ilvl="8">
      <w:start w:val="1"/>
      <w:numFmt w:val="lowerRoman"/>
      <w:lvlText w:val="%9."/>
      <w:lvlJc w:val="right"/>
      <w:pPr>
        <w:ind w:left="6835" w:hanging="180"/>
      </w:pPr>
    </w:lvl>
  </w:abstractNum>
  <w:abstractNum w:abstractNumId="10" w15:restartNumberingAfterBreak="0">
    <w:nsid w:val="7EC40825"/>
    <w:multiLevelType w:val="multilevel"/>
    <w:tmpl w:val="BF3CEA4A"/>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F331B5F"/>
    <w:multiLevelType w:val="hybridMultilevel"/>
    <w:tmpl w:val="DFAE95DE"/>
    <w:lvl w:ilvl="0" w:tplc="1AA22F00">
      <w:start w:val="19"/>
      <w:numFmt w:val="bullet"/>
      <w:lvlText w:val="-"/>
      <w:lvlJc w:val="left"/>
      <w:pPr>
        <w:ind w:left="3300" w:hanging="360"/>
      </w:pPr>
      <w:rPr>
        <w:rFonts w:ascii="Times New Roman" w:hAnsi="Times New Roman"/>
        <w:i/>
      </w:rPr>
    </w:lvl>
    <w:lvl w:ilvl="1" w:tplc="699C1F44">
      <w:start w:val="1"/>
      <w:numFmt w:val="bullet"/>
      <w:lvlText w:val="o"/>
      <w:lvlJc w:val="left"/>
      <w:pPr>
        <w:ind w:left="4020" w:hanging="360"/>
      </w:pPr>
      <w:rPr>
        <w:rFonts w:ascii="Courier New" w:hAnsi="Courier New"/>
      </w:rPr>
    </w:lvl>
    <w:lvl w:ilvl="2" w:tplc="E3F60774">
      <w:start w:val="1"/>
      <w:numFmt w:val="bullet"/>
      <w:lvlText w:val=""/>
      <w:lvlJc w:val="left"/>
      <w:pPr>
        <w:ind w:left="4740" w:hanging="360"/>
      </w:pPr>
      <w:rPr>
        <w:rFonts w:ascii="Wingdings" w:hAnsi="Wingdings"/>
      </w:rPr>
    </w:lvl>
    <w:lvl w:ilvl="3" w:tplc="48FEB4A6">
      <w:start w:val="1"/>
      <w:numFmt w:val="bullet"/>
      <w:lvlText w:val=""/>
      <w:lvlJc w:val="left"/>
      <w:pPr>
        <w:ind w:left="5460" w:hanging="360"/>
      </w:pPr>
      <w:rPr>
        <w:rFonts w:ascii="Symbol" w:hAnsi="Symbol"/>
      </w:rPr>
    </w:lvl>
    <w:lvl w:ilvl="4" w:tplc="EF345CBC">
      <w:start w:val="1"/>
      <w:numFmt w:val="bullet"/>
      <w:lvlText w:val="o"/>
      <w:lvlJc w:val="left"/>
      <w:pPr>
        <w:ind w:left="6180" w:hanging="360"/>
      </w:pPr>
      <w:rPr>
        <w:rFonts w:ascii="Courier New" w:hAnsi="Courier New"/>
      </w:rPr>
    </w:lvl>
    <w:lvl w:ilvl="5" w:tplc="2724E484">
      <w:start w:val="1"/>
      <w:numFmt w:val="bullet"/>
      <w:lvlText w:val=""/>
      <w:lvlJc w:val="left"/>
      <w:pPr>
        <w:ind w:left="6900" w:hanging="360"/>
      </w:pPr>
      <w:rPr>
        <w:rFonts w:ascii="Wingdings" w:hAnsi="Wingdings"/>
      </w:rPr>
    </w:lvl>
    <w:lvl w:ilvl="6" w:tplc="3996A842">
      <w:start w:val="1"/>
      <w:numFmt w:val="bullet"/>
      <w:lvlText w:val=""/>
      <w:lvlJc w:val="left"/>
      <w:pPr>
        <w:ind w:left="7620" w:hanging="360"/>
      </w:pPr>
      <w:rPr>
        <w:rFonts w:ascii="Symbol" w:hAnsi="Symbol"/>
      </w:rPr>
    </w:lvl>
    <w:lvl w:ilvl="7" w:tplc="6CC2E59A">
      <w:start w:val="1"/>
      <w:numFmt w:val="bullet"/>
      <w:lvlText w:val="o"/>
      <w:lvlJc w:val="left"/>
      <w:pPr>
        <w:ind w:left="8340" w:hanging="360"/>
      </w:pPr>
      <w:rPr>
        <w:rFonts w:ascii="Courier New" w:hAnsi="Courier New"/>
      </w:rPr>
    </w:lvl>
    <w:lvl w:ilvl="8" w:tplc="EF567B1C">
      <w:start w:val="1"/>
      <w:numFmt w:val="bullet"/>
      <w:lvlText w:val=""/>
      <w:lvlJc w:val="left"/>
      <w:pPr>
        <w:ind w:left="9060" w:hanging="360"/>
      </w:pPr>
      <w:rPr>
        <w:rFonts w:ascii="Wingdings" w:hAnsi="Wingdings"/>
      </w:rPr>
    </w:lvl>
  </w:abstractNum>
  <w:num w:numId="1" w16cid:durableId="1070494804">
    <w:abstractNumId w:val="11"/>
  </w:num>
  <w:num w:numId="2" w16cid:durableId="907039641">
    <w:abstractNumId w:val="1"/>
  </w:num>
  <w:num w:numId="3" w16cid:durableId="892544656">
    <w:abstractNumId w:val="4"/>
  </w:num>
  <w:num w:numId="4" w16cid:durableId="2090882039">
    <w:abstractNumId w:val="3"/>
  </w:num>
  <w:num w:numId="5" w16cid:durableId="717820309">
    <w:abstractNumId w:val="10"/>
  </w:num>
  <w:num w:numId="6" w16cid:durableId="237904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5136329">
    <w:abstractNumId w:val="8"/>
  </w:num>
  <w:num w:numId="8" w16cid:durableId="80303208">
    <w:abstractNumId w:val="0"/>
  </w:num>
  <w:num w:numId="9" w16cid:durableId="1307322642">
    <w:abstractNumId w:val="7"/>
  </w:num>
  <w:num w:numId="10" w16cid:durableId="2110923310">
    <w:abstractNumId w:val="6"/>
  </w:num>
  <w:num w:numId="11" w16cid:durableId="1536501694">
    <w:abstractNumId w:val="5"/>
  </w:num>
  <w:num w:numId="12" w16cid:durableId="859126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url" w:val="https://cabuc.just.ro/ecris_cdms/document_upload.aspx?id_document=200000005014340&amp;id_departament=58&amp;id_sesiune=5755497&amp;id_user=928&amp;id_institutie=2&amp;actiune=modifica"/>
  </w:docVars>
  <w:rsids>
    <w:rsidRoot w:val="00797E53"/>
    <w:rsid w:val="0019625B"/>
    <w:rsid w:val="002E3615"/>
    <w:rsid w:val="003A15F2"/>
    <w:rsid w:val="005F4748"/>
    <w:rsid w:val="00797E53"/>
    <w:rsid w:val="007F2401"/>
    <w:rsid w:val="00834FAE"/>
    <w:rsid w:val="00AF7A1E"/>
    <w:rsid w:val="00BC5446"/>
    <w:rsid w:val="00C42D3C"/>
    <w:rsid w:val="00C5232C"/>
    <w:rsid w:val="00D008BE"/>
    <w:rsid w:val="00ED46E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1FFD9"/>
  <w15:docId w15:val="{AE039453-B004-445C-BF69-F0FDB6B8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E53"/>
    <w:rPr>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 1"/>
    <w:rsid w:val="00797E53"/>
    <w:pPr>
      <w:widowControl w:val="0"/>
      <w:ind w:firstLine="648"/>
      <w:jc w:val="both"/>
    </w:pPr>
    <w:rPr>
      <w:rFonts w:ascii="Arial Narrow" w:hAnsi="Arial Narrow"/>
      <w:sz w:val="26"/>
    </w:rPr>
  </w:style>
  <w:style w:type="paragraph" w:customStyle="1" w:styleId="Titlu11">
    <w:name w:val="Titlu 11"/>
    <w:basedOn w:val="Normal"/>
    <w:next w:val="Normal"/>
    <w:qFormat/>
    <w:rsid w:val="00797E53"/>
    <w:pPr>
      <w:keepNext/>
      <w:jc w:val="center"/>
      <w:outlineLvl w:val="0"/>
    </w:pPr>
    <w:rPr>
      <w:b/>
      <w:sz w:val="28"/>
      <w:lang w:val="en-US"/>
    </w:rPr>
  </w:style>
  <w:style w:type="paragraph" w:customStyle="1" w:styleId="Titlu21">
    <w:name w:val="Titlu 21"/>
    <w:basedOn w:val="Normal"/>
    <w:next w:val="Normal"/>
    <w:link w:val="Titlu2Caracter"/>
    <w:qFormat/>
    <w:rsid w:val="00797E53"/>
    <w:pPr>
      <w:keepNext/>
      <w:spacing w:before="240" w:after="60"/>
      <w:outlineLvl w:val="1"/>
    </w:pPr>
    <w:rPr>
      <w:rFonts w:ascii="Arial" w:hAnsi="Arial"/>
      <w:b/>
      <w:i/>
      <w:sz w:val="28"/>
    </w:rPr>
  </w:style>
  <w:style w:type="paragraph" w:customStyle="1" w:styleId="Titlu31">
    <w:name w:val="Titlu 31"/>
    <w:basedOn w:val="Normal"/>
    <w:next w:val="Normal"/>
    <w:link w:val="Titlu3Caracter"/>
    <w:qFormat/>
    <w:rsid w:val="00797E53"/>
    <w:pPr>
      <w:keepNext/>
      <w:spacing w:before="240" w:after="60"/>
      <w:outlineLvl w:val="2"/>
    </w:pPr>
    <w:rPr>
      <w:rFonts w:ascii="Arial" w:hAnsi="Arial"/>
      <w:b/>
      <w:sz w:val="26"/>
    </w:rPr>
  </w:style>
  <w:style w:type="paragraph" w:styleId="NormalWeb">
    <w:name w:val="Normal (Web)"/>
    <w:basedOn w:val="Normal"/>
    <w:rsid w:val="00797E53"/>
    <w:pPr>
      <w:spacing w:before="100" w:beforeAutospacing="1" w:after="100" w:afterAutospacing="1"/>
    </w:pPr>
  </w:style>
  <w:style w:type="paragraph" w:customStyle="1" w:styleId="Antet1">
    <w:name w:val="Antet1"/>
    <w:basedOn w:val="Normal"/>
    <w:link w:val="AntetCaracter"/>
    <w:rsid w:val="00797E53"/>
    <w:pPr>
      <w:tabs>
        <w:tab w:val="center" w:pos="4680"/>
        <w:tab w:val="right" w:pos="9360"/>
      </w:tabs>
    </w:pPr>
  </w:style>
  <w:style w:type="paragraph" w:customStyle="1" w:styleId="Subsol1">
    <w:name w:val="Subsol1"/>
    <w:basedOn w:val="Normal"/>
    <w:link w:val="SubsolCaracter"/>
    <w:rsid w:val="00797E53"/>
    <w:pPr>
      <w:tabs>
        <w:tab w:val="center" w:pos="4680"/>
        <w:tab w:val="right" w:pos="9360"/>
      </w:tabs>
    </w:pPr>
  </w:style>
  <w:style w:type="paragraph" w:customStyle="1" w:styleId="Corptext1">
    <w:name w:val="Corp text1"/>
    <w:basedOn w:val="Normal"/>
    <w:link w:val="CorptextCaracter"/>
    <w:rsid w:val="00797E53"/>
    <w:pPr>
      <w:jc w:val="both"/>
    </w:pPr>
  </w:style>
  <w:style w:type="paragraph" w:customStyle="1" w:styleId="TextnBalon1">
    <w:name w:val="Text în Balon1"/>
    <w:basedOn w:val="Normal"/>
    <w:link w:val="TextnBalonCaracter"/>
    <w:rsid w:val="00797E53"/>
    <w:rPr>
      <w:rFonts w:ascii="Tahoma" w:hAnsi="Tahoma"/>
      <w:sz w:val="16"/>
      <w:lang w:val="en-US"/>
    </w:rPr>
  </w:style>
  <w:style w:type="paragraph" w:customStyle="1" w:styleId="Indentcorptext1">
    <w:name w:val="Indent corp text1"/>
    <w:basedOn w:val="Normal"/>
    <w:link w:val="IndentcorptextCaracter"/>
    <w:rsid w:val="00797E53"/>
    <w:pPr>
      <w:spacing w:after="120"/>
      <w:ind w:left="283"/>
    </w:pPr>
    <w:rPr>
      <w:lang w:val="en-US"/>
    </w:rPr>
  </w:style>
  <w:style w:type="character" w:styleId="Numrdelinie">
    <w:name w:val="line number"/>
    <w:basedOn w:val="Fontdeparagrafimplicit"/>
    <w:semiHidden/>
    <w:rsid w:val="00797E53"/>
  </w:style>
  <w:style w:type="character" w:styleId="Hyperlink">
    <w:name w:val="Hyperlink"/>
    <w:rsid w:val="00797E53"/>
    <w:rPr>
      <w:color w:val="0000FF"/>
      <w:u w:val="single"/>
    </w:rPr>
  </w:style>
  <w:style w:type="character" w:customStyle="1" w:styleId="Fontdeparagrafimplicit1">
    <w:name w:val="Font de paragraf implicit1"/>
    <w:rsid w:val="00797E53"/>
  </w:style>
  <w:style w:type="character" w:customStyle="1" w:styleId="Titlu2Caracter">
    <w:name w:val="Titlu 2 Caracter"/>
    <w:link w:val="Titlu21"/>
    <w:rsid w:val="00797E53"/>
    <w:rPr>
      <w:rFonts w:ascii="Arial" w:hAnsi="Arial"/>
      <w:b/>
      <w:i/>
      <w:sz w:val="28"/>
    </w:rPr>
  </w:style>
  <w:style w:type="character" w:customStyle="1" w:styleId="Titlu3Caracter">
    <w:name w:val="Titlu 3 Caracter"/>
    <w:link w:val="Titlu31"/>
    <w:rsid w:val="00797E53"/>
    <w:rPr>
      <w:rFonts w:ascii="Arial" w:hAnsi="Arial"/>
      <w:b/>
      <w:sz w:val="26"/>
    </w:rPr>
  </w:style>
  <w:style w:type="character" w:customStyle="1" w:styleId="AntetCaracter">
    <w:name w:val="Antet Caracter"/>
    <w:link w:val="Antet1"/>
    <w:rsid w:val="00797E53"/>
  </w:style>
  <w:style w:type="character" w:customStyle="1" w:styleId="SubsolCaracter">
    <w:name w:val="Subsol Caracter"/>
    <w:link w:val="Subsol1"/>
    <w:rsid w:val="00797E53"/>
  </w:style>
  <w:style w:type="character" w:customStyle="1" w:styleId="CorptextCaracter">
    <w:name w:val="Corp text Caracter"/>
    <w:link w:val="Corptext1"/>
    <w:rsid w:val="00797E53"/>
  </w:style>
  <w:style w:type="character" w:customStyle="1" w:styleId="TextnBalonCaracter">
    <w:name w:val="Text în Balon Caracter"/>
    <w:link w:val="TextnBalon1"/>
    <w:rsid w:val="00797E53"/>
    <w:rPr>
      <w:rFonts w:ascii="Tahoma" w:hAnsi="Tahoma"/>
      <w:sz w:val="16"/>
      <w:lang w:val="en-US"/>
    </w:rPr>
  </w:style>
  <w:style w:type="character" w:customStyle="1" w:styleId="IndentcorptextCaracter">
    <w:name w:val="Indent corp text Caracter"/>
    <w:link w:val="Indentcorptext1"/>
    <w:rsid w:val="00797E53"/>
    <w:rPr>
      <w:lang w:val="en-US"/>
    </w:rPr>
  </w:style>
  <w:style w:type="character" w:customStyle="1" w:styleId="FontStyle47">
    <w:name w:val="Font Style47"/>
    <w:rsid w:val="00797E53"/>
    <w:rPr>
      <w:rFonts w:ascii="Arial Unicode MS" w:hAnsi="Arial Unicode MS"/>
      <w:b/>
      <w:sz w:val="18"/>
    </w:rPr>
  </w:style>
  <w:style w:type="character" w:customStyle="1" w:styleId="FontStyle11">
    <w:name w:val="Font Style11"/>
    <w:rsid w:val="00797E53"/>
    <w:rPr>
      <w:rFonts w:ascii="Book Antiqua" w:hAnsi="Book Antiqua"/>
      <w:b/>
      <w:i/>
      <w:sz w:val="26"/>
    </w:rPr>
  </w:style>
  <w:style w:type="character" w:customStyle="1" w:styleId="FontStyle12">
    <w:name w:val="Font Style12"/>
    <w:rsid w:val="00797E53"/>
    <w:rPr>
      <w:rFonts w:ascii="Book Antiqua" w:hAnsi="Book Antiqua"/>
      <w:b/>
      <w:sz w:val="26"/>
    </w:rPr>
  </w:style>
  <w:style w:type="character" w:customStyle="1" w:styleId="CharacterStyle2">
    <w:name w:val="Character Style 2"/>
    <w:rsid w:val="00797E53"/>
    <w:rPr>
      <w:rFonts w:ascii="Arial" w:hAnsi="Arial"/>
      <w:sz w:val="22"/>
    </w:rPr>
  </w:style>
  <w:style w:type="character" w:customStyle="1" w:styleId="CharacterStyle1">
    <w:name w:val="Character Style 1"/>
    <w:rsid w:val="00797E53"/>
    <w:rPr>
      <w:rFonts w:ascii="Arial" w:hAnsi="Arial"/>
      <w:sz w:val="26"/>
    </w:rPr>
  </w:style>
  <w:style w:type="character" w:customStyle="1" w:styleId="FontStyle16">
    <w:name w:val="Font Style16"/>
    <w:rsid w:val="00797E53"/>
    <w:rPr>
      <w:rFonts w:ascii="Times New Roman" w:hAnsi="Times New Roman"/>
      <w:b/>
      <w:sz w:val="22"/>
    </w:rPr>
  </w:style>
  <w:style w:type="character" w:customStyle="1" w:styleId="st1">
    <w:name w:val="st1"/>
    <w:rsid w:val="00797E53"/>
  </w:style>
  <w:style w:type="character" w:customStyle="1" w:styleId="Accentuat1">
    <w:name w:val="Accentuat1"/>
    <w:qFormat/>
    <w:rsid w:val="00797E53"/>
    <w:rPr>
      <w:i/>
    </w:rPr>
  </w:style>
  <w:style w:type="character" w:customStyle="1" w:styleId="rvts10">
    <w:name w:val="rvts10"/>
    <w:rsid w:val="00797E53"/>
    <w:rPr>
      <w:rFonts w:ascii="Times New Roman" w:hAnsi="Times New Roman"/>
      <w:color w:val="000000"/>
      <w:sz w:val="24"/>
    </w:rPr>
  </w:style>
  <w:style w:type="character" w:customStyle="1" w:styleId="rvts8">
    <w:name w:val="rvts8"/>
    <w:rsid w:val="00797E53"/>
    <w:rPr>
      <w:rFonts w:ascii="Times New Roman" w:hAnsi="Times New Roman"/>
      <w:sz w:val="24"/>
    </w:rPr>
  </w:style>
  <w:style w:type="character" w:customStyle="1" w:styleId="Robust1">
    <w:name w:val="Robust1"/>
    <w:qFormat/>
    <w:rsid w:val="00797E53"/>
    <w:rPr>
      <w:b/>
    </w:rPr>
  </w:style>
  <w:style w:type="table" w:styleId="TabelSimple1">
    <w:name w:val="Table Simple 1"/>
    <w:basedOn w:val="TabelNormal"/>
    <w:rsid w:val="00797E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rsid w:val="00797E53"/>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10</Pages>
  <Words>5676</Words>
  <Characters>32923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38522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cp:lastPrinted>2024-08-28T08:15:00Z</cp:lastPrinted>
  <dcterms:created xsi:type="dcterms:W3CDTF">2026-09-04T08:15:00Z</dcterms:created>
  <dcterms:modified xsi:type="dcterms:W3CDTF">2026-09-04T08:17:00Z</dcterms:modified>
  <cp:category/>
  <dc:identifier/>
  <cp:contentStatus/>
  <dc:language/>
  <cp:version/>
</cp:coreProperties>
</file>