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&#65279;<?xml version="1.0" encoding="utf-8"?><Relationships xmlns="http://schemas.openxmlformats.org/package/2006/relationships"><Relationship Type="http://schemas.openxmlformats.org/package/2006/relationships/metadata/core-properties" Target="docProps/core.xml" Id="rId1" /><Relationship Type="http://schemas.openxmlformats.org/officeDocument/2006/relationships/extended-properties" Target="docProps/app.xml" Id="rId2" /><Relationship Type="http://schemas.openxmlformats.org/officeDocument/2006/relationships/officeDocument" Target="word/document.xml" Id="rId4"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t>Hot. 7</w:t>
      </w:r>
    </w:p>
    <w:p>
      <w:pPr>
        <w:pStyle w:val="Normal"/>
        <w:rPr>
          <w:b/>
        </w:rPr>
      </w:pPr>
      <w:r>
        <w:rPr>
          <w:rStyle w:val="Fontdeparagrafimplicit1"/>
          <w:b/>
        </w:rPr>
        <w:t>Dosar nr. D1</w:t>
      </w:r>
    </w:p>
    <w:p>
      <w:pPr>
        <w:pStyle w:val="Normal"/>
        <w:jc w:val="center"/>
        <w:rPr>
          <w:b/>
        </w:rPr>
      </w:pPr>
      <w:r>
        <w:rPr>
          <w:rStyle w:val="Fontdeparagrafimplicit1"/>
          <w:b/>
        </w:rPr>
        <w:t>R O M Â N I A</w:t>
      </w:r>
    </w:p>
    <w:p>
      <w:pPr>
        <w:pStyle w:val="Normal"/>
        <w:jc w:val="center"/>
        <w:rPr>
          <w:b/>
        </w:rPr>
      </w:pPr>
      <w:r>
        <w:rPr>
          <w:rStyle w:val="Fontdeparagrafimplicit1"/>
          <w:b/>
        </w:rPr>
        <w:t>CURTEA DE APEL ....</w:t>
      </w:r>
    </w:p>
    <w:p>
      <w:pPr>
        <w:pStyle w:val="Normal"/>
        <w:jc w:val="center"/>
        <w:rPr>
          <w:b/>
          <w:lang w:val="en-US"/>
        </w:rPr>
      </w:pPr>
      <w:r>
        <w:rPr>
          <w:rStyle w:val="Fontdeparagrafimplicit1"/>
          <w:b/>
        </w:rPr>
        <w:t>SECŢIA ....</w:t>
      </w:r>
    </w:p>
    <w:p>
      <w:pPr>
        <w:pStyle w:val="Normal"/>
        <w:rPr>
          <w:b/>
        </w:rPr>
      </w:pPr>
      <w:r>
        <w:rPr>
          <w:b/>
        </w:rPr>
      </w:r>
    </w:p>
    <w:p>
      <w:pPr>
        <w:pStyle w:val="Normal"/>
        <w:jc w:val="center"/>
        <w:rPr>
          <w:b/>
        </w:rPr>
      </w:pPr>
      <w:r>
        <w:rPr>
          <w:rStyle w:val="Fontdeparagrafimplicit1"/>
          <w:b/>
        </w:rPr>
        <w:t>DECIZIA Nr. ...</w:t>
      </w:r>
    </w:p>
    <w:p>
      <w:pPr>
        <w:pStyle w:val="Normal"/>
        <w:jc w:val="center"/>
        <w:rPr>
          <w:b/>
        </w:rPr>
      </w:pPr>
      <w:r>
        <w:rPr>
          <w:rStyle w:val="Fontdeparagrafimplicit1"/>
          <w:b/>
        </w:rPr>
        <w:t>Şedinţa </w:t>
      </w:r>
      <w:bookmarkStart w:name="tip_sedinta" w:id="0"/>
      <w:r>
        <w:rPr>
          <w:rStyle w:val="Fontdeparagrafimplicit1"/>
          <w:b/>
        </w:rPr>
        <w:t>publică</w:t>
      </w:r>
      <w:bookmarkEnd w:id="0"/>
      <w:r>
        <w:rPr>
          <w:rStyle w:val="Fontdeparagrafimplicit1"/>
          <w:b/>
        </w:rPr>
        <w:t xml:space="preserve"> de la ... </w:t>
      </w:r>
    </w:p>
    <w:p>
      <w:pPr>
        <w:pStyle w:val="Normal"/>
        <w:jc w:val="center"/>
        <w:rPr>
          <w:b/>
        </w:rPr>
      </w:pPr>
      <w:r>
        <w:rPr>
          <w:rStyle w:val="Fontdeparagrafimplicit1"/>
          <w:b/>
        </w:rPr>
        <w:t>Completul compus din:</w:t>
      </w:r>
    </w:p>
    <w:p>
      <w:pPr>
        <w:pStyle w:val="Normal"/>
        <w:jc w:val="center"/>
        <w:rPr>
          <w:b/>
        </w:rPr>
      </w:pPr>
      <w:r>
        <w:rPr>
          <w:rStyle w:val="Fontdeparagrafimplicit1"/>
          <w:b/>
        </w:rPr>
        <w:t>PREŞEDINTE A0006</w:t>
      </w:r>
    </w:p>
    <w:p>
      <w:pPr>
        <w:pStyle w:val="Normal"/>
        <w:jc w:val="center"/>
        <w:rPr>
          <w:b/>
        </w:rPr>
      </w:pPr>
      <w:r>
        <w:rPr>
          <w:rStyle w:val="Fontdeparagrafimplicit1"/>
          <w:b/>
        </w:rPr>
        <w:t>Judecător ...</w:t>
      </w:r>
    </w:p>
    <w:p>
      <w:pPr>
        <w:pStyle w:val="Normal"/>
        <w:jc w:val="center"/>
        <w:rPr>
          <w:b/>
        </w:rPr>
      </w:pPr>
      <w:r>
        <w:rPr>
          <w:rStyle w:val="Fontdeparagrafimplicit1"/>
          <w:b/>
        </w:rPr>
        <w:t>Judecător ...</w:t>
      </w:r>
    </w:p>
    <w:p>
      <w:pPr>
        <w:pStyle w:val="Normal"/>
        <w:jc w:val="center"/>
        <w:rPr>
          <w:b/>
        </w:rPr>
      </w:pPr>
      <w:r>
        <w:rPr>
          <w:rStyle w:val="Fontdeparagrafimplicit1"/>
          <w:b/>
        </w:rPr>
        <w:t>Grefier ...</w:t>
      </w:r>
    </w:p>
    <w:p>
      <w:pPr>
        <w:pStyle w:val="Normal"/>
        <w:jc w:val="center"/>
        <w:rPr>
          <w:b/>
        </w:rPr>
      </w:pPr>
      <w:r>
        <w:rPr>
          <w:b/>
        </w:rPr>
      </w:r>
    </w:p>
    <w:p>
      <w:pPr>
        <w:pStyle w:val="Normal"/>
        <w:ind w:firstLine="708"/>
        <w:jc w:val="both"/>
        <w:rPr>
          <w:i/>
          <w:i/>
        </w:rPr>
      </w:pPr>
      <w:r>
        <w:rPr/>
        <w:t xml:space="preserve">Pe rol se află soluţionarea plângerii formulate de petenta </w:t>
      </w:r>
      <w:bookmarkStart w:name="_Hlk66795755" w:id="1"/>
      <w:r>
        <w:rPr>
          <w:rStyle w:val="Fontdeparagrafimplicit1"/>
          <w:b/>
        </w:rPr>
        <w:t xml:space="preserve">P1 SRL, </w:t>
      </w:r>
      <w:r>
        <w:rPr/>
        <w:t xml:space="preserve">împotriva deciziei nr. ...4 din data de 26.02.2024, pronunţată de Consiliul Naţional de Soluţionare a Contestaţiilor, în contradictoriu cu intimaţii </w:t>
      </w:r>
      <w:r>
        <w:rPr>
          <w:rStyle w:val="Fontdeparagrafimplicit1"/>
          <w:b/>
        </w:rPr>
        <w:t>JUDEŢUL..., ... DE A1 S.A.-LIDER AL ASOCIERII ... DE A1 S.A.-B1 S.R.L.-F1 S.R.L. şi G1 S.A.-LIDER AL ASOCIERII G1 S.A.-J1 S.R.L.-H1 S.R.L.</w:t>
      </w:r>
      <w:r>
        <w:rPr/>
        <w:t xml:space="preserve">, având ca obiect  </w:t>
      </w:r>
      <w:bookmarkEnd w:id="1"/>
      <w:r>
        <w:rPr>
          <w:rStyle w:val="Fontdeparagrafimplicit1"/>
          <w:i/>
        </w:rPr>
        <w:t>litigiu privind achizițiile publice.</w:t>
      </w:r>
    </w:p>
    <w:p>
      <w:pPr>
        <w:pStyle w:val="Normal"/>
        <w:ind w:firstLine="708"/>
        <w:jc w:val="both"/>
        <w:rPr/>
      </w:pPr>
      <w:r>
        <w:rPr/>
        <w:t>Dezbaterile pe fondul cauzei au avut loc în şedinţa publică din data de ..., fiind consemnate în încheierea de şedinţă din acea dată, care face parte integrantă din prezenta, Curtea amânând pronunţarea pentru data de ..., când, în aceeași compunere, a hotărât următoarele:</w:t>
      </w:r>
    </w:p>
    <w:p>
      <w:pPr>
        <w:pStyle w:val="Normal"/>
        <w:rPr>
          <w:b/>
        </w:rPr>
      </w:pPr>
      <w:r>
        <w:rPr>
          <w:b/>
        </w:rPr>
      </w:r>
    </w:p>
    <w:p>
      <w:pPr>
        <w:pStyle w:val="Normal"/>
        <w:tabs>
          <w:tab w:val="clear" w:pos="720"/>
          <w:tab w:val="left" w:leader="none" w:pos="-2760"/>
        </w:tabs>
        <w:jc w:val="center"/>
        <w:rPr>
          <w:b/>
        </w:rPr>
      </w:pPr>
      <w:r>
        <w:rPr>
          <w:rStyle w:val="Fontdeparagrafimplicit1"/>
          <w:b/>
        </w:rPr>
        <w:t>C U R T E A</w:t>
      </w:r>
    </w:p>
    <w:p>
      <w:pPr>
        <w:pStyle w:val="Normal"/>
        <w:jc w:val="both"/>
        <w:rPr>
          <w:b/>
          <w:i/>
          <w:i/>
        </w:rPr>
      </w:pPr>
      <w:r>
        <w:rPr>
          <w:b/>
          <w:i/>
        </w:rPr>
      </w:r>
    </w:p>
    <w:p>
      <w:pPr>
        <w:pStyle w:val="Normal"/>
        <w:jc w:val="both"/>
        <w:rPr>
          <w:b/>
          <w:i/>
          <w:i/>
          <w:u w:val="single"/>
        </w:rPr>
      </w:pPr>
      <w:r>
        <w:rPr>
          <w:rStyle w:val="Fontdeparagrafimplicit1"/>
          <w:b/>
          <w:i/>
        </w:rPr>
        <w:tab/>
      </w:r>
      <w:r>
        <w:rPr>
          <w:rStyle w:val="Fontdeparagrafimplicit1"/>
          <w:b/>
          <w:u w:val="single"/>
        </w:rPr>
        <w:t>Asupra plângerii de față;</w:t>
      </w:r>
    </w:p>
    <w:p>
      <w:pPr>
        <w:pStyle w:val="Normal"/>
        <w:ind w:firstLine="709"/>
        <w:jc w:val="both"/>
        <w:rPr>
          <w:b/>
          <w:i/>
          <w:i/>
        </w:rPr>
      </w:pPr>
      <w:r>
        <w:rPr>
          <w:rStyle w:val="Fontdeparagrafimplicit1"/>
          <w:b/>
          <w:i/>
        </w:rPr>
        <w:t xml:space="preserve">I.Prin Decizia nr. ...4 din data de 26.02.2024, Consiliul Național </w:t>
      </w:r>
    </w:p>
    <w:p>
      <w:pPr>
        <w:pStyle w:val="Normal"/>
        <w:ind w:firstLine="709"/>
        <w:jc w:val="both"/>
        <w:rPr>
          <w:b/>
          <w:i/>
          <w:i/>
        </w:rPr>
      </w:pPr>
      <w:r>
        <w:rPr>
          <w:rStyle w:val="Fontdeparagrafimplicit1"/>
          <w:b/>
          <w:i/>
        </w:rPr>
        <w:t xml:space="preserve">de Soluționare a Contestațiilor, în </w:t>
      </w:r>
      <w:r>
        <w:rPr>
          <w:rStyle w:val="Fontdeparagrafimplicit1"/>
        </w:rPr>
        <w:t xml:space="preserve"> temeiul art. 26 alin. (2) lit. a) și b) și alin. (5) din Legea nr. 101/2016, a admis contestația formulată de ... DE A1 SA în contradictoriu cu JUDEŢUL....</w:t>
      </w:r>
    </w:p>
    <w:p>
      <w:pPr>
        <w:pStyle w:val="Normal"/>
        <w:jc w:val="both"/>
        <w:rPr/>
      </w:pPr>
      <w:r>
        <w:rPr>
          <w:rStyle w:val="Fontdeparagrafimplicit1"/>
        </w:rPr>
        <w:tab/>
        <w:t>În temeiul art. 26 alin. (2) lit. a) și b) și alin. (5) din Legea nr. 101/2016, s-a admis în parte contestația formulată de P1 SRL în contradictoriu cu JUDEŢUL..., respectiv criticile privind oferta asocierii G1 SA - J1 SRL - H1 SRL.</w:t>
      </w:r>
    </w:p>
    <w:p>
      <w:pPr>
        <w:pStyle w:val="Normal"/>
        <w:jc w:val="both"/>
        <w:rPr/>
      </w:pPr>
      <w:r>
        <w:rPr>
          <w:rStyle w:val="Fontdeparagrafimplicit1"/>
        </w:rPr>
        <w:tab/>
        <w:t>S-a dispus anularea deciziei de desemnare câștigătoare a ofertei asocierii G1 SA - J1 SRL - H1 SRL, anularea Raportului procedurii nr. ...5/02.12.2023 și comunicărilor subecvente acestuia.</w:t>
      </w:r>
    </w:p>
    <w:p>
      <w:pPr>
        <w:pStyle w:val="Normal"/>
        <w:jc w:val="both"/>
        <w:rPr/>
      </w:pPr>
      <w:r>
        <w:rPr>
          <w:rStyle w:val="Fontdeparagrafimplicit1"/>
        </w:rPr>
        <w:tab/>
        <w:t>S-a dispus continuarea procedurii prin reevaluarea ofertei asocierii G1 SA - J1 SRL - H1 SRL potrivit motivării prezentei și ulterior desemnarea ofertei câștigătoare dintre ofertele admisibile, conform criteriului de atribuire stabilit, în termen de 10 zile de la comunicare.</w:t>
      </w:r>
    </w:p>
    <w:p>
      <w:pPr>
        <w:pStyle w:val="Normal"/>
        <w:jc w:val="both"/>
        <w:rPr/>
      </w:pPr>
      <w:r>
        <w:rPr>
          <w:rStyle w:val="Fontdeparagrafimplicit1"/>
        </w:rPr>
        <w:tab/>
        <w:t>În temeiul prevederilor art. 26 alin. (6) din Legea nr. 101/2016, s-au respins ca nefondate celelalte critici din contestația formulată de P1 SRL.</w:t>
      </w:r>
    </w:p>
    <w:p>
      <w:pPr>
        <w:pStyle w:val="Normal"/>
        <w:jc w:val="both"/>
        <w:rPr/>
      </w:pPr>
      <w:r>
        <w:rPr>
          <w:rStyle w:val="Fontdeparagrafimplicit1"/>
        </w:rPr>
        <w:tab/>
        <w:t>În temeiul dispozițiilor art. 17 alin. (3) din Legea nr. 101/2016, coroborate cu dispozițiile art. 61 și urm. din Codul de procedură civilă, s-a respins cererea de intervenție formulată de G1 SA în dosarul nr. ..6.</w:t>
      </w:r>
    </w:p>
    <w:p>
      <w:pPr>
        <w:pStyle w:val="Normal"/>
        <w:jc w:val="both"/>
        <w:rPr/>
      </w:pPr>
      <w:r>
        <w:rPr>
          <w:rStyle w:val="Fontdeparagrafimplicit1"/>
        </w:rPr>
        <w:tab/>
        <w:t>În temeiul dispozițiilor art. 17 alin. (3) din Legea nr. 101/2016, coroborate cu dispozițiile art. 61 și urm. din Codul de procedură civilă, s-a respins cererea de intervenție formulată de G1 SA în dosarul nr. ...1.</w:t>
      </w:r>
    </w:p>
    <w:p>
      <w:pPr>
        <w:pStyle w:val="Normal"/>
        <w:jc w:val="both"/>
        <w:rPr/>
      </w:pPr>
      <w:r>
        <w:rPr>
          <w:rStyle w:val="Fontdeparagrafimplicit1"/>
        </w:rPr>
        <w:tab/>
        <w:t>În temeiul dispozițiilor art. 17 alin. (3) din Legea nr. 101/2016, coroborate cu dispozițiile art. 61 și urm. din Codul de procedură civilă, s-a admis cererea de intervenție formulată de ... DE A1 SA în dosarul nr. ...1.</w:t>
      </w:r>
    </w:p>
    <w:p>
      <w:pPr>
        <w:pStyle w:val="Normal"/>
        <w:ind w:firstLine="709"/>
        <w:jc w:val="both"/>
        <w:rPr>
          <w:b/>
          <w:i/>
          <w:i/>
        </w:rPr>
      </w:pPr>
      <w:r>
        <w:rPr>
          <w:rStyle w:val="Fontdeparagrafimplicit1"/>
          <w:b/>
          <w:i/>
        </w:rPr>
        <w:t>Pentru a pronunţa această soluţie, Consiliul Naţional de Soluţionare a Contestaţiilor a reţinut următoarele:</w:t>
      </w:r>
    </w:p>
    <w:p>
      <w:pPr>
        <w:pStyle w:val="Normal"/>
        <w:jc w:val="both"/>
        <w:rPr/>
      </w:pPr>
      <w:r>
        <w:rPr>
          <w:rStyle w:val="Fontdeparagrafimplicit1"/>
        </w:rPr>
        <w:tab/>
        <w:t>În prealabil, a admis, în principiu, cererile de intervenție formulate de G1 SA, lider al Asocierii G1 SA - J1 SRL - H1 SRL, fiind desemnată câștigătoarea procedurii de atribuire şi cererea de intervenție formulată de ... DE A1 SA, lider al asocierii ... DE A1 SA (Lider) - B1 SRL - F1 SRL, având calitatea de ofertant admisibil situat pe locul 1 în cadrul prezentei proceduri de atribuire, oferta contestatorului P1 SRL fund situată pe locul 3 în clasamentul ofertelor admisibile.</w:t>
        <w:tab/>
      </w:r>
    </w:p>
    <w:p>
      <w:pPr>
        <w:pStyle w:val="Normal"/>
        <w:jc w:val="both"/>
        <w:rPr/>
      </w:pPr>
      <w:r>
        <w:rPr>
          <w:rStyle w:val="Fontdeparagrafimplicit1"/>
        </w:rPr>
        <w:tab/>
        <w:t xml:space="preserve">În ceea ce privește fondul contestațiilor ... DE A1 SA și P1 SRL, Consiliul a analizat  </w:t>
      </w:r>
      <w:r>
        <w:rPr>
          <w:rStyle w:val="Fontdeparagrafimplicit1"/>
          <w:i/>
          <w:u w:val="single"/>
        </w:rPr>
        <w:t>criticile comune formulate de cei doi contestatori în referire la oferta desemnată câștigătoare</w:t>
      </w:r>
      <w:r>
        <w:rPr>
          <w:rStyle w:val="Fontdeparagrafimplicit1"/>
        </w:rPr>
        <w:t>, respectiv oferta depusă de asocierea G1 SA - J1 SRL - H1 SRL.</w:t>
      </w:r>
    </w:p>
    <w:p>
      <w:pPr>
        <w:pStyle w:val="Normal"/>
        <w:jc w:val="both"/>
        <w:rPr/>
      </w:pPr>
      <w:r>
        <w:rPr>
          <w:rStyle w:val="Fontdeparagrafimplicit1"/>
        </w:rPr>
        <w:tab/>
        <w:t>Consiliul a reținut că împotriva Deciziei CNSC nr. ...4,...7/13.06.2023, ... DE A1 SA și de P1 SRL au formulat plângeri, ce au făcut obiectul dosarelor nr. D2 și nr. D3, aflate pe rolul Curții de Apel ...,  soluționate prin decizia  nr. DC1/....</w:t>
      </w:r>
    </w:p>
    <w:p>
      <w:pPr>
        <w:pStyle w:val="Normal"/>
        <w:jc w:val="both"/>
        <w:rPr/>
      </w:pPr>
      <w:r>
        <w:rPr>
          <w:rStyle w:val="Fontdeparagrafimplicit1"/>
        </w:rPr>
        <w:tab/>
        <w:t>În considerentele deciziei nr. DC1/..., Curtea de Apel ... a reținut că plângerile petentelor  au reluat criticile formulate prin contestațiile adresate CNSC, susținând că prin decizia Consiliului nu s-a analizat critica de neconformitate a ofertei desemnate câștigătoare privind faptul că „respectiva asociere a omis la încărcarea în SEAP a părții propunerii tehnice constituită de volumul intitulat „tehnic 201-300.pdf, în „Procesul verbal nr. ...9/13.03.2023 privind evaluarea conformității propunerilor tehnice cu prevederile caietului de sarcini și, după caz, cu factorii de evaluare", iar comisia de evaluare a consemnat constatarea existenței unor documente ale respectivei oferte indicate ca regăsindu-se la pagini chiar din volumul omis la încărcarea în SEAP.</w:t>
      </w:r>
    </w:p>
    <w:p>
      <w:pPr>
        <w:pStyle w:val="Normal"/>
        <w:jc w:val="both"/>
        <w:rPr/>
      </w:pPr>
      <w:r>
        <w:rPr>
          <w:rStyle w:val="Fontdeparagrafimplicit1"/>
        </w:rPr>
        <w:tab/>
        <w:t>S-a arătat că omiterea încărcării  în SEAP a volumului propunerii tehnice „tehnic 20l-300.pdf ”este confirmată chiar de opisul propunerii tehnice care prevede conținutul documentelor aflate în respectivul volum ca fiind constituite de părți sau documente cum ar fi:</w:t>
      </w:r>
      <w:bookmarkStart w:name="bookmark0" w:id="2"/>
      <w:bookmarkEnd w:id="2"/>
      <w:r>
        <w:rPr>
          <w:rStyle w:val="Fontdeparagrafimplicit1"/>
        </w:rPr>
        <w:t xml:space="preserve"> 4. Personal execuție 82-162</w:t>
      </w:r>
      <w:bookmarkStart w:name="bookmark1" w:id="3"/>
      <w:bookmarkEnd w:id="3"/>
      <w:r>
        <w:rPr>
          <w:rStyle w:val="Fontdeparagrafimplicit1"/>
        </w:rPr>
        <w:t>; 5. Utilaje 263-269</w:t>
      </w:r>
      <w:bookmarkStart w:name="bookmark2" w:id="4"/>
      <w:bookmarkEnd w:id="4"/>
      <w:r>
        <w:rPr>
          <w:rStyle w:val="Fontdeparagrafimplicit1"/>
        </w:rPr>
        <w:t xml:space="preserve"> ; 6. Plan de management al calității 270-409 ;  certitudinea lipsei unor părți însemnate și obligatorii din propunerea tehnică determinate de omisiunea în discuție este confirmată de Planul de management al calității, document care, la pag. 301 începe cu următoare mențiune: „Tehnologii (inclusiv atunci când se intenționează a se utiliza echipamentele tehnice care nu au fost prevăzute inițial). Toate constatările, neconformitățile și recomandările vor fi documentate în rapoarte ale vizitelor de control. în cazul constatării de neconformități, se vor efectua vizite de control suplimentare, pentru a verifica modul de aplicare a remedierilor stabilite”, fiind evident astfel că aceasta mențiune era legată de conținutul volumului omis, în a cărui absență formularea de început este lipsită de sens și înțeles.</w:t>
      </w:r>
    </w:p>
    <w:p>
      <w:pPr>
        <w:pStyle w:val="Normal"/>
        <w:jc w:val="both"/>
        <w:rPr/>
      </w:pPr>
      <w:r>
        <w:rPr>
          <w:rStyle w:val="Fontdeparagrafimplicit1"/>
        </w:rPr>
        <w:tab/>
        <w:t>Absența volumului „tehnic 20l-300.pdf din propunerea tehnică a ofertei concurente este confirmată și de pct. 2 și 3 din Solicitarea de clarificări nr. ...0 / 02 03.2023, transmisă de comisia de evaluare ofertantului Asocierea G1 SA (lider) — J1 SRL (asociat I) - H1 SRL (asociat 2), cu conținutul:</w:t>
      </w:r>
    </w:p>
    <w:p>
      <w:pPr>
        <w:pStyle w:val="Normal"/>
        <w:jc w:val="both"/>
        <w:rPr/>
      </w:pPr>
      <w:r>
        <w:rPr>
          <w:rStyle w:val="Fontdeparagrafimplicit1"/>
        </w:rPr>
        <w:tab/>
        <w:t>- punctul 2 din solicitare: „Comisia de evaluare a constatat că ofertantul a descris resursele umane, implicate în îndeplinirea contractului, însă nu a putut regăsi organigrama echipei propuse pentru executarea Lucrărilor. Vă solicităm să clarificați acest aspect."</w:t>
      </w:r>
    </w:p>
    <w:p>
      <w:pPr>
        <w:pStyle w:val="Normal"/>
        <w:jc w:val="both"/>
        <w:rPr/>
      </w:pPr>
      <w:r>
        <w:rPr>
          <w:rStyle w:val="Fontdeparagrafimplicit1"/>
        </w:rPr>
        <w:tab/>
        <w:t>- punctul 3 din solicitare: „Comisia de evaluare nu a putut regăsi informații cu privire Ia momentul în care specialiștii, implicați în faza de execuție de lucrărilor, vor interveni în implementarea contractului. Vă solicităm să clarificați acest aspect, solicitare care vădește lipsa, din propunerea tehnică, a răspunsului la cerința nr. 2 a pct. IV.4.1 — „Modul de prezentare al propunerii tehnice" din fișa de date, reprecizat ca atare prin răspunsul consolidat al autorității contractante nr. ...0/20.01.2023, al cărui conținut a fost următorul:</w:t>
      </w:r>
    </w:p>
    <w:p>
      <w:pPr>
        <w:pStyle w:val="Normal"/>
        <w:jc w:val="both"/>
        <w:rPr/>
      </w:pPr>
      <w:r>
        <w:rPr>
          <w:rStyle w:val="Fontdeparagrafimplicit1"/>
        </w:rPr>
        <w:tab/>
        <w:t>„2. Personalul ofertantului</w:t>
      </w:r>
    </w:p>
    <w:p>
      <w:pPr>
        <w:pStyle w:val="Normal"/>
        <w:jc w:val="both"/>
        <w:rPr/>
      </w:pPr>
      <w:r>
        <w:rPr>
          <w:rStyle w:val="Fontdeparagrafimplicit1"/>
        </w:rPr>
        <w:tab/>
        <w:t>Ofertantul va descrie în propunerea tehnica momentul în care specialiștii implicați în îndeplinirea contractului, atât în faza de proiectare cât și în faza de execuție a lucrărilor, vor interveni in implementarea contractului, precum și modul în care acesta și-a asigurat accesul la serviciile acestora (fie prin resurse proprii, caz în care vor fi prezentate persoanele în cauza fie prin externalizare, situație în care vor descrie aranjamentele contractuale realizate în vederea obținerii serviciilor respective). Ofertantul va prezenta organigrama echipei propuse pentru realizarea serviciilor de proiectare și pentru executarea lucrărilor, cu evidențierea rolurilor si responsabilităților in cadrul echipei, care să identifice în mod clar tot personalul pe care ofertantul intenționează să-l utilizeze atât pentru faza de proiectare și faza de execuție a lucrărilor. Din analiza organigramei, Autoritatea contractantă trebuie sa constate ca resursele umane din organigrama, implicate în îndeplinirea contractului sunt suficiente și adecvate pentru proiectarea si execuția lucrărilor conform Programului de lucrări propus.</w:t>
      </w:r>
    </w:p>
    <w:p>
      <w:pPr>
        <w:pStyle w:val="Normal"/>
        <w:jc w:val="both"/>
        <w:rPr/>
      </w:pPr>
      <w:r>
        <w:rPr>
          <w:rStyle w:val="Fontdeparagrafimplicit1"/>
        </w:rPr>
        <w:tab/>
        <w:t>Astfel, pe calea clarificărilor și a răspunsurilor la acestea, autoritatea contractantă „s-a străduit să complinească omisiunea de la încărcarea în SEAP a volumului propunerii tehnice „tehnic 201-300.pdf, aspect care însă nu a putut fi realizat prin respectiva „manevră”, deoarece omisiunile unor aspecte precum cel constituit de neprezentarea organigramei de proiect — expres și imperativ solicitată - nu puteau fi complinite pe calea răspunsurilor la clarificări iară ca un astfel de aspect să nu conducă, în fapt, la prezentarea efectivă a unei noi oferte.</w:t>
      </w:r>
    </w:p>
    <w:p>
      <w:pPr>
        <w:pStyle w:val="Normal"/>
        <w:jc w:val="both"/>
        <w:rPr/>
      </w:pPr>
      <w:r>
        <w:rPr>
          <w:rStyle w:val="Fontdeparagrafimplicit1"/>
        </w:rPr>
        <w:tab/>
        <w:t>A arătat petenta că, mai mult, cu privire la documentul propunerii tehnice care să răspundă cerinței privind evidențierea rolurilor și responsabilităților în cadrul echipei, comisia de evaluare nu a solicitat niciun fel de clarificări, respectivul document lipsind din propunerea tehnică a ofertantului declarat câștigător.</w:t>
      </w:r>
    </w:p>
    <w:p>
      <w:pPr>
        <w:pStyle w:val="Normal"/>
        <w:jc w:val="both"/>
        <w:rPr/>
      </w:pPr>
      <w:r>
        <w:rPr>
          <w:rStyle w:val="Fontdeparagrafimplicit1"/>
        </w:rPr>
        <w:tab/>
        <w:t>În situația descrisă și luând în considerare dispozițiile HG nr. 395/2016 constituite de prevederile art. 60 alin. (1) și 4 din HG nr. 395/2016 - „Operatorul economic are obligația de a transmite oferta și DUAE în format electronic și numai până la data și ora-limită de depunere a ofertelor prevăzute în anunțul de participare.</w:t>
      </w:r>
    </w:p>
    <w:p>
      <w:pPr>
        <w:pStyle w:val="Normal"/>
        <w:jc w:val="both"/>
        <w:rPr/>
      </w:pPr>
      <w:r>
        <w:rPr>
          <w:rStyle w:val="Fontdeparagrafimplicit1"/>
        </w:rPr>
        <w:tab/>
        <w:t>Curtea a reţinut  că această critică formulată de către ambele petente este reală, în sensul că în analiza Consiliului nu s-au verificat în mod punctual aceste critici privind neîncărcarea în SEAP a unei părți din documentația tehnică, ci doar tangențial, prin referiri la diverse clarificări ulterioare.</w:t>
      </w:r>
    </w:p>
    <w:p>
      <w:pPr>
        <w:pStyle w:val="Normal"/>
        <w:jc w:val="both"/>
        <w:rPr/>
      </w:pPr>
      <w:r>
        <w:rPr>
          <w:rStyle w:val="Fontdeparagrafimplicit1"/>
        </w:rPr>
        <w:tab/>
        <w:t>Astfel, în cauză era necesar a fi analizate aceste critici, deoarece aspectele semnalate pot atrage incidența asupra ofertei respective a dispozițiilor art. 215 alin. (4) din Legea nr. 98/2016 și pe cele ale art. 137 alin. (3) lit. a) din HG nr. 395/2016.</w:t>
      </w:r>
    </w:p>
    <w:p>
      <w:pPr>
        <w:pStyle w:val="Normal"/>
        <w:jc w:val="both"/>
        <w:rPr/>
      </w:pPr>
      <w:r>
        <w:rPr>
          <w:rStyle w:val="Fontdeparagrafimplicit1"/>
        </w:rPr>
        <w:tab/>
        <w:t>Curtea a dispus ca autoritatea contractantă să verifice susținerile petentelor privind neîncărcarea în SEAP a unei părți din documentația tehnică depusă de asocierea G1 S.A. în raport de dispozițiile art. 215 alin. (4) din Legea nr. 98/2016 și pe cele ale art. 137 alin. (3) iii. a) din HG nr. 395/2016.</w:t>
      </w:r>
    </w:p>
    <w:p>
      <w:pPr>
        <w:pStyle w:val="Normal"/>
        <w:jc w:val="both"/>
        <w:rPr/>
      </w:pPr>
      <w:r>
        <w:rPr>
          <w:rStyle w:val="Fontdeparagrafimplicit1"/>
        </w:rPr>
        <w:tab/>
        <w:t>A mai dispus a se  verifica și celelalte critici referitoare la faptul că propunerea tehnică a fost întocmită în mod necorespunzător, întrucât nu a respectat cerința din documentație privind prezentarea schiței de proiect; ofertantul nu a prezentat în propunerea tehnică și nici în răspunsul la clarificări descriere a „adăposturilor pentru călători aferente stațiilor de autobuz”, cum autoritatea contractantă a solicitat prin clarificările adresate pe timpul evaluării ofertelor, la lipsa unei părți din propunerea tehnică, privind personalul, la faptul că Graficul Gantt a fost elaborat cu nerespectarea prescripțiilor pct. IV.4.1 în fișa de date și a răspunsului consolidat la clarificările solicitate de operatorii economici, la absența depunerii organigramei, a documentelor privind personalul, a celor privind utilajele și a celor privind Manualul calității, pornind de la conținutul documentației tehnice încărcată în SEAP de asocierea G1 S.A.</w:t>
      </w:r>
    </w:p>
    <w:p>
      <w:pPr>
        <w:pStyle w:val="Normal"/>
        <w:jc w:val="both"/>
        <w:rPr/>
      </w:pPr>
      <w:r>
        <w:rPr>
          <w:rStyle w:val="Fontdeparagrafimplicit1"/>
        </w:rPr>
        <w:tab/>
        <w:t>Totodată va analiza și criticile de neconformitate ale petentei SC P1 SA privind neconformitatea ofertei depuse de Asocierea ... de A1 S.A, care nu au fost analizate de către CNSC, referitoare la faptul că oferta tehnică depusă de ... de A1 nu îndeplinește toate exigențele documentației de atribuire, din cuprinsul acesteia lipsind informațiile/documentele solicitate la punctul 5 de la Cap. IV. 1.1 din Fișa de date a achiziției și că aceasta conține în cadrul propunerii financiare prețuri care nu sunt rezultatul liberei concurențe și care nu pot fi justificate”.</w:t>
      </w:r>
    </w:p>
    <w:p>
      <w:pPr>
        <w:pStyle w:val="Normal"/>
        <w:jc w:val="both"/>
        <w:rPr/>
      </w:pPr>
      <w:r>
        <w:rPr>
          <w:rStyle w:val="Fontdeparagrafimplicit1"/>
        </w:rPr>
        <w:tab/>
        <w:t>Prin urmare, Consiliul a reținut că autoritatea contractantă avea obligația de a verifica, în primul rând, încărcarea sau nu în SEAP a unei părți importante din propunerea tehnică de către asocierea desemnată câștigătoare.</w:t>
      </w:r>
    </w:p>
    <w:p>
      <w:pPr>
        <w:pStyle w:val="Normal"/>
        <w:jc w:val="both"/>
        <w:rPr/>
      </w:pPr>
      <w:r>
        <w:rPr>
          <w:rStyle w:val="Fontdeparagrafimplicit1"/>
        </w:rPr>
        <w:tab/>
      </w:r>
      <w:r>
        <w:rPr>
          <w:rStyle w:val="Fontdeparagrafimplicit1"/>
          <w:i/>
          <w:u w:val="single"/>
        </w:rPr>
        <w:t>Conform documentelor depuse la dosarul cauzei</w:t>
      </w:r>
      <w:r>
        <w:rPr>
          <w:rStyle w:val="Fontdeparagrafimplicit1"/>
        </w:rPr>
        <w:t xml:space="preserve">, </w:t>
      </w:r>
      <w:r>
        <w:rPr>
          <w:rStyle w:val="Fontdeparagrafimplicit1"/>
          <w:i/>
          <w:u w:val="single"/>
        </w:rPr>
        <w:t>Consiliul reține</w:t>
      </w:r>
      <w:r>
        <w:rPr>
          <w:rStyle w:val="Fontdeparagrafimplicit1"/>
        </w:rPr>
        <w:t xml:space="preserve"> că autoritatea contractantă nu a făcut aceste verificări referitoare la neîncărcarea în SEAP a unei părți din documentația tehnică depusă de asocierea G1 S.A. în raport de dispozițiile art. 215 alin. (4) din Legea nr. 98/2016  și pe cele ale art. 137 alin. (3) lit. a) din HG nr. 395/2016 aşa cum definitiv și obligatoriu a dispus instanța de control judiciar.</w:t>
      </w:r>
    </w:p>
    <w:p>
      <w:pPr>
        <w:pStyle w:val="Normal"/>
        <w:jc w:val="both"/>
        <w:rPr/>
      </w:pPr>
      <w:r>
        <w:rPr>
          <w:rStyle w:val="Fontdeparagrafimplicit1"/>
        </w:rPr>
        <w:tab/>
        <w:t>În consecința, în opinia Consiliului, susținerile autorității contractante transmise în punctul de vedere  potrivit cărora „susținerile contestatoarei privind neîncărcarea în SEAP a unui volum a propunerii tehnice excede atribuțiilor comisiei de evaluare, aceasta fiind obligată să evalueze ofertele din prisma cerințelor prevăzute în documentația de atribuire raportat la documentele prezentate de ofertanți” sunt neîntemeiate, conduita acesteia încălcând dispozițiile deciziei nr. DC1/... a Curții de Apel .... .</w:t>
      </w:r>
    </w:p>
    <w:p>
      <w:pPr>
        <w:pStyle w:val="Normal"/>
        <w:jc w:val="both"/>
        <w:rPr/>
      </w:pPr>
      <w:r>
        <w:rPr>
          <w:rStyle w:val="Fontdeparagrafimplicit1"/>
        </w:rPr>
        <w:tab/>
        <w:t>Faptul că autoritatea contractantă ar fi constatat, din documentele încărcate în cadrul propunerii tehnice, precum și din răspunsurile la clarificări (adresa nr. ...2/06.03.2023) că oferta desemnată câștigătoare ar fi îndeplinit cerințele din documentația de atribuire, deși numerotarea ofertei tehnice sare de la pag. 200 la pag. 301, așa cum reiese din conținutul procesului verbal al evaluării tehnice, nu are relevanță, în opinia Consiliului, din moment ce instanța de control judiciar a dispus verificări referitoare neîncărcarea în SEAP a unei părţi din documentația tehnică depusa de asocierea G1 S.A. în raport de dispozițiile art. 215 alin. (4) din Legea nr. 98/2016 și pe cele ale art. 137 alin. (3) lit. a) din HG nr. 395/2016.</w:t>
      </w:r>
    </w:p>
    <w:p>
      <w:pPr>
        <w:pStyle w:val="Normal"/>
        <w:jc w:val="both"/>
        <w:rPr/>
      </w:pPr>
      <w:r>
        <w:rPr>
          <w:rStyle w:val="Fontdeparagrafimplicit1"/>
        </w:rPr>
        <w:tab/>
        <w:t>În aceste condiții Consiliul nu a mai analizat celelalte critici formulate de cei doi contestatori privind oferta desemnată câștigătoare, autoritatea contractantă având în primul rând, obligația de a stabili daca oferta asocierii— G1 SA - J1 SRL - H1 , SRL este admisibilă, raportat la cele dispuse de Curtea de Apel ... prin Hotărârea nr. DC1/... referitor la aspectele mai sus reținute.</w:t>
      </w:r>
    </w:p>
    <w:p>
      <w:pPr>
        <w:pStyle w:val="Normal"/>
        <w:jc w:val="both"/>
        <w:rPr/>
      </w:pPr>
      <w:r>
        <w:rPr>
          <w:rStyle w:val="Fontdeparagrafimplicit1"/>
        </w:rPr>
        <w:tab/>
        <w:t>În ceea ce privește criticile din contestația P1 SRL, referitoare la admisibilitatea ofertei clasate pe locul 2, respectiv oferta asocierii ... DE A1 SA - B1 SRL - F1, Consiliul a reţinut că P1 SRL critică admisibilitatea ofertei clasate pe locul 2, susținând că autoritatea contractantă nu a pus în aplicare decizia nr. DC1/... a Curții de Apel ..., definitivă și obligatorie, în ceea ce privește reevaluarea ofertei asocierii ... DE A1 SA - B1 SRL - F1.</w:t>
      </w:r>
    </w:p>
    <w:p>
      <w:pPr>
        <w:pStyle w:val="Normal"/>
        <w:jc w:val="both"/>
        <w:rPr/>
      </w:pPr>
      <w:r>
        <w:rPr>
          <w:rStyle w:val="Fontdeparagrafimplicit1"/>
        </w:rPr>
        <w:tab/>
        <w:t>Consiliul a reținut că în considerentele hotărârii antemenționate, instanța de control judiciar a statuat că vor fi analizate si criticile de neconformitate ale petentei SC P1 SA privind neconformitatea ofertei depuse de Asocierea ... de A1 S.A, care nu au fost analizate de către CNSC, referitoare la faptul că oferta tehnică depusă de ... de A1 nu îndeplinește toate exigențele documentației de atribuire, din cuprinsul acesteia lipsind informațiile/documentele solicitate la punctul 5 de la Cap. IV. 1.1 din Fișa de date a achiziției și că aceasta conține în cadrul propunerii financiare prețuri care nu sunt rezultatul liberei concurențe și care nu pot fi justificate”.</w:t>
      </w:r>
    </w:p>
    <w:p>
      <w:pPr>
        <w:pStyle w:val="Normal"/>
        <w:jc w:val="both"/>
        <w:rPr/>
      </w:pPr>
      <w:r>
        <w:rPr>
          <w:rStyle w:val="Fontdeparagrafimplicit1"/>
        </w:rPr>
        <w:tab/>
        <w:t>Prin urmare, prin decizia instanței s-a dispus autorității contractante să analizeze ea însăși criticile formulate de P1 SRL cu privire la oferta competitorului său, critici care au vizat două aspecte:</w:t>
      </w:r>
    </w:p>
    <w:p>
      <w:pPr>
        <w:pStyle w:val="Normal"/>
        <w:jc w:val="both"/>
        <w:rPr/>
      </w:pPr>
      <w:r>
        <w:rPr>
          <w:rStyle w:val="Fontdeparagrafimplicit1"/>
        </w:rPr>
        <w:tab/>
        <w:t>-un prim aspect constituit de afirmația contestatorului P1 SRL corespunzător căruia „oferta tehnică depusă de ... de A1 nu îndeplinește toate exigențele documentației de atribuire, din cuprinsul acesteia lipsind informațiile/documentele solicitate la punctul 5 de la Cap. IV. 1.1 din Fișa de date a achiziției";</w:t>
      </w:r>
    </w:p>
    <w:p>
      <w:pPr>
        <w:pStyle w:val="Normal"/>
        <w:jc w:val="both"/>
        <w:rPr/>
      </w:pPr>
      <w:r>
        <w:rPr>
          <w:rStyle w:val="Fontdeparagrafimplicit1"/>
        </w:rPr>
        <w:tab/>
        <w:t>-un aspect secund conform căruia oferta asocierii ... DE A1 SA - B1 SRL - F1 ar putea „conține în cadrul propunerii financiare prețuri care nu sunt rezultatul liberei concurențe și care nu pot fi justificate”.</w:t>
      </w:r>
    </w:p>
    <w:p>
      <w:pPr>
        <w:pStyle w:val="Normal"/>
        <w:jc w:val="both"/>
        <w:rPr/>
      </w:pPr>
      <w:r>
        <w:rPr>
          <w:rStyle w:val="Fontdeparagrafimplicit1"/>
        </w:rPr>
        <w:tab/>
        <w:t>Primul aspect sub care autoritatea contractantă a fost obligată la reanalizarea ofertei asocierii viza, în concret, afirmația P1 conform căreia oferta ... DE A1 SA - B1 SRL - F1 ar fi grevată de „lipsa resurselor alocate din Graficul Gantt (programul de lucru)".</w:t>
      </w:r>
    </w:p>
    <w:p>
      <w:pPr>
        <w:pStyle w:val="Normal"/>
        <w:jc w:val="both"/>
        <w:rPr>
          <w:i/>
          <w:i/>
        </w:rPr>
      </w:pPr>
      <w:r>
        <w:rPr>
          <w:rStyle w:val="Fontdeparagrafimplicit1"/>
        </w:rPr>
        <w:tab/>
        <w:t>Consiliul a reținut că susținerile contestatorului se bazează pe sintagma regăsită la pct. 5 al cap. IV.4.1 al fișei de date a achiziției, conform căreia „</w:t>
      </w:r>
      <w:r>
        <w:rPr>
          <w:rStyle w:val="Fontdeparagrafimplicit1"/>
          <w:i/>
        </w:rPr>
        <w:t>Ofertantul trebuie-să facă dovada unei planificări realiste a activităților in perioada de derulare a contractului (de exemplu proporționalitate intre complexitatea activităților si timpul necesar pentru îndeplinirea acestora, sincronizarea activităților propuse luând in considerare timpul necesar mobilizării resurselor si utilizarea resurselor alocate pentru fiecare activitate, pentru atingerea obiectivelor contractului)”.</w:t>
      </w:r>
    </w:p>
    <w:p>
      <w:pPr>
        <w:pStyle w:val="Normal"/>
        <w:jc w:val="both"/>
        <w:rPr>
          <w:i/>
          <w:i/>
        </w:rPr>
      </w:pPr>
      <w:r>
        <w:rPr>
          <w:rStyle w:val="Fontdeparagrafimplicit1"/>
          <w:i/>
        </w:rPr>
        <w:tab/>
        <w:t>Din conținutul acestui text, Consiliul observă că nu s-a impus suprascrierea resurselor pe graficul Gantt partea de asigurare F resurselor fiind constituită din părți și capitole distincte ale propunerii tehnice - elaborate în acord cu prevederile documentației de atribuire.</w:t>
      </w:r>
    </w:p>
    <w:p>
      <w:pPr>
        <w:pStyle w:val="Normal"/>
        <w:jc w:val="both"/>
        <w:rPr/>
      </w:pPr>
      <w:r>
        <w:rPr>
          <w:rStyle w:val="Fontdeparagrafimplicit1"/>
        </w:rPr>
        <w:tab/>
        <w:t>De asemeni, s-a reținut Răspunsul consolidat la clarificări nr. ...0/20.01.2023, capitolul „Solicitarea de clarificări nr. 3 postată în SEAP la data de 12.01.2023, înregistrată sub nr. ...2/12.01.2023 , arătându-se  că documentația de atribuire nu a impus nicio regulă de suprascriere a resurselor pe graficul Gantt, susținerile P1 SRL fiind speculative.</w:t>
      </w:r>
    </w:p>
    <w:p>
      <w:pPr>
        <w:pStyle w:val="Normal"/>
        <w:jc w:val="both"/>
        <w:rPr/>
      </w:pPr>
      <w:r>
        <w:rPr>
          <w:rStyle w:val="Fontdeparagrafimplicit1"/>
        </w:rPr>
        <w:tab/>
        <w:t>Consiliul a reținut că, prin răspunsul la clarificările solicitate în etapa de reevaluare a ofertelor, ofertantul asociere ... DE A1 SA - B1 SRL - F1 a precizat că deşi „(...) prin niciunul dintre documentele achiziției, nici chiar prin conținutul pct. IV.4.1. al fișei de date, citat și invocat în solicitarea de clarificări, nu s-a impus vreo regulă sau cerință prin care să se fi ‘ impus materializarea/suprascrierea în graficul Gantt a resurselor alocate,  luând în considerare motivarea deciziei civile nr. DC1/... , au depus Graficul Gantt completat cu înscrierea/suprascrierea pe acesta a resurselor repartizate pe fiecare activitate, aspect sub care oferta nu suferă nicio modificare, operațiunea de suprascriere antemenționată fiind doar o completare formală și de confirmare, care întrunește condițiile 135 alin. (3) din HG nr. 395/2016 .</w:t>
      </w:r>
    </w:p>
    <w:p>
      <w:pPr>
        <w:pStyle w:val="Normal"/>
        <w:jc w:val="both"/>
        <w:rPr/>
      </w:pPr>
      <w:r>
        <w:rPr>
          <w:rStyle w:val="Fontdeparagrafimplicit1"/>
        </w:rPr>
        <w:tab/>
        <w:t>Răspunsul astfel formulat a fost apreciat de autoritatea contractantă ca fiind concludent, decizie pe care Consiliul o apreciază ca fiind întemeiată.</w:t>
      </w:r>
    </w:p>
    <w:p>
      <w:pPr>
        <w:pStyle w:val="Normal"/>
        <w:jc w:val="both"/>
        <w:rPr/>
      </w:pPr>
      <w:r>
        <w:rPr>
          <w:rStyle w:val="Fontdeparagrafimplicit1"/>
        </w:rPr>
        <w:tab/>
        <w:t>Faţă de al doilea aspect</w:t>
      </w:r>
      <w:r>
        <w:rPr>
          <w:rStyle w:val="Fontdeparagrafimplicit1"/>
          <w:b/>
          <w:u w:val="single"/>
        </w:rPr>
        <w:t>,</w:t>
      </w:r>
      <w:r>
        <w:rPr>
          <w:rStyle w:val="Fontdeparagrafimplicit1"/>
        </w:rPr>
        <w:t xml:space="preserve"> care priveşte  susținerile contestatorului referitoare la faptul că oferta asocierii ... DE A1 SA - B1 SRL - F1 ar conține în cadrul propunerii financiare prețuri care nu sunt rezultatul liberei concurențe și care nu pot fi justificate, Consiliul a reţinut că, potrivit deciziei nr. DC1/... emisă de Curtea de Apel ..., instanța a considerat necesar ca autoritatea contractantă să verifice existența, în cadrul propunerii financiare depusă de ... DE A1 SA- SC B1 SRL- F1 SRL, unor prețuri care nu sunt rezultatul liberei concurențe și care nu pot fi justificate, verificare care, în opinia Consiliului, a avut loc în etapa de evaluare a propunerilor financiare. De altminteri, însăși instanța de control judiciar a avut în vedere faptul că criticile sub acest aspect nu fuseseră analizate de către CNSC în decizia anterioară, critici care vor fi analizate de Consiliu în cele ce preced.</w:t>
      </w:r>
    </w:p>
    <w:p>
      <w:pPr>
        <w:pStyle w:val="Normal"/>
        <w:jc w:val="both"/>
        <w:rPr/>
      </w:pPr>
      <w:r>
        <w:rPr>
          <w:rStyle w:val="Fontdeparagrafimplicit1"/>
        </w:rPr>
        <w:tab/>
        <w:t>Astfel, Consiliul a reținut că, în cazul ofertei asocierii ... DE A1 SA - B1 SRL - F1 nu este îndeplinită prezumția legală consacrată de dispozițiile art. 136 alin. (4) din HG nr. 395/2016 - „In sensul prevederilor art. 210 alin. (1) din Lege, o ofertă prezintă un preț aparent neobișnuit de scăzut în raport cu ceea ce urmează a fi furnizat, executat sau prestat atunci când prețul ofertat, fără TVA, reprezintă mai puțin de 80% din valoarea estimată a contractului respectiv”, astfel că autoritatea contractantă nu avea obligația impusă de dispozițiile art. 210 alin. (1) din Legea nr. 98/2016, respectiv „de a solicita ofertantului care a depus o astfel de ofertă clarificări cu privire la prețul sau costurile propuse în respectiva ofertă”.</w:t>
      </w:r>
    </w:p>
    <w:p>
      <w:pPr>
        <w:pStyle w:val="Normal"/>
        <w:jc w:val="both"/>
        <w:rPr/>
      </w:pPr>
      <w:r>
        <w:rPr>
          <w:rStyle w:val="Fontdeparagrafimplicit1"/>
        </w:rPr>
        <w:tab/>
        <w:t>Potrivit documentelor aflate la dosarul cauzei, oferta financiară depusă de către asocierea ... DE A1 SA- SC B1 SRL- F1 SRL a avut o valoare de 44.019.933,70 lei fără TVA, reprezentând 88,94% din valoarea estimată a contractului (49.493.059,88 lei fără TVA).</w:t>
      </w:r>
    </w:p>
    <w:p>
      <w:pPr>
        <w:pStyle w:val="Normal"/>
        <w:jc w:val="both"/>
        <w:rPr/>
      </w:pPr>
      <w:r>
        <w:rPr>
          <w:rStyle w:val="Fontdeparagrafimplicit1"/>
        </w:rPr>
        <w:tab/>
        <w:t>Consiliul a reținut ca pertinente susținerile intervenientului ... DE A1 (intervenient în dosarul nr. ...1), potrivit cărora „pentru niciuna dintre categoriile de cheltuieli conținute de Formularul nr. 11, contestatoare nu identifică și probează în sensul prevederilor art. 136 alin. (1) din HG nr. 395/2016 conform cărora „art. 136. - (1) în situația în care comisia de evaluare constată că elemente de preț ale unei oferte sunt aparent neobișnuit de scăzute, prin raportare la prețurile pieței, utilizându-se ca referința în acest sens informații cum ar fi buletine statistice, sau cotații ale burselor de mărfuri, comisia de evaluare va solicita ofertantului care a depus oferta în cauză explicații cu privire la posibilitate îndeplinirii contractului în condițiile de calitate impuse prin documentația de atribuire” existența vreunui „element de preț” al ofertei  ca fiind aparent neobișnuit de scăzut prin utilizarea ca referință de informații conținute de buletine statice, cotații ale burselor de mărfuri sau alte informații cu putere de referință precum ar fi cele emanate de organisme competente, certificate și recunoscute la nivel național, european sau internațional a se pronunța asupra vreunui nivel de referință al prețurilor”.</w:t>
      </w:r>
    </w:p>
    <w:p>
      <w:pPr>
        <w:pStyle w:val="Normal"/>
        <w:jc w:val="both"/>
        <w:rPr/>
      </w:pPr>
      <w:r>
        <w:rPr>
          <w:rStyle w:val="Fontdeparagrafimplicit1"/>
        </w:rPr>
        <w:tab/>
        <w:t>Faptul că P1 SRL invocă oferte de preț ale furnizorilor săi, în opinia Consiliului nu are relevanță, din moment ce acestea reflectă doar relația comercială pe care o are contestatorul cu operatorii economici respectivi, iar aceste susțineri nu pot constitui dovezi certe care să conducă la concluzia că o ofertă concurentă ar avea prețuri ce nu pot fi justificate, în condițiile ofertării unei propuneri financiare care reprezintă 88,94% din valoarea estimată a achiziției. Alegațiile contestatorului sunt, în acest caz, evident speculative și subiective, invocarea unor elemente de preț diferite de cele ale propriei oferte neputând proba existența unor prețuri care nu sunt rezultatul liberei concurențe și care nu pot fi justificate, în condițiile în care acesta s-a limitat la a identifica anumite prețuri la materiale ofertate și a le compara cu prețurile pe care doar el însuși le apreciază ca fiind reale. De remarcat este și faptul că diferența dintre ofertele financiare aflate pe locul 2 și 3 este de doar 3.469.485,86 lei, o valoare extrem de mică raportat la natura și obiectul contractului de achiziție publică și va valoarea estimată a acestuia.</w:t>
      </w:r>
    </w:p>
    <w:p>
      <w:pPr>
        <w:pStyle w:val="Normal"/>
        <w:jc w:val="both"/>
        <w:rPr/>
      </w:pPr>
      <w:r>
        <w:rPr>
          <w:rStyle w:val="Fontdeparagrafimplicit1"/>
        </w:rPr>
        <w:tab/>
        <w:t>Prin urmare, Consiliul a apreciat ca neîntemeiate criticile formulate de P1 SRL la adresa ofertei depuse de asocierea ... DE A1 SA- SC B1 SRL- F1 SRL.</w:t>
      </w:r>
    </w:p>
    <w:p>
      <w:pPr>
        <w:pStyle w:val="Listparagraf1"/>
        <w:ind w:left="705"/>
        <w:rPr>
          <w:b/>
        </w:rPr>
      </w:pPr>
      <w:r>
        <w:rPr>
          <w:rStyle w:val="Fontdeparagrafimplicit1"/>
        </w:rPr>
        <w:t>II.</w:t>
      </w:r>
      <w:r>
        <w:rPr>
          <w:rStyle w:val="Fontdeparagrafimplicit1"/>
          <w:b/>
        </w:rPr>
        <w:t>Plângerea împotriva deciziei C.N.C.S.</w:t>
      </w:r>
    </w:p>
    <w:p>
      <w:pPr>
        <w:pStyle w:val="Frspaiere1"/>
        <w:ind w:firstLine="705"/>
        <w:rPr>
          <w:lang w:val="ro-RO"/>
        </w:rPr>
      </w:pPr>
      <w:r>
        <w:rPr>
          <w:rStyle w:val="Fontdeparagrafimplicit1"/>
          <w:b/>
          <w:i/>
          <w:lang w:val="ro-RO"/>
        </w:rPr>
        <w:t xml:space="preserve">Împotriva deciziei nr. ...4 din data de 26.02.2024 pronunțată de către Consiliul Național de Soluționare a Contestațiilor, a formulat plângere petenta P1 SRL, </w:t>
      </w:r>
      <w:r>
        <w:rPr>
          <w:rStyle w:val="Fontdeparagrafimplicit1"/>
          <w:lang w:val="ro-RO"/>
        </w:rPr>
        <w:t>solicitând admiterea plângerii, modificarea în parte a Deciziei pronunțate de CNSC în sensul admiterii în integralitate a Contestației în ceea ce privește ofertantul Asocierea ...ui de A1 S.A. – B1 SRL – F1 SRL, pentru următoarele motive:</w:t>
      </w:r>
    </w:p>
    <w:p>
      <w:pPr>
        <w:pStyle w:val="Frspaiere1"/>
        <w:rPr/>
      </w:pPr>
      <w:r>
        <w:rPr>
          <w:rStyle w:val="Fontdeparagrafimplicit1"/>
          <w:lang w:val="ro-RO"/>
        </w:rPr>
        <w:tab/>
      </w:r>
      <w:r>
        <w:rPr>
          <w:rStyle w:val="Fontdeparagrafimplicit1"/>
        </w:rPr>
        <w:t>Reluând istoricul procedurii declanşate de autoritatea contractantă , petenta susţine  pronunţarea unei decizii nelegale care încalcă autoritatea de lucru judecat a deciziei pronunțată de Curtea de Apel … prin care s-a dispus reevaluarea ofertei Asocierii ... de A1 din perspectiva motivelor de neconformitate invocate de P1.</w:t>
      </w:r>
    </w:p>
    <w:p>
      <w:pPr>
        <w:pStyle w:val="Frspaiere1"/>
        <w:rPr/>
      </w:pPr>
      <w:r>
        <w:rPr>
          <w:rStyle w:val="Fontdeparagrafimplicit1"/>
        </w:rPr>
        <w:tab/>
        <w:t>Arată că  evaluarea implica analizarea următoarelor critici:</w:t>
      </w:r>
    </w:p>
    <w:p>
      <w:pPr>
        <w:pStyle w:val="Frspaiere1"/>
        <w:rPr/>
      </w:pPr>
      <w:r>
        <w:rPr>
          <w:rStyle w:val="Fontdeparagrafimplicit1"/>
        </w:rPr>
        <w:tab/>
        <w:t>- Oferta tehnică depusă de Asocierea ... de A1 nu îndeplinește toote exigențele documentației de atribuire din cuprinsul acesteia lipsind informațiile documentele solicitate la punctul 5 de la Cap. IV. 1.1 din Fișa de date;</w:t>
      </w:r>
    </w:p>
    <w:p>
      <w:pPr>
        <w:pStyle w:val="Frspaiere1"/>
        <w:rPr/>
      </w:pPr>
      <w:r>
        <w:rPr>
          <w:rStyle w:val="Fontdeparagrafimplicit1"/>
        </w:rPr>
        <w:tab/>
        <w:t>- Conține în cadrul propunerii financiare prețuri care nu sunt rezultatul liberei concurențe și care nu pot fi justificate.</w:t>
      </w:r>
    </w:p>
    <w:p>
      <w:pPr>
        <w:pStyle w:val="Frspaiere1"/>
        <w:rPr/>
      </w:pPr>
      <w:r>
        <w:rPr>
          <w:rStyle w:val="Fontdeparagrafimplicit1"/>
        </w:rPr>
        <w:tab/>
        <w:t>Or, deși limitele reevaluării au fost foarte clar trasate de instanța de judecată, comisia de evaluare a reevaluat oferta Asocierii ...ui de A1 doar din perspectiva criticilor P1 referitoare la lipsa evidențierii resurselor în Graficul Gantt (programul de lucru).</w:t>
      </w:r>
    </w:p>
    <w:p>
      <w:pPr>
        <w:pStyle w:val="Frspaiere1"/>
        <w:rPr/>
      </w:pPr>
      <w:r>
        <w:rPr>
          <w:rStyle w:val="Fontdeparagrafimplicit1"/>
        </w:rPr>
        <w:tab/>
        <w:t>Astfel, în data de 17.11.2023, comisia de evaluare prin Adresa nr. 15986 a solicitat clarificări respectiv: ”Având în vedere cerința din FDA cap.4.1 Modul de prezentare a propunerii tehnice pct.5 referitor la „Antreprenorul va transmite Programul de lucrări (sub formă de grafic), întocmit astfel încât, în baza lui, să elaboreze ulterior Programul de Execuție prevăzut ia clauza 17 din condiții generale de contract. Programul de lucrări va detalia atât activitatea de proiectare cât și cea de execuție, recepție a lucrărilor. Ofertantul va identifica și consemna în programul de lucrări perioada de timp friguros. Durata activităților va fi exprimată în luni. Programul de lucrări va cuprinde cel puțin informațiile solicitate mai jos: Pentru îndeplinirea cerinței solicitate de a realiza contractul în perioada declarată de către fiecare ofertant, se solicită ofertanților să prezinte planificarea lucrărilor, succesiunea și durata activităților, luându-se în considerare și timpul necesar pentru mobilizare, cu evidențierea momentelor semnificative ale proiectului, în raport cu necesitatea atingerii rezultatelor, lucrările permanente și temporare ce urmează să fie executate. Ofertantul trebuie sa facă dovada unei planificări realiste a activităților în perioada de derulare a contractului (de exemplu proporționalitate între complexitatea activităților și timpul necesar pentru îndeplinirea acestora, sincronizarea activităților propuse luând în considerare timpul necesar mobilizării resurselor și utilizarea resurselor alocate pentru fiecare activitate, pentru atingerea obiectivelor contractului), însă resursele alocate nu se găsesc in programul de lucrări. Va rugam clarificați”.</w:t>
      </w:r>
    </w:p>
    <w:p>
      <w:pPr>
        <w:pStyle w:val="Frspaiere1"/>
        <w:rPr/>
      </w:pPr>
      <w:r>
        <w:rPr>
          <w:rStyle w:val="Fontdeparagrafimplicit1"/>
        </w:rPr>
        <w:tab/>
        <w:t>Or, autoritatea contractantă avea obligația de a reevalua oferta Asocierii ...ui de A1 din perspectiva ambelor motive reținute de Curtea de Apel ….</w:t>
      </w:r>
    </w:p>
    <w:p>
      <w:pPr>
        <w:pStyle w:val="Frspaiere1"/>
        <w:rPr/>
      </w:pPr>
      <w:r>
        <w:rPr>
          <w:rStyle w:val="Fontdeparagrafimplicit1"/>
        </w:rPr>
        <w:tab/>
        <w:t>Astfel, atât autoritatea contractantă, cât si Consiliul au refuzat reevaluarea ofertei Asocierii ...ui de A1 din perspectiva criticilor care vizau propunerea financiară a ofertantului.</w:t>
      </w:r>
    </w:p>
    <w:p>
      <w:pPr>
        <w:pStyle w:val="Frspaiere1"/>
        <w:rPr/>
      </w:pPr>
      <w:r>
        <w:rPr>
          <w:rStyle w:val="Fontdeparagrafimplicit1"/>
        </w:rPr>
        <w:tab/>
        <w:t>Susţin că  indubitabil Consiliul ignoră aceste obligații și apreciază că, în opinia sa, această analiză a fost efectuată în etapa de evaluare a propunerii financiare şi că e superficială motivarea potrivit căreia  nu se justifică analiza criticilor petentei în condițiile în care oferta totală are o valoarea peste procentul de 80% prevăzut de legiuitor, deși instanța de judecată a făcut trimitere la preturile din cadrul ofertei si nicidecum la prețul total al ofertei.</w:t>
      </w:r>
    </w:p>
    <w:p>
      <w:pPr>
        <w:pStyle w:val="Frspaiere1"/>
        <w:rPr/>
      </w:pPr>
      <w:r>
        <w:rPr>
          <w:rStyle w:val="Fontdeparagrafimplicit1"/>
        </w:rPr>
        <w:tab/>
      </w:r>
      <w:r>
        <w:rPr>
          <w:rStyle w:val="Fontdeparagrafimplicit1"/>
          <w:i/>
        </w:rPr>
        <w:t>Cu privire la motivul de neconformitate</w:t>
      </w:r>
      <w:r>
        <w:rPr>
          <w:rStyle w:val="Fontdeparagrafimplicit1"/>
        </w:rPr>
        <w:t xml:space="preserve"> potrivit căruia oferta tehnică depusă de Asocierea ... de A1 nu îndeplinește toate exigențele documentației de atribuire, din cuprinsul acesteia lipsind informațiile solicitate la punctul 5 de la Cap. IV.1.1 din Fișa de date, motiv admis de Curtea de Apel … atât în ceea ce privește ofertantul Asocierea G1 cât si în ceea ce privește ofertantul Asocierea ... de A1 arată că prin Fișa de date, Capitolul IV.4.1 - Modul de prezentare al propunerii tehnice, autoritatea contractantă a solicitat la punctul 5 îndeplinirea următoarelor cerințe: ”5. Antreprenorul va transmite Programul de lucrări (sub formă de grafic}, întocmit astfel încât, în baza lui, să elaboreze ulterior Programul de Execuție prevăzut la clauza 17 din condiții generale de contract. Programul de lucrări va detalia atât activitatea de proiectare cât și cea de execuție, recepție a lucrărilor. Ofertantul va identifica și consemna în programul de lucrări perioada de timp friguros. Durata activităților va fi exprimată în luni. Programul de lucrări va cuprinde cel puțin informațiile solicitate mai jos:</w:t>
      </w:r>
    </w:p>
    <w:p>
      <w:pPr>
        <w:pStyle w:val="Frspaiere1"/>
        <w:rPr/>
      </w:pPr>
      <w:r>
        <w:rPr>
          <w:rStyle w:val="Fontdeparagrafimplicit1"/>
        </w:rPr>
        <w:tab/>
        <w:t>Pentru îndeplinirea cerinței solicitate de a realiza contractul în perioada declarată de către fiecare ofertant, se solicită ofertanților să prezinte planificarea lucrărilor, succesiunea și durata activităților, luându-se în considerare și timpul necesar pentru mobilizare, cu evidențierea momentelor semnificative ale proiectului, în raport cu necesitatea atingerii rezultatelor, lucrările permanente și temporare ce urmează să fie executate. Ofertantul trebuie sa facă dovada unei planificări realiste a activităților în perioada de derulare a contractului (de exemplu proporționalitate între complexitatea activităților si timpul necesar pentru îndeplinirea acestora, sincronizarea activităților propuse luând în considerare timpul necesar mobilizării resurselor și utilizarea resurselor alocate pentru fiecare activitate, pentru atingerea obiectivelor contractului)".</w:t>
      </w:r>
    </w:p>
    <w:p>
      <w:pPr>
        <w:pStyle w:val="Frspaiere1"/>
        <w:rPr/>
      </w:pPr>
      <w:r>
        <w:rPr>
          <w:rStyle w:val="Fontdeparagrafimplicit1"/>
        </w:rPr>
        <w:tab/>
        <w:t>Analizând documentele depuse de ofertant, a constatat că din Graficul Gantt depus lipsesc resursele alocate.</w:t>
      </w:r>
    </w:p>
    <w:p>
      <w:pPr>
        <w:pStyle w:val="Frspaiere1"/>
        <w:rPr/>
      </w:pPr>
      <w:r>
        <w:rPr>
          <w:rStyle w:val="Fontdeparagrafimplicit1"/>
        </w:rPr>
        <w:tab/>
        <w:t>Criticile petentei au fost admise de Curtea de Apel …, prin Decizia nr. DC1/..., prin care s-a dispus reevaluarea ofertei Asocierii ... de A1.</w:t>
      </w:r>
    </w:p>
    <w:p>
      <w:pPr>
        <w:pStyle w:val="Frspaiere1"/>
        <w:rPr/>
      </w:pPr>
      <w:r>
        <w:rPr>
          <w:rStyle w:val="Fontdeparagrafimplicit1"/>
        </w:rPr>
        <w:tab/>
        <w:t>Analizând răspunsul transmis de ... de A1, susţine petenta că  ofertantul admite lipsa includerii resurselor în graficul inițial prezentat;</w:t>
      </w:r>
      <w:bookmarkStart w:name="bookmark11" w:id="5"/>
      <w:bookmarkEnd w:id="5"/>
      <w:r>
        <w:rPr>
          <w:rStyle w:val="Fontdeparagrafimplicit1"/>
        </w:rPr>
        <w:t xml:space="preserve"> totodată admite importanța prezentării acestor resurse pe grafic și faptul că durata activităților este în strânsă legătură cu aceste resurse, dimensionarea activităților depinzând de resursele alocate;</w:t>
      </w:r>
      <w:bookmarkStart w:name="bookmark12" w:id="6"/>
      <w:bookmarkEnd w:id="6"/>
      <w:r>
        <w:rPr>
          <w:rStyle w:val="Fontdeparagrafimplicit1"/>
        </w:rPr>
        <w:t xml:space="preserve"> ofertantul prezintă în completare un document important solicitat explicit prin documentația de atribuire, document ce stă la baza întocmirii Graficului de execuție;</w:t>
      </w:r>
      <w:bookmarkStart w:name="bookmark13" w:id="7"/>
      <w:bookmarkEnd w:id="7"/>
      <w:r>
        <w:rPr>
          <w:rStyle w:val="Fontdeparagrafimplicit1"/>
        </w:rPr>
        <w:t xml:space="preserve">  prezentarea acestui document în completare nu reprezintă un viciu de formă, ci reprezintă o omisiune care ar fi trebuit sancționată cu respingerea ofertei ca neconformă.</w:t>
      </w:r>
    </w:p>
    <w:p>
      <w:pPr>
        <w:pStyle w:val="Frspaiere1"/>
        <w:rPr/>
      </w:pPr>
      <w:r>
        <w:rPr>
          <w:rStyle w:val="Fontdeparagrafimplicit1"/>
        </w:rPr>
        <w:tab/>
        <w:t>Mai mult decât atât, a invocat aceeași critică si în ceea ce privește ofertantul declarat câștigător, instanța de judecată reținând că se impunea evaluarea ofertei raportat la documentele depuse inițial în SEAP, critici care au fost susținute de Asocierea ... de A1 solicitând în instanță admiterea criticilor pe care P1 le-a formulat împotriva Asocierii G1.</w:t>
      </w:r>
    </w:p>
    <w:p>
      <w:pPr>
        <w:pStyle w:val="Frspaiere1"/>
        <w:rPr/>
      </w:pPr>
      <w:r>
        <w:rPr>
          <w:rStyle w:val="Fontdeparagrafimplicit1"/>
        </w:rPr>
        <w:tab/>
        <w:t>De altfel, prin critici le formulate de Asocierea ... de A1 împotriva Asocierii G1 acesta a susținut că se impune respingerea ofertei ca neconformă, lipsa unor documente neputând fi complinită ulterior, prin completarea informațiilor furnizate inițial prin propunerea tehnică.</w:t>
      </w:r>
    </w:p>
    <w:p>
      <w:pPr>
        <w:pStyle w:val="Frspaiere1"/>
        <w:ind w:firstLine="709"/>
        <w:rPr/>
      </w:pPr>
      <w:r>
        <w:rPr>
          <w:rStyle w:val="Fontdeparagrafimplicit1"/>
        </w:rPr>
        <w:t>Prin neincluderea porților desenate în schița de proiect prezentată este evident că oferta Asocierea al cărei lider este SC G1 SA nu a îndeplinit cerința documentației de atribuire, oferta astfel prezentată intrând sub sancțiunea reglementată de ort. 215 alin. (5) din Legea nr. 98/2016 - „Oferta este considerată neconformă dacă nu respectă cerințele prezentate în documentele achiziției". (28) Prin neîndeplinirea cerinței documentației de atribuire așa cum aceasta a fost formulată, publicată și menținută, oferta concurentă depusă de Asocierea S.C. G1 S.A. &amp; S.C. H1 S.R.L. &amp; S.C. J1 S.R.L. nu putea fi declarată admisibilă și câștigătoare decât prin înfrângerea dispozițiilor art. 137 alin. (1) și (5) din HG nr. 395/2016 - „Comisia de evaluare are obligația de a respinge ofertele inacceptabile și neconforme. Comisia de evaluare are obligația de a stabili oferta câștigătoare dintre ofertele admisibile", încălcări legale menținute și încuviințate prin decizia pronunțată în etapa anterioară a litigiului, modificată însă prin decizia instanței de control judiciar sub aspectul că, în analiza și motivarea respectivei decizii nu s-a elucidat semnificația legală a cerinței și, implicit, a modului de îndeplinire a acesteia, decizia modificată fiind bazată pe un fundament străin cauzei constituit de raportarea la o cerință inexistentă în documentația de atribuire.</w:t>
      </w:r>
    </w:p>
    <w:p>
      <w:pPr>
        <w:pStyle w:val="Frspaiere1"/>
        <w:rPr/>
      </w:pPr>
      <w:r>
        <w:rPr>
          <w:rStyle w:val="Fontdeparagrafimplicit1"/>
        </w:rPr>
        <w:tab/>
        <w:t>Contrar realității dovedite prin chiar propunerea tehnică a asocierii câștigătoare și răspunsul la clarificări, la evaluarea răspunsului respectivului ofertant, comisia de evaluare o concluzionat lapidar astfel: „în concluzie, comisia de evaluare constată că ofertantul a răspuns concret la solicitarea de clarificări”, concluzie potrivnică conținutului întrebării de clarificare care viza chiar conținutul aflat la pag. 418 a propunerii tehnice - cu următorul conținut:</w:t>
      </w:r>
    </w:p>
    <w:p>
      <w:pPr>
        <w:pStyle w:val="Frspaiere1"/>
        <w:rPr/>
      </w:pPr>
      <w:r>
        <w:rPr>
          <w:rStyle w:val="Fontdeparagrafimplicit1"/>
        </w:rPr>
        <w:tab/>
        <w:t>Situația descrisă în cele ce precedă dovedește tratamentul preferențial acordat de autoritatea contractantă asocierii câștigătoare prin încălcarea principiilor consacrate de art. 2 alin. (2) din Legea nr. 98/2016.</w:t>
      </w:r>
    </w:p>
    <w:p>
      <w:pPr>
        <w:pStyle w:val="Frspaiere1"/>
        <w:rPr/>
      </w:pPr>
      <w:r>
        <w:rPr>
          <w:rStyle w:val="Fontdeparagrafimplicit1"/>
        </w:rPr>
        <w:tab/>
        <w:t>Tot ca şi  consecință a încălcării autorității de lucru judecat a deciziei civile nr. DC1/..., prin care autoritatea contractantă a fost obligată ia executarea de verificări cu privire la „absenta depunerii organigramei în raport de dispozițiile art. 215 alin. (4) din Legea nr. 98/2016 și art. 137 alin. (3) lit. a) din HG nr. 395/2016, din nou, autoritatea contractantă a încălcat întreaga legislație în materia achizițiilor publice și corolarul acesteia constituit de principiile consacrate de dispozițiile art. 2 alin. (2} din Legea nr. 98/2016, aspect dovedit de solicitarea de clarificări nr. 2930/02.03.2023, transmisă de către CJ ... ofertantului Asocierea G1 SA, al cărui pct. 2 prezenta conținutul: „Comisia de evaluare a constatat că ofertantul a descris resursele umane, implicate în îndeplinirea contractului, însă nu a putut regăsi organigrama echipei propuse pentru executarea Lucrărilor. Vă solicităm să clarificați acest aspect. (35) În condițiile în care, cu privire la prezentarea organigramei în cadrul propunerii tehnice, documentația de atribuire, prin pct. IV.4.1, subpct. 2 al fișei de date, a impus cerința expresă și imperativă formulată de maniera: „Ofertantul va prezenta organigrama echipei propuse pentru realizarea serviciilor de proiectare si pentru executarea lucrărilor, cu evidențierea rolurilor si responsabilităților in cadrul echipei, care sa identifice in mod clar tot personalul pe care ofertantul intenționează sa-l utilizeze atât pentru faza de proiectare si faza de execuție a lucrărilor.</w:t>
      </w:r>
    </w:p>
    <w:p>
      <w:pPr>
        <w:pStyle w:val="Frspaiere1"/>
        <w:rPr/>
      </w:pPr>
      <w:r>
        <w:rPr>
          <w:rStyle w:val="Fontdeparagrafimplicit1"/>
        </w:rPr>
        <w:tab/>
        <w:t>Din analiza organigramei Autoritatea contractanta trebuie sa constate ca resursele umane din organigrama, implicate in îndeplinirea contractului sunt suficiente si adecvate pentru proiectarea si execuția lucrărilor conform Programului de lucrări propus". în raport de regula anterior redata, completarea ofertei cu depunerea ulterioară a organigramei pe calea răspunsurilor la clarificări, era interzisă  prin dispozițiile art. 134 alin. (9) lit. e) din HG nr. 395/20116 conform cărora: „O modificare a propunerii tehnice nu poate fi considerată o abatere tehnică minoră a ofertei inițiale în următoarele situații: e) modificarea vizează o parte din ofertă pentru care documentația de atribuire a exclus în mod clar posibilitatea ca ofertanții să se abată de la cerințele exacte ale respectivei documentații, iar oferta inițială nu a fost în conformitate cu aceste cerințe".</w:t>
      </w:r>
    </w:p>
    <w:p>
      <w:pPr>
        <w:pStyle w:val="Frspaiere1"/>
        <w:rPr/>
      </w:pPr>
      <w:r>
        <w:rPr>
          <w:rStyle w:val="Fontdeparagrafimplicit1"/>
        </w:rPr>
        <w:tab/>
        <w:t>Interdicția completării propunerii tehnice a ofertei cu organigrama omisă la prezentare în oferta inițială era accentuată de regula conform căreia „Din analiza organigramei Autoritatea contractanta trebuie sa constate {...)", regulă care nu putea fi îndeplinită printr-un raționament contrar și opus, pervertit la un mod precum: „din analiza oricăror alte informațiile ale ofertei, autoritatea contractanta trebuie să constate că acestea s- ar putea constitui într-o organigramă corespunzătoare", raționament pe care însă autoritatea contractantă l-a aplicat, acceptând completarea ofertei cu organigrama omisă din oferta inițială, o astfel de ofertă fiind declarată admisibilă și câștigătoare prin încălcarea autorității de lucru judecat a Deciziei civile nr. DC1/..., dar și a tuturor și oricăror dispoziții legale în materie aplicabile.</w:t>
      </w:r>
    </w:p>
    <w:p>
      <w:pPr>
        <w:pStyle w:val="Frspaiere1"/>
        <w:rPr/>
      </w:pPr>
      <w:r>
        <w:rPr>
          <w:rStyle w:val="Fontdeparagrafimplicit1"/>
        </w:rPr>
        <w:tab/>
        <w:t>Ofertantul declarat câștigător nu a îndeplinit nici cerința impusă prin același subpct. 2 al pct. IV.4.1 din fișa de date, prin care s-a impus regula conform căreia: „Personalul ofertantului Ofertantul va descrie in propunerea tehnica momentul in care specialiștii implicați în îndeplinirea contractului, atât în faza de proiectare cat si in faza de execuție a lucrărilor, vor interveni in implementarea contractului, aspect dovedit de aceeași solicitare de clarificări nr. …0/02.03.2023, transmisă de către CI ... ofertantului Asocierea G1 SA, prin care, la pct. 3, a fost solicitată clarificare cu următorul conținut: „Comisia de evaluare nu a putut regăsi informații cu privire la momentul în care specialiștii, implicați în faza de execuție de lucrărilor, vor interveni în implementarea contractului. Vă solicităm să clarificați acest aspect”.</w:t>
      </w:r>
    </w:p>
    <w:p>
      <w:pPr>
        <w:pStyle w:val="Frspaiere1"/>
        <w:rPr/>
      </w:pPr>
      <w:r>
        <w:rPr>
          <w:rStyle w:val="Fontdeparagrafimplicit1"/>
        </w:rPr>
        <w:tab/>
        <w:t>Informațiile vizate de solicitarea de clarificări nu s-au regăsit în propunerea tehnică a ofertantului declarat câștigător, deoarece acestea făceau obiectul volumului propunerii tehnice „tehnic 201-300", volum care lipsea din propunerea tehnică, fiind omis la încărcarea în SE AP, în legătură cu care, prin Decizia civile nr. DC1/..., instanța de control judiciar a dispus astfel: „Autoritatea contractantă va verifica susținerile petentelor privind neîncărcarea în SEAP a unei părți din documentația tehnică depusă de asocierea G1 SA. în raport de dispozițiile art. 215 alin. (4) din Legea nr. 98/2016 și de cele ale art. 137 alin. (3) Ut, a) din HG nr. 395/2016”.</w:t>
      </w:r>
    </w:p>
    <w:p>
      <w:pPr>
        <w:pStyle w:val="Frspaiere1"/>
        <w:rPr/>
      </w:pPr>
      <w:r>
        <w:rPr>
          <w:rStyle w:val="Fontdeparagrafimplicit1"/>
        </w:rPr>
        <w:tab/>
        <w:t>Și sub respectivul aspect redeclararea admisibilă și câștigătoare a ofertei Asocierii G1 a fost efectuată prin încălcarea autorității de lucru judecat al Deciziei civile nr. DC1/....</w:t>
      </w:r>
    </w:p>
    <w:p>
      <w:pPr>
        <w:pStyle w:val="Frspaiere1"/>
        <w:rPr/>
      </w:pPr>
      <w:r>
        <w:rPr>
          <w:rStyle w:val="Fontdeparagrafimplicit1"/>
        </w:rPr>
        <w:tab/>
        <w:t>În raport de dispoziția deciziei civilă nr. DC1/... prin care autoritatea contractantă a fost obligată la executarea de verificări concrete si punctuale asupra ofertei depusă de către Asocierea SC G1 SA &amp; J1 SRL &amp; SC H1 SRL cu privire la graficul Gantt - „De asemenea, va verifica și celelalte critici referitoare la faptul că propunerea tehnică a fost întocmită în mod necorespunzător, întrucât (...) Graficul Gantt a fost elaborat cu nerespectarea prescripțiilor pct. IV .4,1 în fișa de date și a răspunsului consolidat la clarificările solicitate de operatorii economici", precizăm că, la reevaluarea ofertelor, și această dispoziție a fost ignorată, fiind trecute cu vederea următoarele aspecte: - faptul că majoritatea activităților au fost planificate pe durate mai mari de 30 zile; - activitățile nu au fost relaționale, în sensul că acestea nu depind unele de altele.</w:t>
      </w:r>
    </w:p>
    <w:p>
      <w:pPr>
        <w:pStyle w:val="Frspaiere1"/>
        <w:rPr/>
      </w:pPr>
      <w:r>
        <w:rPr>
          <w:rStyle w:val="Fontdeparagrafimplicit1"/>
        </w:rPr>
        <w:tab/>
        <w:t>Astfel, Consiliul nu poate reveni într-o etapă anterioară deciziei pronunțată de Curtea de Apel …, susținând contrariul celor reținute de instanța de judecată și autoritatea contractantă.</w:t>
      </w:r>
    </w:p>
    <w:p>
      <w:pPr>
        <w:pStyle w:val="Frspaiere1"/>
        <w:rPr/>
      </w:pPr>
      <w:r>
        <w:rPr>
          <w:rStyle w:val="Fontdeparagrafimplicit1"/>
        </w:rPr>
        <w:tab/>
        <w:t>Analizând textual cerințele din Fișa de date și Răspunsul la clarificări, în ambele se face trimitere la „planificarea lucrărilor", planificare care, conform cerințelor impuse de autoritatea contractantă prin Fișa de date. Cap. IV.4.1 Modul de prezentare al propunerii tehnice, pct. 5 trebuie dovedită „Ofertantul trebuie să facă dovada unei planificări realiste a activităților în perioada de derulare a contractului (de exemplu proporționalitatea între complexitatea activităților și timpul necesar pentru îndeplinirea acestora, sincronizarea activităților propuse luând în considerare timpul necesar mobilizării resurselor și utilizarea resurselor alocate pentru fiecare activitate, pentru atingerea obiectivelor contractului)".</w:t>
      </w:r>
    </w:p>
    <w:p>
      <w:pPr>
        <w:pStyle w:val="Frspaiere1"/>
        <w:rPr/>
      </w:pPr>
      <w:r>
        <w:rPr>
          <w:rStyle w:val="Fontdeparagrafimplicit1"/>
        </w:rPr>
        <w:tab/>
        <w:t>Astfel, modul în care se probează planificarea este menționat explicit în Fișa de date, adică proporționalitatea între complexitatea activităților și timpul necesar pentru îndeplinirea acestora, sincronizarea activităților propuse luând în considerare timpul necesar mobilizării resurselor și utilizarea resurselor alocate pentru fiecare activitate, pentru atingerea obiectivelor contractului.</w:t>
      </w:r>
    </w:p>
    <w:p>
      <w:pPr>
        <w:pStyle w:val="Frspaiere1"/>
        <w:rPr/>
      </w:pPr>
      <w:r>
        <w:rPr>
          <w:rStyle w:val="Fontdeparagrafimplicit1"/>
        </w:rPr>
        <w:tab/>
        <w:t>În ceea ce privește răspunsul autorității contractante pentru o analiză corectă a acestuia ar trebui analizată inclusiv întrebarea care se referă la nivelul de detaliere a activităților, nefăcându-se trimitere în solicitarea de clarificări la resurse.</w:t>
      </w:r>
    </w:p>
    <w:p>
      <w:pPr>
        <w:pStyle w:val="Frspaiere1"/>
        <w:rPr/>
      </w:pPr>
      <w:r>
        <w:rPr>
          <w:rStyle w:val="Fontdeparagrafimplicit1"/>
        </w:rPr>
        <w:tab/>
        <w:t>Mai mult, Consiliul a reținut următoarele:</w:t>
      </w:r>
    </w:p>
    <w:p>
      <w:pPr>
        <w:pStyle w:val="Frspaiere1"/>
        <w:rPr/>
      </w:pPr>
      <w:r>
        <w:rPr>
          <w:rStyle w:val="Fontdeparagrafimplicit1"/>
        </w:rPr>
        <w:tab/>
        <w:t>Chiar și în situația în care autoritatea contractantă ar fi considerat necesar ca Graficul Gantt să conțină înscrierea pe acesta a resurselor repartizate pe fiecare activitate, precizările din răspunsul la solicitările de clarificări acoperă această omisiune neputând constitui motiv de respingere al ofertei, în condițiile în care informațiile privind resursele necesare îndeplinirii contractului se regăseau în oferta inițial depusă de asocierea ... DE A1 SA - B1 SRL - F1.</w:t>
      </w:r>
    </w:p>
    <w:p>
      <w:pPr>
        <w:pStyle w:val="Frspaiere1"/>
        <w:rPr/>
      </w:pPr>
      <w:r>
        <w:rPr>
          <w:rStyle w:val="Fontdeparagrafimplicit1"/>
        </w:rPr>
        <w:tab/>
        <w:t>Or, concluzia Consiliului este cel puțin surprinzătoare, în condițiile în care nu a analizat niciuna din criticile formulate de P1.</w:t>
      </w:r>
    </w:p>
    <w:p>
      <w:pPr>
        <w:pStyle w:val="Frspaiere1"/>
        <w:rPr/>
      </w:pPr>
      <w:r>
        <w:rPr>
          <w:rStyle w:val="Fontdeparagrafimplicit1"/>
        </w:rPr>
        <w:tab/>
        <w:t>Astfel, cu privire la răspunsul furnizat de ofertant s-a solicitat a se observa că, inclusiv din această perspectivă, a evaluării întreprinse de autoritatea contractantă, clarificările transmise de Asocierea ... de A1 sunt neconcludente, mai exact datele prezentate (resursele prezentate) sunt incomplete, fapt ce conduce la ideea că Programul de Lucrări prezentat inițial nu este real si nu prezintă toate lucrările menționate în cadrul proiectului tehnic sau documentul prezentat ulterior nu este corect.</w:t>
      </w:r>
    </w:p>
    <w:p>
      <w:pPr>
        <w:pStyle w:val="Frspaiere1"/>
        <w:rPr/>
      </w:pPr>
      <w:r>
        <w:rPr>
          <w:rStyle w:val="Fontdeparagrafimplicit1"/>
        </w:rPr>
        <w:tab/>
        <w:t>Au precizat exemple:</w:t>
      </w:r>
    </w:p>
    <w:p>
      <w:pPr>
        <w:pStyle w:val="Frspaiere1"/>
        <w:rPr/>
      </w:pPr>
      <w:r>
        <w:rPr>
          <w:rStyle w:val="Fontdeparagrafimplicit1"/>
        </w:rPr>
        <w:tab/>
        <w:t>1. Obiectul Rigole carosabile - activitatea Montare dale prefabricate pentru rigole - durata 18 zile (25.04.2024-20.05.2024)</w:t>
      </w:r>
    </w:p>
    <w:p>
      <w:pPr>
        <w:pStyle w:val="Frspaiere1"/>
        <w:rPr/>
      </w:pPr>
      <w:r>
        <w:rPr>
          <w:rStyle w:val="Fontdeparagrafimplicit1"/>
        </w:rPr>
        <w:tab/>
        <w:t>1. Lipsesc din cadrul resurselor elementele prefabricate, în speță plăcuțe carosabile prefabricate (capacele care se montează în partea superioară).</w:t>
      </w:r>
    </w:p>
    <w:p>
      <w:pPr>
        <w:pStyle w:val="Frspaiere1"/>
        <w:rPr/>
      </w:pPr>
      <w:r>
        <w:rPr>
          <w:rStyle w:val="Fontdeparagrafimplicit1"/>
        </w:rPr>
        <w:tab/>
        <w:t>2. Așternere strat de legătură BAD22.40-durată activitate 21 zile (15.07.2024-12.08.2024).</w:t>
      </w:r>
    </w:p>
    <w:p>
      <w:pPr>
        <w:pStyle w:val="Frspaiere1"/>
        <w:rPr/>
      </w:pPr>
      <w:r>
        <w:rPr>
          <w:rStyle w:val="Fontdeparagrafimplicit1"/>
        </w:rPr>
        <w:tab/>
        <w:t>Lipsește activitatea de emulsie prin lipsa materialului emulsie și autogrudonatorului ca utilaj.</w:t>
      </w:r>
    </w:p>
    <w:p>
      <w:pPr>
        <w:pStyle w:val="Frspaiere1"/>
        <w:rPr/>
      </w:pPr>
      <w:r>
        <w:rPr>
          <w:rStyle w:val="Fontdeparagrafimplicit1"/>
        </w:rPr>
        <w:tab/>
        <w:t>Activitatea de amorsare nu se găsește ca activitate independentă pe Grafic (se poate observa că între liniile 28-108 din Grafic aceasta nu există, deși așternerea mixturilor nu se poate face înainte de amorsarea stratului suport.</w:t>
      </w:r>
    </w:p>
    <w:p>
      <w:pPr>
        <w:pStyle w:val="Frspaiere1"/>
        <w:rPr/>
      </w:pPr>
      <w:r>
        <w:rPr>
          <w:rStyle w:val="Fontdeparagrafimplicit1"/>
        </w:rPr>
        <w:tab/>
        <w:t>În schimb, operațiunea de amorsare este prevăzută la obiectul drumuri laterale (linia 128,132), respectiv obiectul Stații de Autobuz (pag. 161,165).</w:t>
      </w:r>
    </w:p>
    <w:p>
      <w:pPr>
        <w:pStyle w:val="Frspaiere1"/>
        <w:rPr/>
      </w:pPr>
      <w:r>
        <w:rPr>
          <w:rStyle w:val="Fontdeparagrafimplicit1"/>
        </w:rPr>
        <w:t xml:space="preserve">  </w:t>
      </w:r>
      <w:r>
        <w:rPr>
          <w:rStyle w:val="Fontdeparagrafimplicit1"/>
        </w:rPr>
        <w:tab/>
        <w:t>Având în vedere aceste aspecte se poate constata că la partea de structură rutieră a drumului (parte carosabilă) lipsește activitatea de amorsare.</w:t>
      </w:r>
    </w:p>
    <w:p>
      <w:pPr>
        <w:pStyle w:val="Frspaiere1"/>
        <w:rPr>
          <w:lang w:val="da-DK"/>
        </w:rPr>
      </w:pPr>
      <w:r>
        <w:rPr>
          <w:rStyle w:val="Fontdeparagrafimplicit1"/>
        </w:rPr>
        <w:tab/>
      </w:r>
      <w:r>
        <w:rPr>
          <w:rStyle w:val="Fontdeparagrafimplicit1"/>
          <w:lang w:val="da-DK"/>
        </w:rPr>
        <w:t xml:space="preserve">3. Așternere strat de uzură BA16-29 zile(13.08.2024-20.19.2024) </w:t>
      </w:r>
    </w:p>
    <w:p>
      <w:pPr>
        <w:pStyle w:val="Frspaiere1"/>
        <w:rPr>
          <w:lang w:val="da-DK"/>
        </w:rPr>
      </w:pPr>
      <w:r>
        <w:rPr>
          <w:rStyle w:val="Fontdeparagrafimplicit1"/>
          <w:lang w:val="da-DK"/>
        </w:rPr>
        <w:tab/>
        <w:t>4. Așternere strat de legătură BAD22.40-24 zile (10,06.2024-11.07.2024)</w:t>
      </w:r>
    </w:p>
    <w:p>
      <w:pPr>
        <w:pStyle w:val="Frspaiere1"/>
        <w:rPr/>
      </w:pPr>
      <w:r>
        <w:rPr>
          <w:rStyle w:val="Fontdeparagrafimplicit1"/>
          <w:lang w:val="da-DK"/>
        </w:rPr>
        <w:tab/>
      </w:r>
      <w:r>
        <w:rPr>
          <w:rStyle w:val="Fontdeparagrafimplicit1"/>
        </w:rPr>
        <w:t>Lipsește activitatea de emulsionare prin lipsa materialului emulsie și autogud ramatorului ca utilaj.</w:t>
      </w:r>
    </w:p>
    <w:p>
      <w:pPr>
        <w:pStyle w:val="Frspaiere1"/>
        <w:rPr/>
      </w:pPr>
      <w:r>
        <w:rPr>
          <w:rStyle w:val="Fontdeparagrafimplicit1"/>
          <w:color w:val="000000"/>
        </w:rPr>
        <w:tab/>
        <w:t xml:space="preserve">5. </w:t>
      </w:r>
      <w:r>
        <w:rPr>
          <w:rStyle w:val="Fontdeparagrafimplicit1"/>
        </w:rPr>
        <w:t>Obiect trotuare - activitatea linia 150 Strat de uzură BA8</w:t>
      </w:r>
    </w:p>
    <w:p>
      <w:pPr>
        <w:pStyle w:val="Frspaiere1"/>
        <w:rPr>
          <w:color w:val="000000"/>
        </w:rPr>
      </w:pPr>
      <w:r>
        <w:rPr>
          <w:rStyle w:val="Fontdeparagrafimplicit1"/>
          <w:color w:val="000000"/>
        </w:rPr>
        <w:tab/>
        <w:t>Lipsește activitatea de emulsionare prin lipsa materialului emulsie și autogudronatorului ca utilaj.</w:t>
      </w:r>
    </w:p>
    <w:p>
      <w:pPr>
        <w:pStyle w:val="Frspaiere1"/>
        <w:rPr/>
      </w:pPr>
      <w:r>
        <w:rPr>
          <w:rStyle w:val="Fontdeparagrafimplicit1"/>
        </w:rPr>
        <w:tab/>
        <w:t xml:space="preserve">6. Obiect Siguranța Circulației - Marcaj longitudinal 5 zile (08.11.2024 - 14.11,2024) </w:t>
        <w:tab/>
        <w:t>Lipsesc din capitolul resurse vopsea de marcaj și diluantul aferent</w:t>
      </w:r>
    </w:p>
    <w:p>
      <w:pPr>
        <w:pStyle w:val="Frspaiere1"/>
        <w:rPr>
          <w:color w:val="000000"/>
        </w:rPr>
      </w:pPr>
      <w:r>
        <w:rPr>
          <w:rStyle w:val="Fontdeparagrafimplicit1"/>
        </w:rPr>
        <w:tab/>
      </w:r>
      <w:r>
        <w:rPr>
          <w:rStyle w:val="Fontdeparagrafimplicit1"/>
          <w:color w:val="000000"/>
        </w:rPr>
        <w:t>Similar, pentru activitatea Marcaj transversal - 3 zile (08.11.2024*12.11.2024), respectiv Marcaj Stații de autobuz - 2 zile (08.11.2024 -11.11.2024). Pentru aceste activități, singurul material prevăzut sunt microbilele.</w:t>
      </w:r>
    </w:p>
    <w:p>
      <w:pPr>
        <w:pStyle w:val="Frspaiere1"/>
        <w:rPr/>
      </w:pPr>
      <w:r>
        <w:rPr>
          <w:rStyle w:val="Fontdeparagrafimplicit1"/>
        </w:rPr>
        <w:tab/>
        <w:t>În concluzie, susţine că graficul depus inițial în cadrul ofertei nu conține toate activitățile necesare pentru execuția contractului (de exemplu: lipsește activitatea de amorsare a straturilor rutiere de la partea carosabilă drum, respectiv trotuar, fapt certificat de lipsa resurselor pentru amorsare din raportul de încărcare resurse);</w:t>
      </w:r>
    </w:p>
    <w:p>
      <w:pPr>
        <w:pStyle w:val="Frspaiere1"/>
        <w:rPr/>
      </w:pPr>
      <w:r>
        <w:rPr>
          <w:rStyle w:val="Fontdeparagrafimplicit1"/>
        </w:rPr>
        <w:tab/>
        <w:t>Documentele prezentate în răspunsul la solicitarea de clarificări conțin informații incomplete privind resursele utilizate, certificând ipoteza ca dimensionarea activităților nu s-a realizat corect, neluându-se în calcul toate resursele necesare pentru realizarea acestor activități în conformitate cu standardele de calitate prevăzute de normativele în vigoare.</w:t>
      </w:r>
    </w:p>
    <w:p>
      <w:pPr>
        <w:pStyle w:val="Frspaiere1"/>
        <w:rPr/>
      </w:pPr>
      <w:r>
        <w:rPr>
          <w:rStyle w:val="Fontdeparagrafimplicit1"/>
        </w:rPr>
        <w:tab/>
        <w:t>Prin urmare, arată că deși nelegal autoritatea contractantă a solicitat clarificări și a permis completarea ofertei de către Asocierea ... de A1, acestea au fost oricum formale, în condițiile în care răspunsul transmis de ofertant a fost considerat concludent, fără ca autoritatea să întreprindă o minimă analiză a informațiilor furnizate de ofertant, situație preluată inclusiv de CNSC care nu a analizat neconformitățile  sesizate de P1.</w:t>
      </w:r>
    </w:p>
    <w:p>
      <w:pPr>
        <w:pStyle w:val="Frspaiere1"/>
        <w:rPr/>
      </w:pPr>
      <w:r>
        <w:rPr>
          <w:rStyle w:val="Fontdeparagrafimplicit1"/>
        </w:rPr>
        <w:tab/>
        <w:t>Astfel, din cadrul Programului de lucrări lipsesc resursele pentru o serie de activități care, contrar susținerilor Consiliul nu sunt menționate nici în cadrul ofertei inițiale.</w:t>
      </w:r>
    </w:p>
    <w:p>
      <w:pPr>
        <w:pStyle w:val="Frspaiere1"/>
        <w:rPr/>
      </w:pPr>
      <w:r>
        <w:rPr>
          <w:rStyle w:val="Fontdeparagrafimplicit1"/>
        </w:rPr>
        <w:tab/>
        <w:t>Niciuna din criticile menționate anterior, cu privire la răspunsul transmis de ofertantul Asocierea ...ui de A1 nu a fost analizată de Consiliu.</w:t>
      </w:r>
    </w:p>
    <w:p>
      <w:pPr>
        <w:pStyle w:val="Frspaiere1"/>
        <w:rPr/>
      </w:pPr>
      <w:r>
        <w:rPr>
          <w:rStyle w:val="Fontdeparagrafimplicit1"/>
        </w:rPr>
        <w:tab/>
        <w:t>S-a solicitat a se observa că solicitarea de clarificări nr. …6/17.11.2023, adresată Asocierii ...ui de A1 nu a fost contestată.</w:t>
      </w:r>
    </w:p>
    <w:p>
      <w:pPr>
        <w:pStyle w:val="Frspaiere1"/>
        <w:rPr/>
      </w:pPr>
      <w:r>
        <w:rPr>
          <w:rStyle w:val="Fontdeparagrafimplicit1"/>
        </w:rPr>
        <w:tab/>
        <w:t>Prin urmare, solicitarea de clarificări a devenit obligatorie, ofertantul având obligația de a clarifica modul de îndeplinire a cerinței din Fișa de date privind alocarea resurselor.</w:t>
      </w:r>
    </w:p>
    <w:p>
      <w:pPr>
        <w:pStyle w:val="Frspaiere1"/>
        <w:rPr/>
      </w:pPr>
      <w:r>
        <w:rPr>
          <w:rStyle w:val="Fontdeparagrafimplicit1"/>
        </w:rPr>
        <w:tab/>
        <w:t>S-a apreciat că redepunerea Graficului Gantt cu prezentarea resurselor alocate nu reprezintă un viciu de formă așa cum a susținut chiar ofertantul în formularea criticilor sale împotriva Asocierii G1.</w:t>
      </w:r>
    </w:p>
    <w:p>
      <w:pPr>
        <w:pStyle w:val="Frspaiere1"/>
        <w:rPr/>
      </w:pPr>
      <w:r>
        <w:rPr>
          <w:rStyle w:val="Fontdeparagrafimplicit1"/>
          <w:color w:val="000000"/>
        </w:rPr>
        <w:tab/>
        <w:t>Astfel, s-a considerat că, singura măsură legală care putea fi dispusă, inclusiv din perspectiva autorității de lucru judecat a Deciziei nr. DC1/..., era respingerea ofertei Asocierii ... de A1 ca inacceptabilă/neconformă în temeiul prevederilor art. 215 alin. 4 din Legea nr. 98/2016 coroborate cu dispozițiile</w:t>
      </w:r>
    </w:p>
    <w:p>
      <w:pPr>
        <w:pStyle w:val="Frspaiere1"/>
        <w:rPr/>
      </w:pPr>
      <w:r>
        <w:rPr>
          <w:rStyle w:val="Fontdeparagrafimplicit1"/>
        </w:rPr>
        <w:tab/>
        <w:t>Cu privire la motivul de neconformitate potrivit căruia oferta tehnică depusă de Asocierea ... de A1 Oferta conține în cadrul propunerii financiare preturi care nu sunt rezultatul liberei concurente si care nu pot fi justificate.</w:t>
      </w:r>
    </w:p>
    <w:p>
      <w:pPr>
        <w:pStyle w:val="Frspaiere1"/>
        <w:rPr/>
      </w:pPr>
      <w:r>
        <w:rPr>
          <w:rStyle w:val="Fontdeparagrafimplicit1"/>
        </w:rPr>
        <w:tab/>
        <w:t>Așa cum a arătat anterior, Decizia Consiliului este nelegală și din perspectiva analizării criticilor de neconformitatea formulate de P1 privind prețurile din oferta Asocierii ... de A1 care nu sunt rezultatul liberei concurente si care nu pot fi justificate.</w:t>
      </w:r>
    </w:p>
    <w:p>
      <w:pPr>
        <w:pStyle w:val="Frspaiere1"/>
        <w:rPr/>
      </w:pPr>
      <w:r>
        <w:rPr>
          <w:rStyle w:val="Fontdeparagrafimplicit1"/>
        </w:rPr>
        <w:tab/>
        <w:t>Astfel, Consiliul s-a limitat a susține faptul că propunerea financiară a Asocierii are o valoare peste procentul de 80% din valoarea estimată și, mai mult, pretinde Consiliul că susținerile noastre ar fi speculative în condițiile în care "invocarea unor elemente de preț diferite de cele ale propriei oferte neputând proba existența unor prețuri care nu sunt rezultatul liberei concurențe și care nu pot fi justificate”.</w:t>
      </w:r>
    </w:p>
    <w:p>
      <w:pPr>
        <w:pStyle w:val="Frspaiere1"/>
        <w:rPr/>
      </w:pPr>
      <w:r>
        <w:rPr>
          <w:rStyle w:val="Fontdeparagrafimplicit1"/>
        </w:rPr>
        <w:tab/>
        <w:t>CNSC nu a luat în considerare Decizia definitivă pronunțată de Curtea de Apel …,</w:t>
      </w:r>
    </w:p>
    <w:p>
      <w:pPr>
        <w:pStyle w:val="Frspaiere1"/>
        <w:rPr/>
      </w:pPr>
      <w:r>
        <w:rPr>
          <w:rStyle w:val="Fontdeparagrafimplicit1"/>
        </w:rPr>
        <w:tab/>
        <w:t>Prin urmare, în condițiile în care instanța de judecată a obligat autoritatea contractantă la reevaluarea ofertei Asocierii ... de A1 din perspectiva criticilor de neconformitate invocate de P1, este inadmisibil și caracterul definitiv  și executoriu al unei decizii, să se suțină de către Consiliu faptul ca în mod corect autoritatea contractantă nu a evaluat oferta Asocierii din perspectiva criticilor în condițiile în care pretinde Consiliul susținerile P1 ar fi speculative si subiectivei</w:t>
      </w:r>
    </w:p>
    <w:p>
      <w:pPr>
        <w:pStyle w:val="Frspaiere1"/>
        <w:rPr/>
      </w:pPr>
      <w:r>
        <w:rPr>
          <w:rStyle w:val="Fontdeparagrafimplicit1"/>
        </w:rPr>
        <w:tab/>
        <w:t>Invocă  îndrumarea ANAP privind evaluarea propunerilor financiare din punct de vedere al elementelor de preț (cazul contractelor de lucrări): „Directiva 2014/24/UE și legislația națională conțin dispoziții generale privind modul de tratare a ofertelor care sunt considerate a fi anormal de scăzute și linii directoare privind justificările care pot fi aduse pentru a justifica mod corespunzător nivelul scăzut al prețului sau al costurilor propuse. Astfel, art. 136 alin. (4) din H.G. 395/2016, respectiv art. 142 alin. (4) din H.G. 394/2016 prevăd că: "o ofertă prezintă un preț aparent neobișnuit de scăzut în raport cu ceea ce urmează a fi furnizat, executat sau prestat atunci când prețul ofertat, fără TVA, reprezintă mai puțin de 80% din valoarea estimată a contractului respectiv". De asemenea, în conformitate cu prevederile art. 136 alin (1) din H.G. 395/2016, respectiv art. 142 afin (1) din H.G. 394/2016, CHIAR Șl ÎN SITUAȚIA ÎN CARE PREȚUL UNEI OFERTE NU REPREZINTĂ MAI PUȚIN DE 80% DIN VALOAREA ESTIMATĂ A CONTRACTULUI RESPECTIV, ÎN CAZUL ÎN CARE COMISIA DE EVALUARE CONSTATĂ CĂ ELEMENTE DE PREȚ ALE RESPECTIVEI OFERTE SUNT APARENT NEOBIȘNUIT DE SCĂZUTE, PRIN RAPORTARE LA PREȚURILE PIEȚEI, comisia de evaluare va solicita ofertantului care a depus oferta în cauză explicații cu privire la posibilitate îndeplinirii contractului în condițiile de calitate impuse prin documentația de atribuire.</w:t>
      </w:r>
    </w:p>
    <w:p>
      <w:pPr>
        <w:pStyle w:val="Frspaiere1"/>
        <w:rPr/>
      </w:pPr>
      <w:r>
        <w:rPr>
          <w:rStyle w:val="Fontdeparagrafimplicit1"/>
        </w:rPr>
        <w:tab/>
        <w:t>Aceste dispoziții permit autorităților/entităților contractante să evite consecințele negative ale acceptării unei oferte care pare extrem de avantajoasă, dar, în practică, nu este viabilă”. Arată că potrivit art. 137 alin. 3 din HG nr. 395/2016: ”În condițiile art. 215 alin. (5) din Lege, oferta este considerată neconformă în următoarele situații: c) conține în cadrul propunerii financiare preturi care nu sunt rezultatul liberei concurente si care nu pot fi justificate”, iar potrivit art. 210 din Legea nr. 98/2016: (1) în cazul unei propuneri financiare aparent neobișnuit de scăzută în raport cu lucrările, produsele sau serviciile care constituie obiectul contractului de achiziție publică/acordului-cadru care urmează a fi atribuit/încheiat, autoritatea contractantă are obligația de a solicita ofertantului care a depus o astfel de ofertă clarificări cu privire la prețul sau costurile propuse în respectiva ofertă.</w:t>
      </w:r>
    </w:p>
    <w:p>
      <w:pPr>
        <w:pStyle w:val="Frspaiere1"/>
        <w:rPr/>
      </w:pPr>
      <w:r>
        <w:rPr>
          <w:rStyle w:val="Fontdeparagrafimplicit1"/>
        </w:rPr>
        <w:tab/>
        <w:t>Criticile de neconformitate invocate de P1, au vizat următoarele categorii de costuri:</w:t>
      </w:r>
    </w:p>
    <w:p>
      <w:pPr>
        <w:pStyle w:val="Frspaiere1"/>
        <w:rPr/>
      </w:pPr>
      <w:r>
        <w:rPr>
          <w:rStyle w:val="Fontdeparagrafimplicit1"/>
        </w:rPr>
        <w:tab/>
        <w:t>Costurile pentru categoriile de activități Stații de autobuz. Șanțuri de pământ și Șanțuri ranforsate nu sunt rezultatul liberei concurente si nu pot fi justificate raportat la prețurile pieței.</w:t>
      </w:r>
    </w:p>
    <w:p>
      <w:pPr>
        <w:pStyle w:val="Frspaiere1"/>
        <w:rPr/>
      </w:pPr>
      <w:r>
        <w:rPr>
          <w:rStyle w:val="Fontdeparagrafimplicit1"/>
        </w:rPr>
        <w:tab/>
        <w:t>Astfel, în ceea ce privește poziția 9 - Stații autobuz, trebuie subliniat faptul că, pe lângă amenajarea platformelor stațiilor, trebuiau procurate și adăposturile pentru călători în număr de 9 buc. x 19.800 lei/buc aproximativ 178.200 lei.</w:t>
      </w:r>
    </w:p>
    <w:p>
      <w:pPr>
        <w:pStyle w:val="Frspaiere1"/>
        <w:rPr/>
      </w:pPr>
      <w:r>
        <w:rPr>
          <w:rStyle w:val="Fontdeparagrafimplicit1"/>
        </w:rPr>
        <w:tab/>
        <w:t>Prin documentația de atribuire s-a solicitat realizarea a 9 stații de autobuz cu o suprafață pentru stație de 80 m2 per bucată, rezultând o suprafață de 720 m2 structura rutieră conform descrierii, respectiv 54 m2 platforma de beton pentru amplasare refugiu.</w:t>
      </w:r>
    </w:p>
    <w:p>
      <w:pPr>
        <w:pStyle w:val="Frspaiere1"/>
        <w:rPr/>
      </w:pPr>
      <w:r>
        <w:rPr>
          <w:rStyle w:val="Fontdeparagrafimplicit1"/>
        </w:rPr>
        <w:tab/>
        <w:t>Astfel, având în vedere că în bugetul propus se regăsește și procurarea a 9 stații de autobuz (cu un preț de 19.800 lei/buc, adică 178.200 lei), ar rezulta un rest de 7.713 lei pentru realizarea unei suprafețe de 720 m2 structură rutieră, adică 10.71 lei/m2.</w:t>
      </w:r>
    </w:p>
    <w:p>
      <w:pPr>
        <w:pStyle w:val="Frspaiere1"/>
        <w:rPr/>
      </w:pPr>
      <w:r>
        <w:rPr>
          <w:rStyle w:val="Fontdeparagrafimplicit1"/>
        </w:rPr>
        <w:tab/>
      </w:r>
      <w:r>
        <w:rPr>
          <w:rStyle w:val="Fontdeparagrafimplicit1"/>
          <w:color w:val="000000"/>
        </w:rPr>
        <w:t xml:space="preserve">Prin </w:t>
      </w:r>
      <w:r>
        <w:rPr>
          <w:rStyle w:val="Fontdeparagrafimplicit1"/>
        </w:rPr>
        <w:t>urmare, dintr-un simplu calcul matematic rezultă că Asocierea ... de A1 nu a luat în  considerare toate costurile pentru realizarea acestui obiect, conform documentației cerințelor de atribuire:</w:t>
      </w:r>
    </w:p>
    <w:p>
      <w:pPr>
        <w:pStyle w:val="Frspaiere1"/>
        <w:rPr/>
      </w:pPr>
      <w:r>
        <w:rPr>
          <w:rStyle w:val="Fontdeparagrafimplicit1"/>
        </w:rPr>
        <w:tab/>
        <w:t>Pentru poziția 13 - Șanțuri de pământ, prin documentația de atribuire s-a solicitat realizarea unei lungimi de 10.146 ml șanț de pământ.</w:t>
      </w:r>
    </w:p>
    <w:p>
      <w:pPr>
        <w:pStyle w:val="Frspaiere1"/>
        <w:rPr/>
      </w:pPr>
      <w:r>
        <w:rPr>
          <w:rStyle w:val="Fontdeparagrafimplicit1"/>
        </w:rPr>
        <w:tab/>
        <w:t>Astfel, raportat la bugetul propus de Asocierea ...ui de A1, pentru această lungime rezultă un preț de realizare per ml de 6.85 lei/ml (69.518,40 lei: 10.146 ml = 6.85 lei/ml).</w:t>
      </w:r>
    </w:p>
    <w:p>
      <w:pPr>
        <w:pStyle w:val="Frspaiere1"/>
        <w:rPr>
          <w:lang w:val="da-DK"/>
        </w:rPr>
      </w:pPr>
      <w:r>
        <w:rPr>
          <w:rStyle w:val="Fontdeparagrafimplicit1"/>
        </w:rPr>
        <w:tab/>
      </w:r>
      <w:r>
        <w:rPr>
          <w:rStyle w:val="Fontdeparagrafimplicit1"/>
          <w:lang w:val="da-DK"/>
        </w:rPr>
        <w:t>Conform unei oferte primită din zonă, prețul minim este de 9 lei/ml.</w:t>
      </w:r>
    </w:p>
    <w:p>
      <w:pPr>
        <w:pStyle w:val="Frspaiere1"/>
        <w:rPr>
          <w:lang w:val="da-DK"/>
        </w:rPr>
      </w:pPr>
      <w:r>
        <w:rPr>
          <w:rStyle w:val="Fontdeparagrafimplicit1"/>
          <w:lang w:val="da-DK"/>
        </w:rPr>
        <w:tab/>
        <w:t>Pentru poziția 17 - Șanțuri ranforșate, în cadrul răspunsului la solicitările de clarificări cantitatea propusă de autoritatea contractantă, pentru aceste tipuri de lucrări, a fost de 278 ml.</w:t>
      </w:r>
    </w:p>
    <w:p>
      <w:pPr>
        <w:pStyle w:val="Frspaiere1"/>
        <w:rPr>
          <w:lang w:val="da-DK"/>
        </w:rPr>
      </w:pPr>
      <w:r>
        <w:rPr>
          <w:rStyle w:val="Fontdeparagrafimplicit1"/>
          <w:lang w:val="da-DK"/>
        </w:rPr>
        <w:tab/>
        <w:t>Prin raportare la bugetul propus de ... de A1, rezultă un preț unitar de (293.292,16 lei: 278 ml = 1055,00 lei/ml).</w:t>
      </w:r>
    </w:p>
    <w:p>
      <w:pPr>
        <w:pStyle w:val="Frspaiere1"/>
        <w:rPr>
          <w:lang w:val="da-DK"/>
        </w:rPr>
      </w:pPr>
      <w:r>
        <w:rPr>
          <w:rStyle w:val="Fontdeparagrafimplicit1"/>
          <w:lang w:val="da-DK"/>
        </w:rPr>
        <w:tab/>
        <w:t>Trebuie avut în vedere că, în conformitate cu oferta de preț primită de la un furnizor din zonă, procurarea materialului costă 881 lei per ml, rezultând un preț de 174 lei per ml pentru montarea și realizarea lucrărilor adiacente (realizare săpătură la cotă, așternere material drenant, realizare cuneta dren, realizare umplutură dren, realizare dop de argilă).</w:t>
        <w:tab/>
      </w:r>
    </w:p>
    <w:p>
      <w:pPr>
        <w:pStyle w:val="Frspaiere1"/>
        <w:rPr>
          <w:lang w:val="da-DK"/>
        </w:rPr>
      </w:pPr>
      <w:r>
        <w:rPr>
          <w:rStyle w:val="Fontdeparagrafimplicit1"/>
          <w:lang w:val="da-DK"/>
        </w:rPr>
        <w:tab/>
        <w:t>Astfel, având în vedere aceste aspecte precum și faptul că pentru montarea unui prefabricat cu dimensiunea și greutatea sa este necesară folosirea unei macarale sau excavator cu un rit de montare de maxim 1 buc/h cu un tarif orar de 150 lei/h, rezultă că diferența de preț poate acoperi doar montajul prefabricatului.</w:t>
      </w:r>
    </w:p>
    <w:p>
      <w:pPr>
        <w:pStyle w:val="Frspaiere1"/>
        <w:rPr>
          <w:lang w:val="da-DK"/>
        </w:rPr>
      </w:pPr>
      <w:r>
        <w:rPr>
          <w:rStyle w:val="Fontdeparagrafimplicit1"/>
          <w:lang w:val="da-DK"/>
        </w:rPr>
        <w:tab/>
        <w:t>Extras oferta de preț - Rigolă ranforsată:</w:t>
      </w:r>
    </w:p>
    <w:p>
      <w:pPr>
        <w:pStyle w:val="Frspaiere1"/>
        <w:rPr>
          <w:lang w:val="da-DK"/>
        </w:rPr>
      </w:pPr>
      <w:r>
        <w:rPr>
          <w:rStyle w:val="Fontdeparagrafimplicit1"/>
          <w:lang w:val="da-DK"/>
        </w:rPr>
        <w:tab/>
        <w:t>2. Costurile pentru activitățile aferente construcției podurilor NU sunt rezultatul liberei concurente și NU pot fi justificate raportat la prețurile pieței</w:t>
      </w:r>
    </w:p>
    <w:p>
      <w:pPr>
        <w:pStyle w:val="Frspaiere1"/>
        <w:rPr/>
      </w:pPr>
      <w:r>
        <w:rPr>
          <w:rStyle w:val="Fontdeparagrafimplicit1"/>
          <w:lang w:val="da-DK"/>
        </w:rPr>
        <w:tab/>
      </w:r>
      <w:r>
        <w:rPr>
          <w:rStyle w:val="Fontdeparagrafimplicit1"/>
        </w:rPr>
        <w:t>Pod peste râul …</w:t>
      </w:r>
    </w:p>
    <w:p>
      <w:pPr>
        <w:pStyle w:val="Frspaiere1"/>
        <w:rPr/>
      </w:pPr>
      <w:r>
        <w:rPr>
          <w:rStyle w:val="Fontdeparagrafimplicit1"/>
        </w:rPr>
        <w:tab/>
        <w:t>Expertul tehnic recomandă soluția 2 - demolare pod existent ți construire pod nou, pe grinzi din beton precomprimat, în același amplasament</w:t>
      </w:r>
    </w:p>
    <w:p>
      <w:pPr>
        <w:pStyle w:val="Frspaiere1"/>
        <w:rPr/>
      </w:pPr>
      <w:r>
        <w:rPr>
          <w:rStyle w:val="Fontdeparagrafimplicit1"/>
        </w:rPr>
        <w:tab/>
        <w:t>Se consideră că lucrările propuse vor asigura cerințe de rezistență și stabilitate, prelungirea duratei de viață precum și îmbunătățirea siguranței, confortului și funcționalității în exploatarea podului</w:t>
      </w:r>
    </w:p>
    <w:p>
      <w:pPr>
        <w:pStyle w:val="Frspaiere1"/>
        <w:rPr/>
      </w:pPr>
      <w:r>
        <w:rPr>
          <w:rStyle w:val="Fontdeparagrafimplicit1"/>
        </w:rPr>
        <w:tab/>
        <w:t>Pod Peste răul ….</w:t>
      </w:r>
    </w:p>
    <w:p>
      <w:pPr>
        <w:pStyle w:val="Frspaiere1"/>
        <w:rPr/>
      </w:pPr>
      <w:r>
        <w:rPr>
          <w:rStyle w:val="Fontdeparagrafimplicit1"/>
        </w:rPr>
        <w:tab/>
        <w:t>Expertul tehnic recomandă soluția cu pod nou, care va avea beneficii asupra siguranței construcției.</w:t>
      </w:r>
    </w:p>
    <w:p>
      <w:pPr>
        <w:pStyle w:val="Frspaiere1"/>
        <w:rPr/>
      </w:pPr>
      <w:r>
        <w:rPr>
          <w:rStyle w:val="Fontdeparagrafimplicit1"/>
        </w:rPr>
        <w:tab/>
        <w:t>Se consideră că lucrările propuse vor asigura cerințe de rezistență și stabilitate, prelungirea duratei de viată precum șt îmbunătățirea siguranței, confortului și funcționalității în exploatarea podului.</w:t>
      </w:r>
    </w:p>
    <w:p>
      <w:pPr>
        <w:pStyle w:val="Frspaiere1"/>
        <w:rPr/>
      </w:pPr>
      <w:r>
        <w:rPr>
          <w:rStyle w:val="Fontdeparagrafimplicit1"/>
        </w:rPr>
        <w:tab/>
        <w:t>Astfel, în considerarea cerințelor documentației de atribuire, având în vedere că cele două soluții pentru poduri presupuneau realizarea a 2 poduri noi, cu demolarea celor existente, realizarea unei variante ocolitoare, respectiv amenajarea albiilor celor 2 poduri în amonte ți aval, considerăm că prețul ofertat de Asocierea ... de A1 este nejustificat de scăzut.</w:t>
      </w:r>
    </w:p>
    <w:p>
      <w:pPr>
        <w:pStyle w:val="Frspaiere1"/>
        <w:rPr/>
      </w:pPr>
      <w:r>
        <w:rPr>
          <w:rStyle w:val="Fontdeparagrafimplicit1"/>
        </w:rPr>
        <w:tab/>
        <w:t>Prin urmare, rezultă cu evidență (i) neconformitatea ofertei Asocierii ... de A1, (ii) lipsa de rigoare din partea autorității în procesul de evaluare precum și (iii) modul nelegal în care s-a dispus declararea ofertei ca fiind admisibilă.</w:t>
      </w:r>
    </w:p>
    <w:p>
      <w:pPr>
        <w:pStyle w:val="Frspaiere1"/>
        <w:rPr/>
      </w:pPr>
      <w:r>
        <w:rPr>
          <w:rStyle w:val="Fontdeparagrafimplicit1"/>
        </w:rPr>
        <w:tab/>
        <w:t>Or, în considerarea tuturor acestor argumente, CNSC a pronunțat o decizie nelegală care încalcă autoritatea de lucru judecat a Deciziei nr DC1/... si care este lipsită de o evaluare proprie a criticilor formulate de P1 privind răspunsul formulat de Asocierea ... de A1 la solicitarea de clarificări transmisă de autoritatea contractantă.</w:t>
      </w:r>
    </w:p>
    <w:p>
      <w:pPr>
        <w:pStyle w:val="Frspaiere1"/>
        <w:rPr/>
      </w:pPr>
      <w:r>
        <w:rPr>
          <w:rStyle w:val="Fontdeparagrafimplicit1"/>
        </w:rPr>
        <w:tab/>
        <w:t xml:space="preserve">Consiliul avea obligația de a analiza toate criticiie de neconformitate privind oferta Asocierii G1 S.A. </w:t>
      </w:r>
    </w:p>
    <w:p>
      <w:pPr>
        <w:pStyle w:val="Frspaiere1"/>
        <w:rPr/>
      </w:pPr>
      <w:r>
        <w:rPr>
          <w:rStyle w:val="Fontdeparagrafimplicit1"/>
        </w:rPr>
        <w:tab/>
        <w:t>Prin Decizia pronunțată, Consiliul a reținut următoarele:</w:t>
      </w:r>
    </w:p>
    <w:p>
      <w:pPr>
        <w:pStyle w:val="Frspaiere1"/>
        <w:rPr/>
      </w:pPr>
      <w:r>
        <w:rPr>
          <w:rStyle w:val="Fontdeparagrafimplicit1"/>
        </w:rPr>
        <w:tab/>
        <w:t>„Prin urmare, Consiliul reține că autoritatea contractantă avea obligația de a verifica, în primul rând, încărcarea sau nu în SEAP a unei părți importante din propunerea tehnică de către asocierea desemnată câștigătoare.</w:t>
      </w:r>
    </w:p>
    <w:p>
      <w:pPr>
        <w:pStyle w:val="Frspaiere1"/>
        <w:rPr/>
      </w:pPr>
      <w:r>
        <w:rPr>
          <w:rStyle w:val="Fontdeparagrafimplicit1"/>
        </w:rPr>
        <w:tab/>
        <w:t>Conform documentelor depuse la dosarul cauzei, Consiliul reține că autoritatea contractantă nu a făcut aceste verificări referitoare la neîncărcarea în SEAP a unei părți din documentația tehnică depusă de asocierea G1 S.A. în raport de dispozițiile art. 215 alin. (4) din Legea nr. 98/2016 și pe cele ale art. 137 alin. (3) lit. a) din HG nr. 395/2016, așa cum în mod definitiv și obligatoriu a dispus instanța de control judiciar, în consecință, în opinia Consiliului, susținerile autorității contractante transmise în punctul de vedere (apărări care, de altminteri, au fost formulate și în anterioarele demersuri judiciare) potrivit cărora „susținerile contestatoarei privind neîncărcarea în SEAP a unui volum a propunerii tehnice excede atribuțiilor comisiei de evaluare, aceasta fiind obligată să evalueze ofertele din prisma cerințelor prevăzute în documentația de atribuire raportat la documentele prezentate de ofertanți" sunt neîntemeiate, conduita acesteia încălcând dispozițiile Hotărârii nr. DC1/... a Curții de Apel …, definitivă și obligatorie.</w:t>
      </w:r>
    </w:p>
    <w:p>
      <w:pPr>
        <w:pStyle w:val="Frspaiere1"/>
        <w:rPr/>
      </w:pPr>
      <w:r>
        <w:rPr>
          <w:rStyle w:val="Fontdeparagrafimplicit1"/>
        </w:rPr>
        <w:tab/>
        <w:t>Faptul că autoritatea contractantă ar fi constatat, din documentele încărcate în cadrul propunerii tehnice, precum și din răspunsurile la clarificări (adresa nr. …2/06.03.2023) că oferta desemnată câștigătoare ar fi îndeplinit cerințele din documentația de atribuire, deși numerotarea ofertei tehnice sare de la pag. 200 la pag. 301, așa cum reiese din conținutul procesului verbal al evaluării tehnice, nu are relevanța, în opinia Consiliului, din moment ce instanța de control judiciar a dispus verificări referitoare neîncărcarea în SE AP a unei părți din documentația tehnică depusă de asocierea G1 S.A. în raport de dispozițiile art. 215 alin. (4) din Legea nr. 98/2016 și pe cele ale art. 137 alin. (3) Ut. a) din HG nr. 395/2016. în aceste condiții Consiliul nu va mai analiza celelalte critici formulate de cei doi contestatori privind oferta desemnată câștigătoare, autoritatea contractantă având, în primul rând, obligația de a stabili dacă oferta asocierii G1 S.A. - J1 S.R.L. - H1 S.R.L. este admisibilă, raportat la cele dispuse de Curtea de Apel …prin Hotărârea nr. DC1/... referitor la aspectele mai sus reținute".</w:t>
      </w:r>
    </w:p>
    <w:p>
      <w:pPr>
        <w:pStyle w:val="Frspaiere1"/>
        <w:rPr/>
      </w:pPr>
      <w:r>
        <w:rPr>
          <w:rStyle w:val="Fontdeparagrafimplicit1"/>
        </w:rPr>
        <w:tab/>
        <w:t>Astfel, Consiliul a reținut doar obligația autorității contractante de a face verificări referitoare la neîncărcarea în SEAP a unei părți din documentația tehnică depusă de Asocierea G1 S.A. în raport de dispozițiile art. 215 alin. (4) din Legea nr. 98/2016 și art. 137 alin. (3) lit. a) din HG nr. 395/2016, așa cum în mod definitiv și obligatoriu a dispus instanța de control judiciar.</w:t>
      </w:r>
    </w:p>
    <w:p>
      <w:pPr>
        <w:pStyle w:val="Frspaiere1"/>
        <w:rPr/>
      </w:pPr>
      <w:r>
        <w:rPr>
          <w:rStyle w:val="Fontdeparagrafimplicit1"/>
        </w:rPr>
        <w:tab/>
        <w:t>Însă, instanța de judecată a dispus reevaluarea ofertei raportat la toate criticile formulate, respectiv:  cu privire la critica privind lipsa informațiilor referitoare la stațiile de autobuz (adăposturi) din schița de proiect.</w:t>
      </w:r>
    </w:p>
    <w:p>
      <w:pPr>
        <w:pStyle w:val="Frspaiere1"/>
        <w:rPr/>
      </w:pPr>
      <w:r>
        <w:rPr>
          <w:rStyle w:val="Fontdeparagrafimplicit1"/>
        </w:rPr>
        <w:tab/>
        <w:t>Referitor la aceste critici, comisia de evaluarea a constatat următoarele: „în ceea ce privește adăposturile de călători la pagina 19 din propunerea tehnică se prevedea amenajarea a 9 stații de autobuz iar la pagina 418 la categoria stații de autobuz este indicat materialul stație de autobuz”.</w:t>
      </w:r>
    </w:p>
    <w:p>
      <w:pPr>
        <w:pStyle w:val="Frspaiere1"/>
        <w:rPr/>
      </w:pPr>
      <w:r>
        <w:rPr>
          <w:rStyle w:val="Fontdeparagrafimplicit1"/>
        </w:rPr>
        <w:tab/>
        <w:t>Susținerile autorității contractante și implicit paginile indicate NU au nicio relevanță din perspectiva criticilor formulate de P1. în fapt, atât autoritatea contractantă cât și Asocierea G1 au eșuat în arăta și proba în mod concret existența materialelor necesare pentru execuția lucrărilor și implicit justificarea prețului ofertat. De altfel, inclusiv prin Punctul de vedere formulat, autoritatea contractantă s-a limitat la a cita răspunsul la clarificări transmis de Asocierea G1 fără a întreprinde o minimă analiză a acestuia.</w:t>
      </w:r>
    </w:p>
    <w:p>
      <w:pPr>
        <w:pStyle w:val="Frspaiere1"/>
        <w:rPr/>
      </w:pPr>
      <w:r>
        <w:rPr>
          <w:rStyle w:val="Fontdeparagrafimplicit1"/>
        </w:rPr>
        <w:tab/>
        <w:t>Cu privire la Graficul Gantt susţine că a arătat și demonstrat explicit faptul că, în considerarea cerințelor de la punctul 5, Cap. IV.1.1 din Fișa de date, coroborat cu lipsa informațiilor privind utilajele, implicit a resurselor umane (informații incomplete), rezultă cu evidență că autoritatea contractantă NU a avut posibilitatea de a analiza planificarea realistă a activităților în perioada de derulare a contractului (de exemplu: proporționalitatea între complexitatea activităților și timpul necesar pentru îndeplinirea acestora, sincronizarea activităților propuse luând în considerare timpul necesar mobilizării resurselor și utilizarea resurselor alocate pentru fiecare activitate);</w:t>
      </w:r>
    </w:p>
    <w:p>
      <w:pPr>
        <w:pStyle w:val="Frspaiere1"/>
        <w:rPr/>
      </w:pPr>
      <w:bookmarkStart w:name="bookmark50" w:id="8"/>
      <w:bookmarkEnd w:id="8"/>
      <w:r>
        <w:rPr>
          <w:rStyle w:val="Fontdeparagrafimplicit1"/>
        </w:rPr>
        <w:tab/>
        <w:t>Cu privire la critica referitoare la lipsa organigramei Asocierea G1 S.A. nu a prezentat informații privind rolul îndeplinit de fiecare din personalul cheie propus și modul de subordonare în luarea deciziilor, exigențe expres solicitate de autoritatea contractantă.</w:t>
      </w:r>
    </w:p>
    <w:p>
      <w:pPr>
        <w:pStyle w:val="Frspaiere1"/>
        <w:rPr/>
      </w:pPr>
      <w:r>
        <w:rPr>
          <w:rStyle w:val="Fontdeparagrafimplicit1"/>
        </w:rPr>
        <w:tab/>
        <w:t>Ofertantul a declarat că oferta sa conține următoarele documente - OPIS ofertă: filele 82-262 - Documente privind personalul de execuție; filele 263-269 - Documente privind utilajele; filele 270-409 - Planul Calității.</w:t>
      </w:r>
    </w:p>
    <w:p>
      <w:pPr>
        <w:pStyle w:val="Frspaiere1"/>
        <w:rPr/>
      </w:pPr>
      <w:r>
        <w:rPr>
          <w:rStyle w:val="Fontdeparagrafimplicit1"/>
        </w:rPr>
        <w:tab/>
        <w:t>Conform cerințelor documentației de atribuire, ofertanții trebuiau să includă în propunerea tehnică următoarele informații:</w:t>
      </w:r>
    </w:p>
    <w:p>
      <w:pPr>
        <w:pStyle w:val="Frspaiere1"/>
        <w:rPr/>
      </w:pPr>
      <w:bookmarkStart w:name="bookmark51" w:id="9"/>
      <w:bookmarkEnd w:id="9"/>
      <w:r>
        <w:rPr>
          <w:rStyle w:val="Fontdeparagrafimplicit1"/>
        </w:rPr>
        <w:tab/>
        <w:t>(i)ofertantul va descrie în propunerea tehnică momentul în care specialiștii implicați în îndeplinirea contractului, atât în faza de proiectare cât și în faza de execuție a lucrărilor, vor interveni în implementarea contractului;</w:t>
      </w:r>
    </w:p>
    <w:p>
      <w:pPr>
        <w:pStyle w:val="Frspaiere1"/>
        <w:rPr/>
      </w:pPr>
      <w:bookmarkStart w:name="bookmark52" w:id="10"/>
      <w:bookmarkEnd w:id="10"/>
      <w:r>
        <w:rPr>
          <w:rStyle w:val="Fontdeparagrafimplicit1"/>
        </w:rPr>
        <w:tab/>
        <w:t>(ii)ofertantul va descrie modul în care acesta și-a asigurat accesul la serviciile acestora;</w:t>
      </w:r>
    </w:p>
    <w:p>
      <w:pPr>
        <w:pStyle w:val="Frspaiere1"/>
        <w:rPr/>
      </w:pPr>
      <w:r>
        <w:rPr>
          <w:rStyle w:val="Fontdeparagrafimplicit1"/>
        </w:rPr>
        <w:tab/>
        <w:t>De asemenea, autoritatea contractantă a reluat prin răspunsul la clarificări transmis obligația ofertanților de a depune în mod obligatoriu documente din care să rezulte modul în care ofertantul $i-a asigurat accesul la serviciile personalului.</w:t>
      </w:r>
    </w:p>
    <w:p>
      <w:pPr>
        <w:pStyle w:val="Frspaiere1"/>
        <w:rPr/>
      </w:pPr>
      <w:r>
        <w:rPr>
          <w:rStyle w:val="Fontdeparagrafimplicit1"/>
        </w:rPr>
        <w:tab/>
        <w:t>Analizând Propunerea tehnică incompletă prezentată de ofertant, rezultă cu evidență că aceasta nu conține informații cu privire la modul de îndeplinire a cerinței privind descrierea momentului în care specialiștii implicați vor interveni în implementarea contractului precum și modul în care acesta și-a asigurat accesul la serviciile acestora .</w:t>
      </w:r>
    </w:p>
    <w:p>
      <w:pPr>
        <w:pStyle w:val="Frspaiere1"/>
        <w:rPr/>
      </w:pPr>
      <w:bookmarkStart w:name="bookmark53" w:id="11"/>
      <w:bookmarkEnd w:id="11"/>
      <w:r>
        <w:rPr>
          <w:rStyle w:val="Fontdeparagrafimplicit1"/>
        </w:rPr>
        <w:tab/>
        <w:t>Cu privire la critica referitoare la lipsa utilajelor solicitate prin Fișa de date, comisia de evaluare a constatat pentru a doua oară, în mod nelegal, ca ofertantul a îndeplinit cerințele documentației de atribuire, prin prezentarea la paginile 690-696 a listei cu utilajele pe care le deține.</w:t>
      </w:r>
    </w:p>
    <w:p>
      <w:pPr>
        <w:pStyle w:val="Frspaiere1"/>
        <w:rPr/>
      </w:pPr>
      <w:r>
        <w:rPr>
          <w:rStyle w:val="Fontdeparagrafimplicit1"/>
        </w:rPr>
        <w:tab/>
        <w:t>Deși aceste documente privind utilajele sunt menționate în OPIS la paginile 200-300 - exact paginile care lipsesc din oferta Asocierii G1, surprinzător și aparent inexplicabil lista cu utilaje a fost inclusă la sfârșitul ofertei, în Secțiunea care nu are nicio legătură că îndeplinirea cerințelor privind utilajele, respectiv ”Memoriu privind garanția lucrării si declarat/agremente calitate”.</w:t>
      </w:r>
    </w:p>
    <w:p>
      <w:pPr>
        <w:pStyle w:val="Frspaiere1"/>
        <w:rPr/>
      </w:pPr>
      <w:bookmarkStart w:name="bookmark54" w:id="12"/>
      <w:bookmarkEnd w:id="12"/>
      <w:r>
        <w:rPr>
          <w:rStyle w:val="Fontdeparagrafimplicit1"/>
        </w:rPr>
        <w:tab/>
        <w:t>Cu privire la critica privind lipsa Manualului calității, verificând documentele depuse de ofertant, am constatat că în ceea ce privește Manualul calității acesta este incomplet (lipsesc aproximativ 30 pagini).</w:t>
      </w:r>
    </w:p>
    <w:p>
      <w:pPr>
        <w:pStyle w:val="Frspaiere1"/>
        <w:rPr/>
      </w:pPr>
      <w:r>
        <w:rPr>
          <w:rStyle w:val="Fontdeparagrafimplicit1"/>
        </w:rPr>
        <w:tab/>
        <w:t>Astfel, în considerarea tuturor criticilor anterior invocate și raportat la autoritatea de lucru judecat de care se bucură Decizia nr. DC1/... pronunțată de Curtea de Apel …, consideră că, evaluarea efectuată de autoritatea contractantă este vădit nelegală impunându- se anularea actelor emise în procesul de evaluare și obligarea comisiei de evaluare la aplicarea în mod corect a măsurilor și sancțiunilor care se impun în cazul ofertei depusă de Asocierea G1 S.A., respectiv respingerea acesteia ca inacceptabilă/neconformă în temeiul prevederilor art. 215 alin. 4 din Legea nr. 98/2016 coroborate cu dispozițiile art. 137 alin. 3 lit. a) și c) din HG nr. 395/2016.</w:t>
      </w:r>
    </w:p>
    <w:p>
      <w:pPr>
        <w:pStyle w:val="Frspaiere1"/>
        <w:rPr/>
      </w:pPr>
      <w:r>
        <w:rPr>
          <w:rStyle w:val="Fontdeparagrafimplicit1"/>
        </w:rPr>
        <w:tab/>
        <w:t>Or, Consiliul nu a analizat toate criticile invocate care vizau neconformitatea ofertei Asocierii G1 S.A. și sancționarea acesteia în conformitate cu prevederile legale anterior referite.</w:t>
      </w:r>
    </w:p>
    <w:p>
      <w:pPr>
        <w:pStyle w:val="Frspaiere1"/>
        <w:rPr/>
      </w:pPr>
      <w:r>
        <w:rPr>
          <w:rStyle w:val="Fontdeparagrafimplicit1"/>
        </w:rPr>
        <w:tab/>
        <w:t>În drept, îşi întemeiază plângerea pe dispozițiile Legii nr. 101/2016, Legii nr. 98/2016, HG nr. 395/2016.</w:t>
      </w:r>
    </w:p>
    <w:p>
      <w:pPr>
        <w:pStyle w:val="Frspaiere1"/>
        <w:rPr/>
      </w:pPr>
      <w:r>
        <w:rPr>
          <w:rStyle w:val="Fontdeparagrafimplicit1"/>
        </w:rPr>
        <w:tab/>
        <w:t>Dovedirea celor afirmate înțelege să o facă cu înscrisuri, precum și cu orice alte probe a căror necesitate ar reieși din soluționarea plângerii.</w:t>
      </w:r>
    </w:p>
    <w:p>
      <w:pPr>
        <w:pStyle w:val="Normal"/>
        <w:ind w:firstLine="709"/>
        <w:jc w:val="both"/>
        <w:rPr>
          <w:b/>
        </w:rPr>
      </w:pPr>
      <w:r>
        <w:rPr>
          <w:rStyle w:val="Fontdeparagrafimplicit1"/>
          <w:b/>
        </w:rPr>
        <w:t>III. Întâmpinările depuse în cauză</w:t>
      </w:r>
    </w:p>
    <w:p>
      <w:pPr>
        <w:pStyle w:val="Frspaiere1"/>
        <w:rPr>
          <w:b/>
          <w:i/>
          <w:i/>
        </w:rPr>
      </w:pPr>
      <w:r>
        <w:rPr>
          <w:rStyle w:val="Fontdeparagrafimplicit1"/>
          <w:b/>
          <w:i/>
        </w:rPr>
        <w:tab/>
        <w:t>Intimata Unitatea Administrativ Teritorială JUDEŢUL... a formulat întâmpinare prin care a solicitat respingerea plângerii ca nefondată, având în vedere următoarele motive:</w:t>
      </w:r>
    </w:p>
    <w:p>
      <w:pPr>
        <w:pStyle w:val="Frspaiere1"/>
        <w:rPr/>
      </w:pPr>
      <w:r>
        <w:rPr>
          <w:rStyle w:val="Fontdeparagrafimplicit1"/>
        </w:rPr>
        <w:tab/>
        <w:t>Referitor la criticile aduse de către contestatoarea SC P1 SRL, că decizia luată de autoritatea contractantă privind rezultatul procedurii de atribuire este “NETEMEINICA SI NELEGALA”, s-a apreciat că acestea sunt total nefondate.</w:t>
      </w:r>
    </w:p>
    <w:p>
      <w:pPr>
        <w:pStyle w:val="Frspaiere1"/>
        <w:rPr/>
      </w:pPr>
      <w:r>
        <w:rPr>
          <w:rStyle w:val="Fontdeparagrafimplicit1"/>
        </w:rPr>
        <w:tab/>
        <w:t>În data de 06.04.2023, prin adresa nr. …2/06.04.2023, ofertantului SC P1 S.R.L. i s-a comunicat rezultatul procedurii de atribuire având ca obiect "Proiectare, asistenta tehnică din partea proiectantului și execuția de lucrări la obiectivul „Reabilitare/Modernizare DRUM S1 pe tronsonul km 5+000 (... inceput sector betonat) - ... km 19+888 (int. cu DRUM S2)”, prin care i s-a adus la cunoștință că oferta sa a fost declarată necâștigătoare, cu un punctaj de 84.92 puncte si o propunere financiara de 48.889.419,56 lei fără TVA.</w:t>
      </w:r>
    </w:p>
    <w:p>
      <w:pPr>
        <w:pStyle w:val="Frspaiere1"/>
        <w:rPr/>
      </w:pPr>
      <w:r>
        <w:rPr>
          <w:rStyle w:val="Fontdeparagrafimplicit1"/>
        </w:rPr>
        <w:tab/>
        <w:t>Ofertantul P1 S.R.L. a formulat contestație la rezultatul procedurii de evaluare, aceasta fiind respinsă, ca nefondată, prin Decizia CNSC nr….8/ , …7 din data de 13.06.2023.</w:t>
      </w:r>
    </w:p>
    <w:p>
      <w:pPr>
        <w:pStyle w:val="Frspaiere1"/>
        <w:rPr/>
      </w:pPr>
      <w:r>
        <w:rPr>
          <w:rStyle w:val="Fontdeparagrafimplicit1"/>
        </w:rPr>
        <w:tab/>
        <w:t>Împotriva acestei Decizii s-a formulat plângere, iar prin Decizia nr. DC1/... a Curții de Apel … s-au admis contestațiile, s-au anulat adresele prin care s-au desemnat ofertele necâștigătoare, cât și cea câștigătoare și a fost anulat raportul procedurii, obligând autoritatea contractantă la reluarea procedurii de atribuire prin reevaluarea ofertelor ...ui de A1 S.A. și a G1 S.A. de la etapa verificării conformității acestora.</w:t>
      </w:r>
    </w:p>
    <w:p>
      <w:pPr>
        <w:pStyle w:val="Frspaiere1"/>
        <w:rPr/>
      </w:pPr>
      <w:r>
        <w:rPr>
          <w:rStyle w:val="Fontdeparagrafimplicit1"/>
        </w:rPr>
        <w:tab/>
        <w:t>Contrar celor afirmate de contestatoare, comisia de evaluare a respectat întocmai Decizia nr. DC1/... a Curții de Apel, analizând punctual toate susținerile și criticile aduse ofertelor contestate în Proces-verbal privind reevaluarea conformității propunerilor tehnice nr. …3/28.11.2023.</w:t>
      </w:r>
    </w:p>
    <w:p>
      <w:pPr>
        <w:pStyle w:val="Frspaiere1"/>
        <w:rPr/>
      </w:pPr>
      <w:r>
        <w:rPr>
          <w:rStyle w:val="Fontdeparagrafimplicit1"/>
        </w:rPr>
        <w:tab/>
        <w:t>Astfel, prin adresa nr. …9/08.12.2023, ofertantului P1 S.R.L. i s-a comunicat rezultatul procedurii de atribuire având ca obiect “Proiectare, asistenta tehnică din partea proiectantului și execuția de lucrări la obiectivul ,,Reabilitare/Modernizare DRUM S1 pe tronsonul km 5+000 (... inceput sector betonat) - ... km 19+888 (int. cu DRUM S2)’’, prin care i s-a adus la cunoștință că oferta sa a fost declarată necâștigătoare, cu un punctaj de 84.92 puncte si o propunere financiara de 48.889.419,56 lei fără TVA.</w:t>
      </w:r>
    </w:p>
    <w:p>
      <w:pPr>
        <w:pStyle w:val="Frspaiere1"/>
        <w:rPr/>
      </w:pPr>
      <w:bookmarkStart w:name="bookmark3" w:id="13"/>
      <w:bookmarkEnd w:id="13"/>
      <w:r>
        <w:rPr>
          <w:rStyle w:val="Fontdeparagrafimplicit1"/>
        </w:rPr>
        <w:tab/>
        <w:t xml:space="preserve">Cu privire la criticile aduse de către P1 S.R.L. la lipsa resurselor alocate din Graficul Gantt prezentat de către asocierea ... DE A1 SA (lider de asociere) - SC B1 SRL (asociat 1) - F1 SRL (asociat 2), comisia de evaluare a coroborat informațiile descrise la celelalte capitole ale propunerii tehnice și a înțeles că resursele alocate prezentului </w:t>
      </w:r>
      <w:r>
        <w:rPr>
          <w:rStyle w:val="Fontdeparagrafimplicit1"/>
          <w:color w:val="000000"/>
        </w:rPr>
        <w:t>proiect sunt suficiente și adecvate după cum urmează:</w:t>
      </w:r>
    </w:p>
    <w:p>
      <w:pPr>
        <w:pStyle w:val="Frspaiere1"/>
        <w:rPr>
          <w:lang w:val="da-DK"/>
        </w:rPr>
      </w:pPr>
      <w:bookmarkStart w:name="bookmark4" w:id="14"/>
      <w:bookmarkEnd w:id="14"/>
      <w:r>
        <w:rPr>
          <w:rStyle w:val="Fontdeparagrafimplicit1"/>
        </w:rPr>
        <w:tab/>
      </w:r>
      <w:r>
        <w:rPr>
          <w:rStyle w:val="Fontdeparagrafimplicit1"/>
          <w:lang w:val="da-DK"/>
        </w:rPr>
        <w:t>- Resurse de personal prezentate pentru proiectare prezentate de la pag. 181- 182, iar pentru realizarea lucrărilor la pag. 206-213 și pag.484-565.</w:t>
      </w:r>
    </w:p>
    <w:p>
      <w:pPr>
        <w:pStyle w:val="Frspaiere1"/>
        <w:rPr>
          <w:lang w:val="da-DK"/>
        </w:rPr>
      </w:pPr>
      <w:r>
        <w:rPr>
          <w:rStyle w:val="Fontdeparagrafimplicit1"/>
          <w:lang w:val="da-DK"/>
        </w:rPr>
        <w:tab/>
        <w:t>- Resurse materiale descrise de la pag. 388 - 483;</w:t>
      </w:r>
      <w:bookmarkStart w:name="bookmark6" w:id="15"/>
      <w:bookmarkEnd w:id="15"/>
    </w:p>
    <w:p>
      <w:pPr>
        <w:pStyle w:val="Frspaiere1"/>
        <w:rPr>
          <w:lang w:val="da-DK"/>
        </w:rPr>
      </w:pPr>
      <w:r>
        <w:rPr>
          <w:rStyle w:val="Fontdeparagrafimplicit1"/>
          <w:lang w:val="da-DK"/>
        </w:rPr>
        <w:tab/>
        <w:t>- Resurse utilaje și mijloace de transport pag. 575-563.</w:t>
      </w:r>
    </w:p>
    <w:p>
      <w:pPr>
        <w:pStyle w:val="Frspaiere1"/>
        <w:rPr/>
      </w:pPr>
      <w:r>
        <w:rPr>
          <w:rStyle w:val="Fontdeparagrafimplicit1"/>
          <w:lang w:val="da-DK"/>
        </w:rPr>
        <w:tab/>
        <w:t xml:space="preserve">În ceea ce privește susținerea reclamantei referitoare la faptul că prețul ofertat de asociere nu ar fi rezultatul liberei concurențe, s-a considerat că această afirmație nu este probată în speță, așa cum în mod corect a apreciat și CNSC. </w:t>
      </w:r>
      <w:r>
        <w:rPr>
          <w:rStyle w:val="Fontdeparagrafimplicit1"/>
        </w:rPr>
        <w:t>Astfel, contestatoarea s-a limitat la a identifica anumite prețuri la materiale ofertate și a le compara cu prețurile pe care ea însăși le apreciază ca fiind cele ale pieței, acest fapt relevând doar o opțiune a ofertantului.</w:t>
      </w:r>
    </w:p>
    <w:p>
      <w:pPr>
        <w:pStyle w:val="Frspaiere1"/>
        <w:rPr/>
      </w:pPr>
      <w:r>
        <w:rPr>
          <w:rStyle w:val="Fontdeparagrafimplicit1"/>
        </w:rPr>
        <w:tab/>
        <w:t>Oferta financiară depusă de către asocierea ... DE A1 SA (lider de asociere) - SC B1 SRL (asociat 1) - F1 SRL (asociat 2) a avut o valoare de 44.019.933,70 lei fără TVA, reprezentând 88,94% din valoarea estimată a contractului, acesta nefiind un preț neobișnuit de scăzut, conform art. 136 alin. 4 din H.G. nr. 395/2016 privind normele metodologice de aplicare a Legii achizițiilor publice, cu completările și modificările ulterioare.</w:t>
      </w:r>
    </w:p>
    <w:p>
      <w:pPr>
        <w:pStyle w:val="Frspaiere1"/>
        <w:rPr/>
      </w:pPr>
      <w:r>
        <w:rPr>
          <w:rStyle w:val="Fontdeparagrafimplicit1"/>
        </w:rPr>
        <w:tab/>
        <w:t>Mai mult, faptul că ... de A1 SA a înregistrat unele costuri/tarife pe care contestatoarea le găsește neacoperitoare ori insuficient descrise nu semnifică ipso facto că acesta nu are capacitatea de a executa contractul în parametrii de calitate doriți. Din norma legală aplicabilă se observa că, pentru respingerea ofertei, simplul preț neobișnuit de scăzut al ei (deși nu este cazul în speța de față) este o condiție obligatorie, însă nu și suficientă, legiuitorul impunând pe lângă aceasta și condiția ca ofertantul să nu poată asigura executarea corespunzătoare a contractului licitat, condiție a cărei îndeplinire trebuie probată de către cel care o invocă.</w:t>
      </w:r>
    </w:p>
    <w:p>
      <w:pPr>
        <w:pStyle w:val="Frspaiere1"/>
        <w:rPr/>
      </w:pPr>
      <w:r>
        <w:rPr>
          <w:rStyle w:val="Fontdeparagrafimplicit1"/>
        </w:rPr>
        <w:tab/>
        <w:t>1. Potrivit Deciziei nr. DC1/... a Curții de Apel, “Autoritatea contractantă va verifica susținerile petentelor privind neîncărcarea în SEAP a unei părți din documentația tehnică depusă de asocierea G1 S.A. în raport de dispozițiile art.215 alin. (4) din Legea nr.98/2016 și pe cele ale art.137 alin.(3) lit. (a) din HG nr.395/2016.</w:t>
      </w:r>
    </w:p>
    <w:p>
      <w:pPr>
        <w:pStyle w:val="Frspaiere1"/>
        <w:rPr/>
      </w:pPr>
      <w:bookmarkStart w:name="bookmark7" w:id="16"/>
      <w:bookmarkEnd w:id="16"/>
      <w:r>
        <w:rPr>
          <w:rStyle w:val="Fontdeparagrafimplicit1"/>
        </w:rPr>
        <w:tab/>
        <w:t>- cu privire la dispozițiile art. 215 alin. (4) din Legea 98/2016 „Oferta este considerată inacceptabilă dacă nu îndeplinește condițiile de formă aferente elaborării și prezentării acesteia, a fost prezentată de către un ofertant care nu are calificările necesare sau al cărei preț depășește valoarea estimată, astfel cum a fost stabilită și documentată înainte de inițierea procedurii de atribuire, iar această valoare nu poate fi suplimentată”, comisia de evaluare a constatat ca oferta nu se regăsește sub incidența acestui articol.</w:t>
      </w:r>
    </w:p>
    <w:p>
      <w:pPr>
        <w:pStyle w:val="Frspaiere1"/>
        <w:rPr/>
      </w:pPr>
      <w:r>
        <w:rPr>
          <w:rStyle w:val="Fontdeparagrafimplicit1"/>
        </w:rPr>
        <w:tab/>
        <w:t>- cu privire la dispozițiile art. 137 alin. (3) lit. a) din HG 395/2016: ,, (3) în condițiile art. 215 alin. (5) din Lege, oferta este considerată neconformă în următoarele situații: a) nu satisface în mod corespunzător cerințele caietului de sarcini;” comisia de evaluare a constatat că din documentele încărcate în cadrul propunerii tehnice, precum și din răspunsurile la clarificări (adresa nr. …2/06.03.2023) rezultă că au fost îndeplinite cerințele din documentația de atribuire, respectiv din caietul de sarcini, deși numerotarea paginilor sare de la nr. 200 la 301.</w:t>
      </w:r>
    </w:p>
    <w:p>
      <w:pPr>
        <w:pStyle w:val="Frspaiere1"/>
        <w:rPr/>
      </w:pPr>
      <w:r>
        <w:rPr>
          <w:rStyle w:val="Fontdeparagrafimplicit1"/>
        </w:rPr>
        <w:tab/>
        <w:t>Comisia de evaluare a verificat susținerile petentei cu privire la neîncărcarea în SEAP a unei părți din documentația tehnică și a constatat că oferta desemnată câștigătoare a îndeplinit cerințele din documentația de atribuire deși numerotarea ofertei tehnice sare de la pag. 200 la pag. 301 așa cum reiese din conținutul procesului verbal al evaluării tehnice. Comisia de evaluare a reevaluat ofertele sub aspectul documentelor prezentate și încărcate în SEAP. Susținerile contestatoarei privind neîncărcarea în SEAP a unui volum a propunerii tehnice excede atribuțiilor comisiei de evaluare, aceasta fiind obligată să evalueze ofertele din prisma cerințelor prevăzute în documentația de atribuire raportat la documentele prezentate de ofertanți.</w:t>
      </w:r>
    </w:p>
    <w:p>
      <w:pPr>
        <w:pStyle w:val="Frspaiere1"/>
        <w:rPr/>
      </w:pPr>
      <w:bookmarkStart w:name="bookmark8" w:id="17"/>
      <w:bookmarkEnd w:id="17"/>
      <w:r>
        <w:rPr>
          <w:rStyle w:val="Fontdeparagrafimplicit1"/>
        </w:rPr>
        <w:tab/>
        <w:t>2. În ceea ce privește „adăposturile pentru călători”, la pag. 19 din propunerea tehnică se prevede amenajarea a 9 stații de autobuz, iar la pag. 418 la categoria „stații de autobuz" este indicat materialul „adăpost stație de autobuz”.</w:t>
      </w:r>
    </w:p>
    <w:p>
      <w:pPr>
        <w:pStyle w:val="Frspaiere1"/>
        <w:rPr/>
      </w:pPr>
      <w:r>
        <w:rPr>
          <w:rStyle w:val="Fontdeparagrafimplicit1"/>
        </w:rPr>
        <w:tab/>
        <w:t xml:space="preserve">În data de 17.11.2023, prin adresa nr. …5/17.11.2023 s-au solicitat clarificări în SEAP, cu termen de răspuns două zile lucrătoare, având următorul conținut: Din descrierea de la pag. 418 la categoria ,,Stații autobuz" - materialul adăpost stație autobuz, nu s-au putut identifica materialele din DALI. în oferta tehnică, comisia de evaluare nu a putut regăsi informații cu privire la materialele folosite pentru „adăpost stație de autobuz" așa cum sunt menționate în DALI respectiv ,,adăposturi călători pe structură metalică placata cu sticla securizata”. </w:t>
      </w:r>
    </w:p>
    <w:p>
      <w:pPr>
        <w:pStyle w:val="Frspaiere1"/>
        <w:rPr/>
      </w:pPr>
      <w:r>
        <w:rPr>
          <w:rStyle w:val="Fontdeparagrafimplicit1"/>
        </w:rPr>
        <w:tab/>
        <w:t>Ofertantul a răspuns, în termen, în data de 21.11.2023, prin adresa nr. 2442/21.11.2023, înregistrată la Registratura CJ… sub nr. …1/21.11.2023 astfel: ,,... la pag 418 în Propunerea tehnică, la categoria "Stații de autobuz" sunt arătate materialele pentru realizarea acestei categorii de lucrări, fiind indicat inclusiv materialul „adăpost stație de autobuz,, ce se găsește în corespondență cu prețul forfetar indicat în Formularul F11, la pct.9 „ Stații de autobuz,, ce include și materialul reprezentat de adăpostul stației de autobuz, așa cum prevede documentația de atribuire. Astfel, pentru cele 9 stații de autobuz, prevăzute cu adăposturi de călători (material indicat la fila 418) a fost cotată o valoare de 288.737,30 lei fără TVA, valoare ce include toate lucrările și materialele necesare, pentru edificarea structurii rutiere în conformitate cu standardele în vigoare și pentru adăposturile de călători pe structura metalică placată cu sticla securizată.</w:t>
      </w:r>
    </w:p>
    <w:p>
      <w:pPr>
        <w:pStyle w:val="Frspaiere1"/>
        <w:rPr/>
      </w:pPr>
      <w:r>
        <w:rPr>
          <w:rStyle w:val="Fontdeparagrafimplicit1"/>
        </w:rPr>
        <w:tab/>
        <w:t>Practic, in cadrul propunerii financiare, la pct. 9 din Formularul FI 1 - Stații de autobuz, au fost evaluate toate lucrările și materialele necesare în conformitate cu documentația de atribuire, caietul de sarcini și răspunsul consolidat la clarificări nr….0/20.01.2023, prețul forfetar incluzând și contravaloarea adăposturilor pentru călători pe structura metalică placată cu sticla securizată, ofertantul depunând declarație de conformare cu documentația de atribuire și caietul de sarcini (declarație fila 3).”</w:t>
      </w:r>
      <w:bookmarkStart w:name="bookmark9" w:id="18"/>
      <w:bookmarkEnd w:id="18"/>
    </w:p>
    <w:p>
      <w:pPr>
        <w:pStyle w:val="Frspaiere1"/>
        <w:rPr/>
      </w:pPr>
      <w:r>
        <w:rPr>
          <w:rStyle w:val="Fontdeparagrafimplicit1"/>
        </w:rPr>
        <w:tab/>
        <w:t>Referitor la omiterea parțială a documentelor justificative pentru personalul cheie propus, lipsa organigramei proiectului, lipsa informațiilor privind rolul și atribuțiile personalului cheie și descrierea momentului când aceștia vor fi implicați în proiect, lipsa informațiilor privind utilajele propuse si în ceea ce privește Manualul calității acesta este incomplet (lipsesc aproximativ 30 pagini), s-au făcut următoarele precizări:</w:t>
      </w:r>
    </w:p>
    <w:p>
      <w:pPr>
        <w:pStyle w:val="Frspaiere1"/>
        <w:rPr/>
      </w:pPr>
      <w:r>
        <w:rPr>
          <w:rStyle w:val="Fontdeparagrafimplicit1"/>
        </w:rPr>
        <w:tab/>
        <w:t>Autoritatea contractantă a solicitat, în ceea ce privește personalul Ofertantului să descrie în propunerea tehnică momentul în care specialiștii implicați în îndeplinirea contractului, atât în faza de proiectare cât și în faza de execuție a lucrărilor, vor interveni în implementarea contractului, precum și modul în care acesta și-a asigurat accesul la serviciile acestora (fie prin resurse proprii, caz în care vor fi prezentate persoanele în cauza fie prin externa liza re, situație în care vor descrie aranjamentele contractuale realizate in vederea obținerii serviciilor respective).</w:t>
      </w:r>
    </w:p>
    <w:p>
      <w:pPr>
        <w:pStyle w:val="Frspaiere1"/>
        <w:rPr/>
      </w:pPr>
      <w:r>
        <w:rPr>
          <w:rStyle w:val="Fontdeparagrafimplicit1"/>
        </w:rPr>
        <w:tab/>
        <w:t>Ofertantul declarat câștigător a prezentat organigrama echipei propuse pentru realizarea serviciilor de proiectare la pag. 19. Rolurile, responsabilitățile se regăsesc la pag. 20, iar la pag. 21 ofertantul declarat câștigător prezintă modalitatea de acces a echipei de proiectare. în cadrul procesului verbal comisia de evaluare a menționat în mod clar paginile la care se regăsesc documente aferente fiecărei persoane nominalizate inclusiv dovada accesului la serviciile acestora (contracte de muncă). Ex. EXP1 -șef de proiect / Coordonator proiectare - Diploma de inginer seria C nr. ….3 în profilul construcții specializarea căi ferate drumuri și poduri la pag. 29;</w:t>
      </w:r>
    </w:p>
    <w:p>
      <w:pPr>
        <w:pStyle w:val="Frspaiere1"/>
        <w:rPr/>
      </w:pPr>
      <w:r>
        <w:rPr>
          <w:rStyle w:val="Fontdeparagrafimplicit1"/>
          <w:b/>
          <w:i/>
        </w:rPr>
        <w:tab/>
      </w:r>
      <w:r>
        <w:rPr>
          <w:rStyle w:val="Fontdeparagrafimplicit1"/>
        </w:rPr>
        <w:t>Certificat de absolvire curs de specializare pentru ocupația de Manager Proiect seria B nr….7 la pag. 30; contract individual de muncă pag. 31-33; acord cu privire la prelucrarea datelor personale pag. 34;</w:t>
      </w:r>
    </w:p>
    <w:p>
      <w:pPr>
        <w:pStyle w:val="Frspaiere1"/>
        <w:rPr/>
      </w:pPr>
      <w:r>
        <w:rPr>
          <w:rStyle w:val="Fontdeparagrafimplicit1"/>
        </w:rPr>
        <w:tab/>
        <w:t>Ofertantul declarat câștigător a prezentat personalul de specialitate precum și modalitatea de acces a acestora pentru execuția lucrărilor la pag. 82-85. în cadrul procesului verbal comisia de evaluare a menționat în mod clar paginile la care se regăsesc documente aferente fiecărei persoane nominalizate inclusiv dovada accesului la serviciile acestora (contracte de muncă). Ex: Fira Mariana Laura - manager proiect: Diplomă de inginer în profilul inginerie economică specializarea ingineria și managementul sistemelor de producție seria E nr. …8 pag. 86; Certificat de absolvire - Manager de proiect, seria F Nr. …4 la pag.87; Contractul individual de muncă pag. 88-89; acord cu privire la prelucrarea datelor personale pag. 90;</w:t>
      </w:r>
    </w:p>
    <w:p>
      <w:pPr>
        <w:pStyle w:val="Frspaiere1"/>
        <w:rPr/>
      </w:pPr>
      <w:r>
        <w:rPr>
          <w:rStyle w:val="Fontdeparagrafimplicit1"/>
        </w:rPr>
        <w:tab/>
        <w:t>Cu privire la lipsa documentelor justificative aferente specialiștilor: K1 - topograf, K2 - responsabil mediu, K3 - responsabil SSM, K4 - responsabil siguranța circulației, facem precizarea ca pentru același post s-au nominalizate cate doi specialiști, astfel:</w:t>
      </w:r>
    </w:p>
    <w:p>
      <w:pPr>
        <w:pStyle w:val="Frspaiere1"/>
        <w:rPr/>
      </w:pPr>
      <w:r>
        <w:rPr>
          <w:rStyle w:val="Fontdeparagrafimplicit1"/>
        </w:rPr>
        <w:tab/>
        <w:t>- persoanele nominalizate pentru posturile de topograf sunt: dnul. K1 si K5;</w:t>
      </w:r>
    </w:p>
    <w:p>
      <w:pPr>
        <w:pStyle w:val="Frspaiere1"/>
        <w:rPr/>
      </w:pPr>
      <w:r>
        <w:rPr>
          <w:rStyle w:val="Fontdeparagrafimplicit1"/>
        </w:rPr>
        <w:tab/>
        <w:t>- persoanele nominalizate pentru posturile de responsabil mediu sunt: dnul. K2 si K6;</w:t>
      </w:r>
    </w:p>
    <w:p>
      <w:pPr>
        <w:pStyle w:val="Frspaiere1"/>
        <w:rPr/>
      </w:pPr>
      <w:r>
        <w:rPr>
          <w:rStyle w:val="Fontdeparagrafimplicit1"/>
        </w:rPr>
        <w:tab/>
        <w:t>- persoanele nominalizate pentru posturile de responsabil SSM sunt. dnul. K3 si K7;</w:t>
      </w:r>
    </w:p>
    <w:p>
      <w:pPr>
        <w:pStyle w:val="Frspaiere1"/>
        <w:rPr/>
      </w:pPr>
      <w:r>
        <w:rPr>
          <w:rStyle w:val="Fontdeparagrafimplicit1"/>
        </w:rPr>
        <w:tab/>
        <w:t>- persoanele nominalizate pentru posturile de responsabil siguranța circulației sunt: dnul. K4 si K8.</w:t>
      </w:r>
    </w:p>
    <w:p>
      <w:pPr>
        <w:pStyle w:val="Frspaiere1"/>
        <w:rPr/>
      </w:pPr>
      <w:r>
        <w:rPr>
          <w:rStyle w:val="Fontdeparagrafimplicit1"/>
        </w:rPr>
        <w:tab/>
        <w:t>Așa cum reiese din conținutul procesului-verbal de evaluare a propunerilor tehnice, s-a constatat ca au fost depuse documente justificative, pentru cel puțin unul dintre specialiștii nominalizați pe fiecare post in parte.</w:t>
      </w:r>
    </w:p>
    <w:p>
      <w:pPr>
        <w:pStyle w:val="Frspaiere1"/>
        <w:rPr/>
      </w:pPr>
      <w:r>
        <w:rPr>
          <w:rStyle w:val="Fontdeparagrafimplicit1"/>
        </w:rPr>
        <w:tab/>
        <w:t>Exemplu: ,.K6 - Responsabil mediu: - Diploma de inginer in domeniul ingineria mediului specializarea ingineria si protecția mediului in industrie seria IA nr. …6 pag. 107;</w:t>
      </w:r>
    </w:p>
    <w:p>
      <w:pPr>
        <w:pStyle w:val="Frspaiere1"/>
        <w:rPr/>
      </w:pPr>
      <w:r>
        <w:rPr>
          <w:rStyle w:val="Fontdeparagrafimplicit1"/>
        </w:rPr>
        <w:tab/>
        <w:t>Decizia nr …4/26,10.2020 privind funcția responsabil de mediu pag. 108; acord cu privire la prelucrarea datelor personale pag. 109;</w:t>
      </w:r>
    </w:p>
    <w:p>
      <w:pPr>
        <w:pStyle w:val="Frspaiere1"/>
        <w:rPr/>
      </w:pPr>
      <w:r>
        <w:rPr>
          <w:rStyle w:val="Fontdeparagrafimplicit1"/>
        </w:rPr>
        <w:tab/>
        <w:t>Contractul individual de munca si act adițional pag. 110-113;”</w:t>
      </w:r>
    </w:p>
    <w:p>
      <w:pPr>
        <w:pStyle w:val="Frspaiere1"/>
        <w:rPr/>
      </w:pPr>
      <w:r>
        <w:rPr>
          <w:rStyle w:val="Fontdeparagrafimplicit1"/>
        </w:rPr>
        <w:tab/>
        <w:t>Totodată, s-a făcut precizarea ca prin documentația de atribuire nu au fost solicitate documente justificative pentru personalul declarat.</w:t>
      </w:r>
    </w:p>
    <w:p>
      <w:pPr>
        <w:pStyle w:val="Frspaiere1"/>
        <w:rPr/>
      </w:pPr>
      <w:r>
        <w:rPr>
          <w:rStyle w:val="Fontdeparagrafimplicit1"/>
        </w:rPr>
        <w:tab/>
        <w:t>Autoritatea contractantă a solicitat, în ceea ce privește personalul Ofertantului, să descrie în propunerea tehnică modul în care și-a asigurat accesul la serviciile acestora, iar ofertantul a făcut aceasta descriere la paginile menționate anterior, personalul ofertantului fiind angajat al acestuia.</w:t>
      </w:r>
    </w:p>
    <w:p>
      <w:pPr>
        <w:pStyle w:val="Frspaiere1"/>
        <w:rPr/>
      </w:pPr>
      <w:r>
        <w:rPr>
          <w:rStyle w:val="Fontdeparagrafimplicit1"/>
        </w:rPr>
        <w:tab/>
        <w:t>Autoritatea contractantă a regăsit pentru ofertantul declarat câștigător rolurile și responsabilitățile echipei de proiectare de la pag. 20 la pag. 21, iar pentru execuția lucrărilor de la pag. 82-85. Așadar, din informațiile regăsite la paginile menționate anterior coroborate cu informațiile de la pag. 307- 409 unde se regăsește personalul de execuție, comisia de evaluare a concluzionat că personalul nominalizat are responsabilități pentru fiecare etapă de execuție a lucrărilor pe întreaga durată de desfășurare a acestora.</w:t>
      </w:r>
    </w:p>
    <w:p>
      <w:pPr>
        <w:pStyle w:val="Frspaiere1"/>
        <w:rPr/>
      </w:pPr>
      <w:r>
        <w:rPr>
          <w:rStyle w:val="Fontdeparagrafimplicit1"/>
        </w:rPr>
        <w:tab/>
        <w:t>Comisia de evaluare a lucrărilor nu a regăsit momentul de intervenție a specialiștilor implicați în execuția lucrărilor și a solicitat clarificări. Prin răspunsul la solicitarea de clarificări ofertantul declarat câștigător a indicat paginile 307-409 de unde comisia de evaluare a concluzionat că personalul responsabil pentru execuția lucrărilor participă în toate fazele de execuție a acestora.</w:t>
      </w:r>
    </w:p>
    <w:p>
      <w:pPr>
        <w:pStyle w:val="Frspaiere1"/>
        <w:rPr/>
      </w:pPr>
      <w:r>
        <w:rPr>
          <w:rStyle w:val="Fontdeparagrafimplicit1"/>
        </w:rPr>
        <w:tab/>
        <w:t>Comisia de evaluare, cunoscând rolurile și responsabilitățile personalului implicat în derularea contractului a concluzionat ca resursele umane, implicate în îndeplinirea contractului sunt suficiente și adecvate pentru proiectarea și execuția lucrărilor conform Programului de lucrări propus. Totodată, comisia de evaluare a înțeles modul în care respectiva echipa conlucrează pentru ducerea la îndeplinire a contractului.</w:t>
      </w:r>
    </w:p>
    <w:p>
      <w:pPr>
        <w:pStyle w:val="Frspaiere1"/>
        <w:rPr/>
      </w:pPr>
      <w:bookmarkStart w:name="bookmark14" w:id="19"/>
      <w:bookmarkEnd w:id="19"/>
      <w:r>
        <w:rPr>
          <w:rStyle w:val="Fontdeparagrafimplicit1"/>
        </w:rPr>
        <w:tab/>
        <w:t>Referitor la critica privind ,,întocmi rea graficului Gantt cu nerespectarea prescripțiilor punctului 4.4.1 din fișa de date” comisia de evaluare constatată că din graficul prezentat la pag. 414-525 (din propunerea tehnică) nivelul de detaliere cuprinde categoriile de servicii/lucrări, așa cum au fost descrise în Formularul nr. 11. ,,Programul de Execuție” (graficul) transmis de ofertant a fost alcătuit din activitățile necesare pentru executarea Contractului, conform cerințelor autorității contractante și a fost prezentat într-o structură ce permite identificarea următoarelor:</w:t>
      </w:r>
    </w:p>
    <w:p>
      <w:pPr>
        <w:pStyle w:val="Frspaiere1"/>
        <w:rPr/>
      </w:pPr>
      <w:r>
        <w:rPr>
          <w:rStyle w:val="Fontdeparagrafimplicit1"/>
        </w:rPr>
        <w:tab/>
        <w:t>- nivelul de detaliu al activităților a fost ales astfel încât durata acestora nu este mai mare de 30 zile calendaristice (luna) așa cum reiese și se poate observa la pag. 422-430.</w:t>
      </w:r>
    </w:p>
    <w:p>
      <w:pPr>
        <w:pStyle w:val="Frspaiere1"/>
        <w:rPr/>
      </w:pPr>
      <w:r>
        <w:rPr>
          <w:rStyle w:val="Fontdeparagrafimplicit1"/>
        </w:rPr>
        <w:tab/>
        <w:t>- durata activităților a fost exprimată în zile (days), luând în considerare: cantitatea de lucrare, dimensiunea frontului de lucru, numărul de resurse umane și Utilaje, productivitatea resurselor așa cum reiese și se poate observa la pag. 414- 417.</w:t>
      </w:r>
    </w:p>
    <w:p>
      <w:pPr>
        <w:pStyle w:val="Frspaiere1"/>
        <w:rPr/>
      </w:pPr>
      <w:r>
        <w:rPr>
          <w:rStyle w:val="Fontdeparagrafimplicit1"/>
        </w:rPr>
        <w:tab/>
        <w:t>De asemenea, cu privire la lipsa evidențierii punctelor cheie (jaloanele) în execuția contractului, comisia de evaluare a constatat că acestea au fost identificate cu simbol specific (milestone) (vezi pag. 430). Punctele cheie (jaloanele) se regăsesc la pag. 414, 415, 417 pe coloana din dreapta la rublica Milestone și notate cu notația „YES" precum și în graficul de la 422-430 cu simbol specific (romb) conform legendei. Acestea sunt: Ordin administrativ de începere a activității de proiectare; Predare/primire amplasament; Recepție proiect; Ordin administrativ de începere a execuției lucrărilor; Anunț terminare lucrări.</w:t>
      </w:r>
    </w:p>
    <w:p>
      <w:pPr>
        <w:pStyle w:val="Frspaiere1"/>
        <w:rPr/>
      </w:pPr>
      <w:r>
        <w:rPr>
          <w:rStyle w:val="Fontdeparagrafimplicit1"/>
        </w:rPr>
        <w:tab/>
        <w:t>Privind perioada de iarnă declarată, cuprinsa intre 15.11 - 15.03, ofertantul declarat câștigător menționează la pag. 417 că, în această perioadă, pentru lucrările desfășurate se vor adopta măsuri specifice de organizare, execuție și protecție. Totodată, ofertantul menționează că datele calendaristice prezentate în graficul aferent programului de lucru urmează a fi actualizate în funcție de data semnării contractului, primirea ordinului de începere a serviciilor de proiectare și primirea ordinului de începere a lucrărilor de execuție.</w:t>
      </w:r>
    </w:p>
    <w:p>
      <w:pPr>
        <w:pStyle w:val="Frspaiere1"/>
        <w:rPr/>
      </w:pPr>
      <w:r>
        <w:rPr>
          <w:rStyle w:val="Fontdeparagrafimplicit1"/>
        </w:rPr>
        <w:tab/>
        <w:t>Referitor la criticile aduse cu privire la lipsa documentelor privind utilajele propuse pentru execuția contractului depuse de către ofertantul câștigător, face precizarea că acestea nu au fost solicitate în mod expres nici prin fișa de date, nici prin caietul de sarcini. Cu toate acestea, ofertantul declarat câștigător a prezentat în cadrul propunerii tehnice lista cu utilajele pe care le deține de la pag. 690-696. Acest aspect, poate fi verificat, în SEAP, in oferta tehnica, semnata electronic, care nu a suferit modificări sau adăugiri, spre „surprinderea” contestatoarei.</w:t>
      </w:r>
    </w:p>
    <w:p>
      <w:pPr>
        <w:pStyle w:val="Frspaiere1"/>
        <w:rPr/>
      </w:pPr>
      <w:r>
        <w:rPr>
          <w:rStyle w:val="Fontdeparagrafimplicit1"/>
        </w:rPr>
        <w:tab/>
        <w:t>Cu privire la lipsa Manualului calității, autoritatea contractantă a solicitat la punctul 3. Cap. IV.4.1 Modul de prezentare al propunerii tehnice, prezentarea abordării generale și metodologiei pentru realizarea activităților din cadrul contractului (proiectarea și executarea lucrărilor) făcând precizarea că „Nu se va întocmi și atașa la oferta tehnică Planul calității sau Programul de control calitativ, verificări și încercări”.</w:t>
      </w:r>
    </w:p>
    <w:p>
      <w:pPr>
        <w:pStyle w:val="Frspaiere1"/>
        <w:rPr/>
      </w:pPr>
      <w:r>
        <w:rPr>
          <w:rStyle w:val="Fontdeparagrafimplicit1"/>
        </w:rPr>
        <w:tab/>
        <w:t>Ofertantul declarat câștigător a prezentat modul în care planul de management a) calității va asigura nivelul necesar de calitate al rezultatelor sale și al proceselor de lucru prin prezentarea abordării generale și metodologiei pentru realizarea activităților de proiectare din cadrul contractului de la pag. 24-27. Totodată, ofertantul declarat câștigător a prezentat modul în care planul de management al calității va asigura nivelul necesar de calitate al rezultatelor sale și al proceselor de lucru prin prezentarea abordării generale și metodologiei pentru realizarea activităților din cadrul contractului executarea lucrărilor de la pag. 301 - 409.</w:t>
      </w:r>
    </w:p>
    <w:p>
      <w:pPr>
        <w:pStyle w:val="Frspaiere1"/>
        <w:rPr/>
      </w:pPr>
      <w:r>
        <w:rPr>
          <w:rStyle w:val="Fontdeparagrafimplicit1"/>
        </w:rPr>
        <w:tab/>
        <w:t>Comisia de evaluare a avut în vedere principiul tratamentului egal și al transparenței, potrivit art. 2 alin. 2 din Legea nr. 98/2016 privind achizițiile publice. Astfel, pentru respectarea celor două principii menționate, comisia de evaluare a ținut seama și de principiul proporționalității, care impune ca, în cazul în care este posibilă o alegere între mai multe măsuri adecvate, trebuie să se recurgă la cea mai puțin constrângătoare, iar inconvenientele cauzate nu trebuie să fie disproporționate în raport cu scopurile urmărite. Acest principiu impune autorității/entității contractante - atunci când aceasta se confruntă cu o ofertă care conține aspecte neclare, iar o cerere de precizări/clarificări cu privire la conținutul ofertei menționate ar putea asigura securitatea juridică în același mod precum respingerea imediată a ofertei în cauză - să solicite precizări ofertantului vizat, mai degrabă decât să opteze pentru respingerea imediată a ofertei acestuia.</w:t>
      </w:r>
    </w:p>
    <w:p>
      <w:pPr>
        <w:pStyle w:val="Frspaiere1"/>
        <w:rPr/>
      </w:pPr>
      <w:r>
        <w:rPr>
          <w:rStyle w:val="Fontdeparagrafimplicit1"/>
        </w:rPr>
        <w:tab/>
        <w:t>De asemenea, referitor la corectarea erorilor tehnice sau omisiunilor din cadrul ofertelor, facem precizarea că, aceasta a fost susținută în mod neechivoc de sensul și conținutul altor informații existente inițial în cadrul ofertei, așa cu a fost detaliat în procesul verbal de reevaluare tehnică. Astfel, corectarea acestora a fost posibilă, neîncadrându-se în prevederile art. 134 alin. 9 din HG 395/2016.</w:t>
      </w:r>
    </w:p>
    <w:p>
      <w:pPr>
        <w:pStyle w:val="Frspaiere1"/>
        <w:rPr/>
      </w:pPr>
      <w:r>
        <w:rPr>
          <w:rStyle w:val="Fontdeparagrafimplicit1"/>
        </w:rPr>
        <w:tab/>
        <w:t>Așadar, comisia de evaluare a aplicat întocmai prevederile legale în domeniu,  cu respectarea tuturor principiilor ce stau la baza derulării unei proceduri de atribuire a unui contract de achiziție publică.</w:t>
      </w:r>
    </w:p>
    <w:p>
      <w:pPr>
        <w:pStyle w:val="Frspaiere1"/>
        <w:rPr/>
      </w:pPr>
      <w:r>
        <w:rPr>
          <w:rStyle w:val="Fontdeparagrafimplicit1"/>
        </w:rPr>
        <w:tab/>
        <w:t>Având în vedere argumentele prezentate, considerentele legale invocate, s-a solicitat respingerea  plângerii formulată de către SC P1 SRL ca nefondată.</w:t>
      </w:r>
    </w:p>
    <w:p>
      <w:pPr>
        <w:pStyle w:val="Frspaiere1"/>
        <w:rPr/>
      </w:pPr>
      <w:r>
        <w:rPr>
          <w:rStyle w:val="Fontdeparagrafimplicit1"/>
        </w:rPr>
        <w:tab/>
        <w:t>În drept şi-a întemeiat întâmpinarea pe prevederile art. 31 alin.(2) din Legea nr. 101/2016.</w:t>
      </w:r>
    </w:p>
    <w:p>
      <w:pPr>
        <w:pStyle w:val="Frspaiere1"/>
        <w:ind w:firstLine="709"/>
        <w:rPr/>
      </w:pPr>
      <w:r>
        <w:rPr>
          <w:rStyle w:val="Fontdeparagrafimplicit1"/>
          <w:b/>
          <w:i/>
        </w:rPr>
        <w:t xml:space="preserve">Intimata SC ... DE A1 S.A., a formulat întâmpinare </w:t>
      </w:r>
      <w:r>
        <w:rPr>
          <w:rStyle w:val="Fontdeparagrafimplicit1"/>
        </w:rPr>
        <w:t>prin care a solicitat să se constate că decizia atacată</w:t>
      </w:r>
      <w:r>
        <w:rPr>
          <w:rStyle w:val="Fontdeparagrafimplicit1"/>
          <w:b/>
          <w:i/>
        </w:rPr>
        <w:t xml:space="preserve"> </w:t>
      </w:r>
      <w:r>
        <w:rPr>
          <w:rStyle w:val="Fontdeparagrafimplicit1"/>
        </w:rPr>
        <w:t>este temeinică și legală, iar plângerea formulată de SC P1 SRL este întemeiată pe considerente străine regulilor și cerințelor documentației de atribuire, dar și a dispozițiilor legale imperative și exprese incidente și astfel a dispune respingerea, ca neîntemeiată, a plângerii pendinte corespunzător următoarelor motive:</w:t>
      </w:r>
    </w:p>
    <w:p>
      <w:pPr>
        <w:pStyle w:val="Frspaiere1"/>
        <w:rPr/>
      </w:pPr>
      <w:r>
        <w:rPr>
          <w:rStyle w:val="Fontdeparagrafimplicit1"/>
        </w:rPr>
        <w:tab/>
        <w:t>Rezultatul procedurii de atribuire a făcut obiectul unor căi succesive de atac, relevantă fiind cea soluționată prin DECIZIA civilă nr. DC1/..., pronunțată de CURTEA DE APEL .., Secția contencios administrativ și fiscal, la data de ...., în Dosarul nr. D2, prin care Decizia nr. …7 din data de 13 iunie 2023, pronunțată de Consiliul Național de Soluționare a Contestațiilor, a fost modificată în sensul că au fost admise plângerile conexate formulate de petentele P1 S.R.L. și ... de A1 S.A. ~ lider al asocierii ... de A1 S.A.-B1 S.R.L.-F1 S.R.L., în contradictoriu cu intimații G1 S.A.-lider al asocierii G1 S.A.-J1 S.R.L.- H1 S.R.L. ~ ofertant declarat inițial câștigător, și JUDEŢUL... - autoritate contractantă.</w:t>
      </w:r>
    </w:p>
    <w:p>
      <w:pPr>
        <w:pStyle w:val="Frspaiere1"/>
        <w:rPr/>
      </w:pPr>
      <w:r>
        <w:rPr>
          <w:rStyle w:val="Fontdeparagrafimplicit1"/>
        </w:rPr>
        <w:tab/>
        <w:t>Rezultatul procedurii a fost anulat, iar autoritatea contractantă a fost „obligată la reluarea procedurii de atribuire prin reevaluarea ofertelor patentei ... de A1 S.A și a intimatei G1 … S.A. de la etapa verificării conformității acestora.</w:t>
      </w:r>
    </w:p>
    <w:p>
      <w:pPr>
        <w:pStyle w:val="Frspaiere1"/>
        <w:rPr>
          <w:i/>
          <w:i/>
        </w:rPr>
      </w:pPr>
      <w:r>
        <w:rPr>
          <w:rStyle w:val="Fontdeparagrafimplicit1"/>
        </w:rPr>
        <w:tab/>
        <w:t>Considerentele pentru care Curtea a dispus reevaluarea ofertei intimatei - Asocierea ... de A1 S.A. - B1 S.R.L. - F1 S.R.L au fost cele reținute în motivarea Deciziei nr. DC1/..., textual, astfel:</w:t>
      </w:r>
    </w:p>
    <w:p>
      <w:pPr>
        <w:pStyle w:val="Frspaiere1"/>
        <w:rPr/>
      </w:pPr>
      <w:r>
        <w:rPr>
          <w:rStyle w:val="Fontdeparagrafimplicit1"/>
        </w:rPr>
        <w:tab/>
        <w:t>„ Totodată va analiza și criticile de neconformitate ale petentei SC P1 SA privind neconformitatea ofertei depuse de Asocierea ... de A1 S.A, care nu au fost analizate de către CNSC. referitoare la faptul că oferta tehnică depusă de ... de A1 nu îndeplinește toate exigențele documentației de atribuire, din cuprinsul acesteia lipsind informațiile/documentele solicitate la punctul 5 de la Cap. IV. 1.1 din Fișa de date a achiziției și că aceasta conține în cadrul propunerii financiare prețuri care nu sunt rezultatul liberei concurențe și care nu pot fi justificate”.</w:t>
      </w:r>
    </w:p>
    <w:p>
      <w:pPr>
        <w:pStyle w:val="Frspaiere1"/>
        <w:rPr/>
      </w:pPr>
      <w:r>
        <w:rPr>
          <w:rStyle w:val="Fontdeparagrafimplicit1"/>
        </w:rPr>
        <w:tab/>
        <w:t>În urma reevaluării ofertelor dispusă prin decizia instanței de control judiciar antemenționată, autoritatea contractantă a menținut rezultatul inițial al procedurii de atribuire, în sensul că oferta depusă de către G1 S.A.-lider al asocierii G1 S.A.-J1 S.R.L.- H1 S.R.L. a fost declarată, din nou, câștigătoare, clasamentul inițial al ofertelor fiind menținut în forma sa inițială, în sensul că: oferta petentei P1 SRL s-a situat pe locul 3 în clasamentul ofertelor întocmit în urma aplicării criteriului de atribuire a contractului „cel mai bun raport calitate- preț", cu un punctaj de 84,92 puncte, oferta comună a asocierii noastre s-a clasat pe locul 2, cu un punctaj de 93,20 puncte, iar ocupantă a locului 1 și câștigătoare a fost declarată oferta depusă de Asocierea S.C. G1 S.A. &amp; S.C. H1 S.R.L. &amp; S.C. J1 S.R.L, cu punctajul maxim de 100 puncte.</w:t>
      </w:r>
    </w:p>
    <w:p>
      <w:pPr>
        <w:pStyle w:val="Frspaiere1"/>
        <w:rPr/>
      </w:pPr>
      <w:r>
        <w:rPr>
          <w:rStyle w:val="Fontdeparagrafimplicit1"/>
        </w:rPr>
        <w:tab/>
        <w:t>Împotriva deciziei autorității contractante de menținere, după reevaluarea ofertelor, a rezultatului inițial al procedurii de atribuire și declararea admisibilă si câștigătoare a aceleiași oferte depusă de Asocierea S.C. G1 S.Ă. &amp; S.C. H1 S.R.L. &amp; S.C. J1 S.R.L., decizie emisă prin ignorarea deciziei  civile nr. DC1/..., în a cărei motivare instanța a reținut că: „în analiza Consiliului nu s-au verificat în mod punctual aceste critici privind neîncărcarea în SEAP a unei parţi din documentația tehnică, ci doar tangențial, prin referiri la diverse clarificări ulterioare, încât era necesar a fi analizate aceste critici, deoarece aspectele semnalate pot atrage incidența asupra ofertei respective a dispozițiilor art. 215 alin. (4) din Lega nr. 98/2016 și pe cele ale art. 137 alin. (3) lit. a) din HG nr. 395/2016", decizie care își consolidase autoritatea de lucru judecat în cauză, asocierea  a promovat contestație la CNSC.</w:t>
      </w:r>
    </w:p>
    <w:p>
      <w:pPr>
        <w:pStyle w:val="Frspaiere1"/>
        <w:rPr/>
      </w:pPr>
      <w:r>
        <w:rPr>
          <w:rStyle w:val="Fontdeparagrafimplicit1"/>
        </w:rPr>
        <w:tab/>
        <w:t>Susţine că în mod similar, și SC P1 SRL a promovat contestație, prin care însă, suplimentar față de criticile referitoare la oferta menținută ca fiind câștigătoare, a formulat critici și cu privire la oferta acesteia , a cărei înlăturare din procedură o dorea, fiind mai bine clasată decât oferta sa și astfel să poată beneficia ea însăși de adjudecarea contractului.</w:t>
      </w:r>
    </w:p>
    <w:p>
      <w:pPr>
        <w:pStyle w:val="Frspaiere1"/>
        <w:rPr>
          <w:i/>
          <w:i/>
        </w:rPr>
      </w:pPr>
      <w:r>
        <w:rPr>
          <w:rStyle w:val="Fontdeparagrafimplicit1"/>
        </w:rPr>
        <w:tab/>
        <w:t>Cele două contestații au fost soluționate conexat prin Decizia nr. ...4, pronunțată de către Consiliul Național de Soluționare a Contestațiilor la data de 26.02.2024, atacată cu plângerea din cauză de către SC P1 SRL.</w:t>
      </w:r>
    </w:p>
    <w:p>
      <w:pPr>
        <w:pStyle w:val="Frspaiere1"/>
        <w:rPr/>
      </w:pPr>
      <w:r>
        <w:rPr>
          <w:rStyle w:val="Fontdeparagrafimplicit1"/>
        </w:rPr>
        <w:tab/>
        <w:t xml:space="preserve">Susţine că </w:t>
        <w:tab/>
        <w:t>Decizia Consiliului nr. ....1 din 26.02.2024 este temeinică și legală inclusiv sub aspectul respingerii criticilor formulate de către SC P1 SRL cu privire la pretinsele aspecte de neconformitate ale ofertei asocierii noastre, în motivarea respectivei decizii fiind reținut după cum urmează:</w:t>
      </w:r>
    </w:p>
    <w:p>
      <w:pPr>
        <w:pStyle w:val="Frspaiere1"/>
        <w:rPr/>
      </w:pPr>
      <w:r>
        <w:rPr>
          <w:rStyle w:val="Fontdeparagrafimplicit1"/>
        </w:rPr>
        <w:tab/>
        <w:t>”În ceea ce privește criticile din contestația P1 SRL, referitoare la admisibilitatea ofertei clasate pe locui 2, respectiv oferta asocierii ... DE A1 SA - B1 SRL - F1, Consiliul reține următoarele:</w:t>
      </w:r>
    </w:p>
    <w:p>
      <w:pPr>
        <w:pStyle w:val="Frspaiere1"/>
        <w:rPr/>
      </w:pPr>
      <w:r>
        <w:rPr>
          <w:rStyle w:val="Fontdeparagrafimplicit1"/>
        </w:rPr>
        <w:tab/>
        <w:t>Prin contestația depusă P1 SRL critică admisibilitatea ofertei clasate pe locul 2 susținând că autoritatea contractantă nu a pus în aplicare Hotărârea nr. DC1… a Curții de Apel …, definitivă și obligatorie, în ceea ce privește reevaluarea ofertei asocierii ... DE A1 SA - B1 SRL - F1.</w:t>
      </w:r>
    </w:p>
    <w:p>
      <w:pPr>
        <w:pStyle w:val="Frspaiere1"/>
        <w:rPr/>
      </w:pPr>
      <w:r>
        <w:rPr>
          <w:rStyle w:val="Fontdeparagrafimplicit1"/>
        </w:rPr>
        <w:tab/>
        <w:t>Consiliul reține că în considerentele hotărârii antemenționate instanța de control judiciara precizat următoarele:</w:t>
      </w:r>
    </w:p>
    <w:p>
      <w:pPr>
        <w:pStyle w:val="Frspaiere1"/>
        <w:rPr/>
      </w:pPr>
      <w:r>
        <w:rPr>
          <w:rStyle w:val="Fontdeparagrafimplicit1"/>
        </w:rPr>
        <w:tab/>
        <w:t>„Totodată va analiza si criticile de neconformitate ale patentei SC P1 SA privind neconformitatea ofertei depuse de Asocierea ... de A1 S.A, care nu au fost analizate de către CNSC, referitoare la faptul că oferta tehnică depusă de ... de A1 nu îndeplinește toate exigențele documentației de atribuire, din cuprinsul acesteia lipsind informațiile/documentele solicitate la punctul 5 de la Cap. IV. 1.1 din Fișa de date a achiziției și că aceasta conține în cadrul propunerii financiare prețuri care nu sunt rezultatul liberei concurențe și care nu pot fi justificate".</w:t>
      </w:r>
    </w:p>
    <w:p>
      <w:pPr>
        <w:pStyle w:val="Frspaiere1"/>
        <w:rPr/>
      </w:pPr>
      <w:r>
        <w:rPr>
          <w:rStyle w:val="Fontdeparagrafimplicit1"/>
        </w:rPr>
        <w:tab/>
        <w:t>Prin urmare, prin decizia instanței s-a dispus autorității contractante să analizeze ea însăși criticile formulate de P1 SRL cu privire la oferta competitorului său, critici care au vizat două aspecte:</w:t>
      </w:r>
    </w:p>
    <w:p>
      <w:pPr>
        <w:pStyle w:val="Frspaiere1"/>
        <w:rPr/>
      </w:pPr>
      <w:r>
        <w:rPr>
          <w:rStyle w:val="Fontdeparagrafimplicit1"/>
        </w:rPr>
        <w:tab/>
        <w:t>- un prim aspect constituit de afirmația contestatorului P1 SRL corespunzător căruia „oferta tehnică depusă de ... de A1 nu îndeplinește toate exigențele documentației de atribuire, din cuprinsul acesteia lipsind informațiile/documentele solicitate la punctul 5 de la Cap. IV. 1.1 din Fișa de date a achiziției</w:t>
      </w:r>
    </w:p>
    <w:p>
      <w:pPr>
        <w:pStyle w:val="Frspaiere1"/>
        <w:rPr/>
      </w:pPr>
      <w:r>
        <w:rPr>
          <w:rStyle w:val="Fontdeparagrafimplicit1"/>
        </w:rPr>
        <w:tab/>
        <w:t>- un aspect secund conform căruia oferta asocierii ... DE A1 SA - B1 SRL - F1 ar putea „conține în cadrul propunerii financiare prețuri care nu sunt rezultatul liberei concurențe și care nu pot fi justificate"».</w:t>
      </w:r>
    </w:p>
    <w:p>
      <w:pPr>
        <w:pStyle w:val="Frspaiere1"/>
        <w:rPr/>
      </w:pPr>
      <w:r>
        <w:rPr>
          <w:rStyle w:val="Fontdeparagrafimplicit1"/>
        </w:rPr>
        <w:tab/>
        <w:t>(8) Prin urmare, în condițiile în care Consiliul, în soluționarea contestației petentei SC P1 SRL, a reținut textual considerentele DECIZIEI civile nr, DC1/... „referitoare la faptul că oferta tehnică depusă de ... de A1” urma a se analiza în raport de „criticile de neconformitate ale petentei SC P1 SA privind neconformitatea ofertei depuse de Asocierea ... de A1 S.A, care nu au fost analizate de către CNSC", sintetizate sub cele două aspecte, pe care, spre deplină edificare, le-a reiterat:</w:t>
      </w:r>
    </w:p>
    <w:p>
      <w:pPr>
        <w:pStyle w:val="Frspaiere1"/>
        <w:rPr/>
      </w:pPr>
      <w:r>
        <w:rPr>
          <w:rStyle w:val="Fontdeparagrafimplicit1"/>
        </w:rPr>
        <w:tab/>
        <w:t>-un prim aspect constituit de afirmația contestatorului P1 SRL corespunzător căruia „oferta tehnică depusă de ... de A1 nu îndeplinește toate exigențele documentației de atribuire, din cuprinsul acesteia lipsind informațiile/documentele solicitate la punctul 5 de la Cap IV. 1.1 din Fișa de date a achiziției’:</w:t>
      </w:r>
    </w:p>
    <w:p>
      <w:pPr>
        <w:pStyle w:val="Frspaiere1"/>
        <w:rPr/>
      </w:pPr>
      <w:r>
        <w:rPr>
          <w:rStyle w:val="Fontdeparagrafimplicit1"/>
        </w:rPr>
        <w:tab/>
        <w:t>- un aspect secund conform căruia oferta asocierii ... DE A1 SA - B1 SRL - F1 ar putea „conține în cadrul propunerii financiare prețuri care nu sunt rezultatul liberei concurențe și care nu pot fi justificate",</w:t>
      </w:r>
    </w:p>
    <w:p>
      <w:pPr>
        <w:pStyle w:val="Frspaiere1"/>
        <w:rPr/>
      </w:pPr>
      <w:r>
        <w:rPr>
          <w:rStyle w:val="Fontdeparagrafimplicit1"/>
        </w:rPr>
        <w:tab/>
        <w:t xml:space="preserve">Afirmația petentei P1 SRL de ia pag. 21 din plângere conform căreia </w:t>
      </w:r>
      <w:r>
        <w:rPr>
          <w:rStyle w:val="Fontdeparagrafimplicit1"/>
          <w:sz w:val="18"/>
        </w:rPr>
        <w:t xml:space="preserve">„Or, </w:t>
      </w:r>
      <w:r>
        <w:rPr>
          <w:rStyle w:val="Fontdeparagrafimplicit1"/>
        </w:rPr>
        <w:t>concluzia Consiliului este cel puțin surprinzătoare, în condițiile în care NU a analizat niciuna din criticile formulate de P1” este profund și în mod evident evident neîntemeiată, contrară realității faptice dovedită de chiar conținutul deciziei atacate, prin care ambele aspecte sub care a fost dispusă reanalizarea ofertei noastre au fost în mod documentat analizate după cum urmează:.</w:t>
      </w:r>
    </w:p>
    <w:p>
      <w:pPr>
        <w:pStyle w:val="Frspaiere1"/>
        <w:rPr/>
      </w:pPr>
      <w:r>
        <w:rPr>
          <w:rStyle w:val="Fontdeparagrafimplicit1"/>
        </w:rPr>
        <w:tab/>
        <w:t>Consiliul reține că susținerile contestatorului se bazează pe sintagma regăsită la pct. 5 a! cap. IV.4.1 al fișei de date a achiziției, conform căreia „Ofertantul trebuie sa faca dovada unei planificări realiste a activităților in perioada de derulare a contractului (de exemplu proporționalitate intre complexitatea activităților si timpul necesar pentru îndeplinirea acestora, sincronizarea activităților propuse luând in considerare timpul necesar mobiipâm resurselor si utilizarea resurselor alocate pentru fiecare activitate, pentru atingerea obiectivelor contractului)’</w:t>
      </w:r>
      <w:r>
        <w:rPr>
          <w:rStyle w:val="Fontdeparagrafimplicit1"/>
          <w:vertAlign w:val="superscript"/>
        </w:rPr>
        <w:t>1</w:t>
      </w:r>
      <w:r>
        <w:rPr>
          <w:rStyle w:val="Fontdeparagrafimplicit1"/>
        </w:rPr>
        <w:t>.</w:t>
      </w:r>
    </w:p>
    <w:p>
      <w:pPr>
        <w:pStyle w:val="Frspaiere1"/>
        <w:rPr/>
      </w:pPr>
      <w:r>
        <w:rPr>
          <w:rStyle w:val="Fontdeparagrafimplicit1"/>
        </w:rPr>
        <w:tab/>
        <w:t>Din conținutul acestui text, Consiliul a observat că nu s-a impus suprascrierea resurselor pe graficul Gantt, partea de asigurare a resurselor fiind constituită de părți și capitole distincte ale propunerii tehnice - elaborate în acord cu prevederile documentației de atribuire.</w:t>
      </w:r>
    </w:p>
    <w:p>
      <w:pPr>
        <w:pStyle w:val="Frspaiere1"/>
        <w:rPr/>
      </w:pPr>
      <w:r>
        <w:rPr>
          <w:rStyle w:val="Fontdeparagrafimplicit1"/>
        </w:rPr>
        <w:tab/>
        <w:t>De asemeni, se reține că prin Răspunsul consolidat la clarificări nr. …0/20 01.2023. capitolul „Solicitarea de clarificări nr. 3 postată în SE AP la data de 12.01.2023, înregistrată sub nr. ..2/12.01.2023”, au fost precizate următoarele (întrebarea nr. 3 și răspunsul aferent)</w:t>
      </w:r>
    </w:p>
    <w:p>
      <w:pPr>
        <w:pStyle w:val="Frspaiere1"/>
        <w:rPr/>
      </w:pPr>
      <w:r>
        <w:rPr>
          <w:rStyle w:val="Fontdeparagrafimplicit1"/>
        </w:rPr>
        <w:tab/>
        <w:t>„3. Având in vedere cerințele precizate in Fisa de Date punctul IV.4.1 Modul de prezentare a propunerii tehnice , pct. 5 referitor la Grafic va rugam sa clarificați armatoarele: - Care este nivelul de detaliere solicitat pentru programul de lucrări? Mai exact, care din punctele solicitate la clauza 17 subclauza 17.2 trebuie prezentate in aceasta etapa?</w:t>
      </w:r>
    </w:p>
    <w:p>
      <w:pPr>
        <w:pStyle w:val="Frspaiere1"/>
        <w:rPr/>
      </w:pPr>
      <w:r>
        <w:rPr>
          <w:rStyle w:val="Fontdeparagrafimplicit1"/>
        </w:rPr>
        <w:tab/>
        <w:t>Activitățile necesare pentru executarea contractului conform Cerințelor Beneficiarului (nivelul de detaliere al activităților) este cei prezentat in formularele 11 si 12?",</w:t>
      </w:r>
    </w:p>
    <w:p>
      <w:pPr>
        <w:pStyle w:val="Frspaiere1"/>
        <w:rPr/>
      </w:pPr>
      <w:r>
        <w:rPr>
          <w:rStyle w:val="Fontdeparagrafimplicit1"/>
        </w:rPr>
        <w:tab/>
        <w:t>Răspunsul autorității contractante a fost următorul: „3. Programul de lucrări va cuprinde cel puțin următoarele informații: planificarea lucrărilor, succesiunea si durata activitatiior, luandu-se in considerare si timpul necesar pentru mobilizare, cu evidențierea momentelor semnificative ale proiectului, in raport cu necesitatea atingerii rezultatelor, lucrările permanente si temporare ce urmează să fie executate.</w:t>
      </w:r>
    </w:p>
    <w:p>
      <w:pPr>
        <w:pStyle w:val="Frspaiere1"/>
        <w:rPr/>
      </w:pPr>
      <w:r>
        <w:rPr>
          <w:rStyle w:val="Fontdeparagrafimplicit1"/>
        </w:rPr>
        <w:tab/>
        <w:t xml:space="preserve">Programul de lucrări trebuie sa ilustreze succesiunea tehnologica de realizare a lucrărilor, ordinea si derularea in timp a activităților pe care ofertantul își propune sa le îndeplinească pentru realizarea </w:t>
      </w:r>
      <w:r>
        <w:rPr>
          <w:rStyle w:val="Fontdeparagrafimplicit1"/>
          <w:color w:val="000000"/>
        </w:rPr>
        <w:t>lucrărilor, in special:</w:t>
      </w:r>
    </w:p>
    <w:p>
      <w:pPr>
        <w:pStyle w:val="Frspaiere1"/>
        <w:rPr/>
      </w:pPr>
      <w:r>
        <w:rPr>
          <w:rStyle w:val="Fontdeparagrafimplicit1"/>
        </w:rPr>
        <w:tab/>
        <w:t>- lucrările permanente si temporare ce urmează sa fie executate,- activitățile de interfatare cu lucrările existente si operarea acestora, după caz (daca este inclusa asemenea solicitare in caietul de sarcini);</w:t>
      </w:r>
    </w:p>
    <w:p>
      <w:pPr>
        <w:pStyle w:val="Frspaiere1"/>
        <w:rPr/>
      </w:pPr>
      <w:r>
        <w:rPr>
          <w:rStyle w:val="Fontdeparagrafimplicit1"/>
        </w:rPr>
        <w:tab/>
        <w:t>- secvențierea, derularea in timp si durata testelor, cu evidențierea clara a activităților incluse in procesele de asigurare, respectiv de control al calității, conform legislației specifice corespunzătoare obiectului contractului;</w:t>
      </w:r>
    </w:p>
    <w:p>
      <w:pPr>
        <w:pStyle w:val="Frspaiere1"/>
        <w:rPr/>
      </w:pPr>
      <w:r>
        <w:rPr>
          <w:rStyle w:val="Fontdeparagrafimplicit1"/>
        </w:rPr>
        <w:tab/>
        <w:t>- denumirea activităților si subactivitatilor aferente, durata acestora, cu evidențierea punctelor cheie (jaloanele) in execuția contractului;</w:t>
      </w:r>
    </w:p>
    <w:p>
      <w:pPr>
        <w:pStyle w:val="Frspaiere1"/>
        <w:rPr/>
      </w:pPr>
      <w:r>
        <w:rPr>
          <w:rStyle w:val="Fontdeparagrafimplicit1"/>
        </w:rPr>
        <w:tab/>
        <w:t>- programul de lucrări va include toate categoriile de servicii/lucrări, asa cum au fost descrise in Formularul nr. 11.</w:t>
      </w:r>
    </w:p>
    <w:p>
      <w:pPr>
        <w:pStyle w:val="Frspaiere1"/>
        <w:rPr/>
      </w:pPr>
      <w:r>
        <w:rPr>
          <w:rStyle w:val="Fontdeparagrafimplicit1"/>
        </w:rPr>
        <w:tab/>
        <w:t>Pentru a putea fi detaliat conform clauzei 17 din condiții generale Nivelul de detaliu al activităților va fi ales astfel încât durata acestora să nu fie mai mare de 30 de zile calendaristice”.</w:t>
      </w:r>
    </w:p>
    <w:p>
      <w:pPr>
        <w:pStyle w:val="Frspaiere1"/>
        <w:rPr/>
      </w:pPr>
      <w:r>
        <w:rPr>
          <w:rStyle w:val="Fontdeparagrafimplicit1"/>
        </w:rPr>
        <w:tab/>
        <w:t>Astfel, prin acest răspuns, în conținutul graficului nu se regăsește nicio referire la materializare de resurse pe grafic, fiind evident că documentația de atribuire nu a impus nicio regulă de suprascriere a resurselor pe graficul Gantt, susținerile P1 SRL fiind speculative.</w:t>
      </w:r>
    </w:p>
    <w:p>
      <w:pPr>
        <w:pStyle w:val="Frspaiere1"/>
        <w:rPr/>
      </w:pPr>
      <w:r>
        <w:rPr>
          <w:rStyle w:val="Fontdeparagrafimplicit1"/>
        </w:rPr>
        <w:tab/>
        <w:t>Consiliul reține că, prin răspunsul la clarificările solicitate în etapa de reevaluare a ofertelor, ofertantul asociere ... DE A1 SA - B1 SRL - DA VIDE EL BRAVO a precizat următoarele: „(...) prin niciunul dintre documentele achiziției, nici chiar prin conținutul pct. IV. 4.1. al fișei de date, citat și invocat în solicitarea de clarificări, NU s-a impus vreo regulă sau cerință prin care să se fi impus materializarea/suprascrierea în graficul Gantt a resurselor alocate.</w:t>
      </w:r>
    </w:p>
    <w:p>
      <w:pPr>
        <w:pStyle w:val="Frspaiere1"/>
        <w:rPr/>
      </w:pPr>
      <w:r>
        <w:rPr>
          <w:rStyle w:val="Fontdeparagrafimplicit1"/>
        </w:rPr>
        <w:tab/>
        <w:t>Astfel, „dovada planificării realiste a activităților in perioada de derulare a contractului” - constituită de proporționalitatea dintre complexitatea activităților si timpul necesar pentru îndeplinirea acestora, sincronizarea activităților propuse luând in considerare timpul necesar mobilizării resurselor si utilizarea resurselor alocate pentru fiecare activitate pentru atingerea obiectivelor contractului, a fost constituită de prezentarea resurselor umane - numeric, personal, pe specialități, calificări și profesii, iar a resurselor tehnice prin prezentarea acestora pe tipuri și mărci însoțite de fișele tehnice de performanță, cantitățile de resurse fibrei rezultate din rapoartele de încărcare generate pe baza calculelor specifice de către soft- urile de specialitate induse de programul de calcul al devizelor și graficului de execuție.</w:t>
      </w:r>
    </w:p>
    <w:p>
      <w:pPr>
        <w:pStyle w:val="Frspaiere1"/>
        <w:rPr/>
      </w:pPr>
      <w:r>
        <w:rPr>
          <w:rStyle w:val="Fontdeparagrafimplicit1"/>
        </w:rPr>
        <w:tab/>
        <w:t>Programul de lucrări din propunerea noastră tehnică - pag. 310 - 366 - ilustrează succesiunea tehnologica de realizare a lucrărilor, ordinea si derularea in timp a activităților pe care noi le-am propus spre îndeplinire pentru realizarea lucrărilor? toate respectivele aspecte fiind planificate în timp în strictă concordanță cu resursele implicate în derularea contractului.</w:t>
      </w:r>
    </w:p>
    <w:p>
      <w:pPr>
        <w:pStyle w:val="Frspaiere1"/>
        <w:rPr/>
      </w:pPr>
      <w:r>
        <w:rPr>
          <w:rStyle w:val="Fontdeparagrafimplicit1"/>
        </w:rPr>
        <w:tab/>
        <w:t>Pentru deplină edificare, atașăm prezentului răspuns Rapoartele de încărcare pe categorii de resurse și activități (histogramele de resurse) care au stat la baza întocmirii planificări) execuției lucrărilor, care însă nu au fost incluse în propunerea tehnică, deoarece acestea nu au fost solicitate prin documentația de atribuire.</w:t>
      </w:r>
    </w:p>
    <w:p>
      <w:pPr>
        <w:pStyle w:val="Frspaiere1"/>
        <w:rPr/>
      </w:pPr>
      <w:r>
        <w:rPr>
          <w:rStyle w:val="Fontdeparagrafimplicit1"/>
        </w:rPr>
        <w:tab/>
        <w:t>Totuși, luând în considerare faptul că, din motivarea Deciziei civile nr. DC1/... - penultimul paragraf - pronunțată de Curtea de Apel … la data de .... în Dosarul nr. D2, poate transpare concluzia că propunerea noastră tehnică nu ar fi răspuns integral cerințelor pct. 5 ai cap. IV. 4.1 din fișa de date, suplimentar față de cele ante menționate, chiar dacă documentația de atribuire nu a impus o astfel de regulă, depunem Graficul Gantt completat cu înscrierea/suprascrierea pe acesta a resurselor repartizate pe fiecare activitate, aspect sub care oferta noastră nu suferă nicio modificare, operațiunea de suprascriere antemenționată fiind doar o completare formală și de confirmare, care întrunește condițiile 135 alin. (3) din HG nr. 395/2016 - „omisiuni din cadrul unui document (...) a căror corectare/completare are rol de clarificare sau de confirmare, nefiind susceptibile de a produce un avantaj incorect în raport cu ceilalți participant la procedura de atribuire'', astfel completarea graficului la modul posibil a se înțelege a fi fost pretins putând fi cel mult un viciu de formă, cu a cărui corectare suntem de acord prin depunerea graficului completat/suprascris în condițiile antemenționate”.</w:t>
      </w:r>
    </w:p>
    <w:p>
      <w:pPr>
        <w:pStyle w:val="Frspaiere1"/>
        <w:rPr/>
      </w:pPr>
      <w:r>
        <w:rPr>
          <w:rStyle w:val="Fontdeparagrafimplicit1"/>
        </w:rPr>
        <w:tab/>
        <w:t>Răspunsul astfel formulat a fost apreciat de autoritatea contractantă ca fiind concludent, decizie pe care Consiliul o apreciază ca fiind întemeiată.</w:t>
      </w:r>
    </w:p>
    <w:p>
      <w:pPr>
        <w:pStyle w:val="Frspaiere1"/>
        <w:rPr/>
      </w:pPr>
      <w:r>
        <w:rPr>
          <w:rStyle w:val="Fontdeparagrafimplicit1"/>
        </w:rPr>
        <w:tab/>
        <w:t>Chiar și în situația în care autoritatea contractantă ar fi considerat necesar ca Graficul Gantt să conțină înscrierea pe acesta a resurselor repartizate pe fiecare activitate, precizările din răspunsul ia solicitările de clarificări acoperă această omisiune neputând constitui motiv de respingere al ofertei, în condițiile în care informațiile privind resursele necesare îndeplinirii contractului se regăseau în oferta inițiat depusă de asocierea ... DE A1 SA - B1 SRL - F1».</w:t>
      </w:r>
    </w:p>
    <w:p>
      <w:pPr>
        <w:pStyle w:val="Frspaiere1"/>
        <w:rPr/>
      </w:pPr>
      <w:r>
        <w:rPr>
          <w:rStyle w:val="Fontdeparagrafimplicit1"/>
        </w:rPr>
        <w:t xml:space="preserve"> </w:t>
      </w:r>
      <w:r>
        <w:rPr>
          <w:rStyle w:val="Fontdeparagrafimplicit1"/>
        </w:rPr>
        <w:tab/>
        <w:t>În situația în care autoritatea contractantă ar fi impus prezentarea unui instrument de planificare - grafic Gantt - care să fi conținut resursele suprascrise pe grafic, un atare aspect era supus prescripțiilor art. 154 alin. (1) din Legea nr. 98/2016 conform cărora: „(1) Autoritatea contractantă are obligația de a elabora documentația de atribuire care conține toate informațiile necesare pentru a asigura operatorilor economici o informare completă, corectă și precisă cu privire la cerințele achiziției, obiectul contractului și modul de desfășurare a procedurii de atribuire”, or după cum se poate constata din susținerile petentei, în documentația de atribuire nu există o informație corectă și precisă cu privire la impunerea vreunei suprascrieri de resurse pe grafic, o atare modalitate fiind doar o imaginare, un considerent sau o interpretare proprie a petentei conform căreia „dovada unei planificări realiste a activităților in perioada de derulare a contractului (de exemplu proportionalitate intre complexitatea activităților si timpul necesar pentru îndeplinirea acestora, sincronizarea activităților propuse luând in considerare timpul necesar mobilizării resurselor si utilizarea resurselor alocate pentru fiecare activitate, pentru atingerea obiectivelor contractului)" ar fi trebuit să fi fost constituită de suprascrierea resurselor pe grafic.</w:t>
      </w:r>
    </w:p>
    <w:p>
      <w:pPr>
        <w:pStyle w:val="Frspaiere1"/>
        <w:rPr/>
      </w:pPr>
      <w:r>
        <w:rPr>
          <w:rStyle w:val="Fontdeparagrafimplicit1"/>
        </w:rPr>
        <w:tab/>
        <w:t>Faptul că resursele nu trebuiau suprascrise pe grafic este confirmat suplimentar de teza a doua a cerinței nr. 2 a pct. IV.4.1 „Modul de prezentare a propunerii tehnice" al fișei de date în care se regăsește precizarea expresă conform căreia:</w:t>
      </w:r>
    </w:p>
    <w:p>
      <w:pPr>
        <w:pStyle w:val="Frspaiere1"/>
        <w:rPr/>
      </w:pPr>
      <w:r>
        <w:rPr>
          <w:rStyle w:val="Fontdeparagrafimplicit1"/>
        </w:rPr>
        <w:tab/>
        <w:t>„Ofertantul va prezenta organigrama echipei propuse pentru realizarea serviciilor de proiectare si pentru executarea lucrărilor, cu evidențierea rolurilor si responsabilităților in cadrul echipei, care sa identifice in mod clar tot personalul pe care ofertantul intenționează sa-l utilizeze atât pentru faza de proiectare si faza de execuție a lucrărilor. Din analiza organigramei Autoritatea contractanta trebuie sa constate ca resursele umane din organigrama, implicate in îndeplinirea contractului sunt suficiente si adecvate pentru proiectarea si execuția lucrărilor conform Programului de lucrări propus .</w:t>
      </w:r>
    </w:p>
    <w:p>
      <w:pPr>
        <w:pStyle w:val="Frspaiere1"/>
        <w:rPr/>
      </w:pPr>
      <w:r>
        <w:rPr>
          <w:rStyle w:val="Fontdeparagrafimplicit1"/>
        </w:rPr>
        <w:tab/>
        <w:t>Precizarea ipotetică a Consiliului conform căreia „Chiar și în situația în care autoritatea contractantă ar fi considerat necesar ca Graficul Gantt să conțină înscrierea pe acesta a resurselor repartizate pe fiecare activitate, precizările din răspunsul la solicitările de clarificări acoperă această omisiune neputând constitui motiv de respingere al ofertei, în condițiile în care informațiile privind resursele necesare îndeplinirii contractului se regăseau în oferta inițial depusă de asocierea ... DE A1 SA - B1 SRL - F1" este în acord cu jurisprudența instanțelor europene competente, sens în care prezintă relevanță hotărârile instanței de la Luxemburg în cauzele DP/ACER, F-34/14, EU:F:2015:82,punctul 29, Mendes/Comisia, F-125/11, EU:F:2013:35. punctul 34. și Brems/Consiliul, T-219/97, punctul 45 și jurisprudența acolo citată, prin care este unanim recunoscut aspectul conform căruia „Conținutul actului prevalează asupra formei și astfel, în definitiv, relevante sunt informațiile din cadrul propunerii tehnice, nu formularul în care ele sunt structurate, nefiind tolerată sancționarea ofertanților cu respingerea ofertelor lor pentru întocmirea propunerilor tehnice în alt format, atât timp cât informațiile pe care trebuie să le conțină sunt la îndemâna organizatoarei achiziției.</w:t>
      </w:r>
    </w:p>
    <w:p>
      <w:pPr>
        <w:pStyle w:val="Frspaiere1"/>
        <w:rPr/>
      </w:pPr>
      <w:r>
        <w:rPr>
          <w:rStyle w:val="Fontdeparagrafimplicit1"/>
        </w:rPr>
        <w:tab/>
        <w:t>În condițiile în care oferta intimatei nu putea fi sancționată cu respingerea pentru invocarea neîndeplinirii unei cerințe neprecizată în mod clar, corect și precis în documentația de atribuire, iar resursele implicate în derularea contractului sunt detaliate în cadrul propunerii tehnice, solicităm a se reține caracterul netemeinic al criticii petentei și astfel a se respinge în consecință.</w:t>
      </w:r>
    </w:p>
    <w:p>
      <w:pPr>
        <w:pStyle w:val="Frspaiere1"/>
        <w:rPr/>
      </w:pPr>
      <w:r>
        <w:rPr>
          <w:rStyle w:val="Fontdeparagrafimplicit1"/>
        </w:rPr>
        <w:tab/>
        <w:t xml:space="preserve"> Cu privire la aspectul secund conform căruia oferta asocierii ... DE A1 SA - B1 SRL - F1 ar putea „conține în cadrul propunerii financiare prețuri care nu sunt rezultatul liberei concurențe și care nu pot fi justificate’’, analiza Consiliului este bazată pe realitatea din procedura de atribuire al cărei obiect este constituit de atribuirea unui contract de „PROIECTARE Șl EXECUȚIE”, tip de contract în care prezumția legală a prețului aparent neobișnuit de scăzut având ca referință prețul total al ofertei în raport de valoarea estimată a contractului prevalează, prin faptul că prețurile unitare sunt unele estimative, acestea urmând a deveni ferme după optimizarea soluției tehnice la etapa de elaborare a proiectului tehnic, documentație tehnico-economică care urmează a se elabora în etapa de derulare a contractului.</w:t>
      </w:r>
    </w:p>
    <w:p>
      <w:pPr>
        <w:pStyle w:val="Frspaiere1"/>
        <w:rPr/>
      </w:pPr>
      <w:r>
        <w:rPr>
          <w:rStyle w:val="Fontdeparagrafimplicit1"/>
        </w:rPr>
        <w:tab/>
        <w:t>Prin urmare, analiza deciziei atacate este legală, practică și realistă, sens în care s-au redat integral partea de interes din motivarea actului atacat după cum urmează:</w:t>
      </w:r>
    </w:p>
    <w:p>
      <w:pPr>
        <w:pStyle w:val="Frspaiere1"/>
        <w:rPr/>
      </w:pPr>
      <w:r>
        <w:rPr>
          <w:rStyle w:val="Fontdeparagrafimplicit1"/>
        </w:rPr>
        <w:tab/>
        <w:t>În ceea ce privește susținerile contestatorul referitoare la faptul că oferta asocierii ... DE A1 SA - B1 SRL - F1 ar conține în cadrul propunerii financiare prețuri care nu sunt rezultatul liberei concurențe și care nu pot fi justificate, Consiliul reține următoarele:</w:t>
      </w:r>
    </w:p>
    <w:p>
      <w:pPr>
        <w:pStyle w:val="Frspaiere1"/>
        <w:rPr/>
      </w:pPr>
      <w:r>
        <w:rPr>
          <w:rStyle w:val="Fontdeparagrafimplicit1"/>
        </w:rPr>
        <w:tab/>
        <w:t>Prin considerentele Hotărârii nr. DC1/... emisă de Curtea de Apel …, instanța a considerat necesar ca autoritatea contractantă să verifice existența, în cadrul propunerii financiare depusă de ... DE A1 SA- SC B1 SRL- F1 SRL, unor prețuri care nu sunt rezultatul liberei concurențe și care nu pot fi Justificate, verificare care, în opinia Consiliului, a avut loc în etapa de evaluare a propunerilor financiare. De altminteri, însăși instanța de control judiciar a avut în vedere faptul că criticile sub acest aspect nu fuseseră analizate de către CNSC în decizia anterioară, critici care vor fi analizate de Consiliu în cele ce preced.</w:t>
      </w:r>
    </w:p>
    <w:p>
      <w:pPr>
        <w:pStyle w:val="Frspaiere1"/>
        <w:rPr/>
      </w:pPr>
      <w:r>
        <w:rPr>
          <w:rStyle w:val="Fontdeparagrafimplicit1"/>
        </w:rPr>
        <w:tab/>
        <w:t>Astfel, Consiliul reține că, în cazul ofertei asocierii ... DE A1 SA - B1 SRL - F1 nu este îndeplinită prezumția legală consacrată de dispozițiile art. 136 afin. (4) din HG nr. 395/2016 - „In sensul prevederilor art. 210 alin. (1) din Lege, o ofertă prezintă un preț aparent neobișnuit de scăzut în raport cu ceea ce urmează a fi furnizat, executat sau prestat atunci când prețul ofertat; fără TVA, reprezintă mai puțin de 80% din valoarea estimată a contractului respectiv1', astfel că autoritatea contractantă nu avea obligația impusă de dispozițiile art. 210 alin. (1) din Legea nr. 9&amp;/2016, respectiv „de a solicita ofertantului care a depus o astfel de ofertă clarificări cu privire la prețul sau costurile propuse în respectiva ofertă”.</w:t>
      </w:r>
    </w:p>
    <w:p>
      <w:pPr>
        <w:pStyle w:val="Frspaiere1"/>
        <w:rPr/>
      </w:pPr>
      <w:r>
        <w:rPr>
          <w:rStyle w:val="Fontdeparagrafimplicit1"/>
        </w:rPr>
        <w:tab/>
        <w:t>Potrivit documentelor aflate la dosarul cauzei, oferta financiară depusă de către asocierea ... DE A1 SA- SC B1 SRL- F1 SRL a avut o valoare de 44.019.933,70 lei fără TVA, reprezentând 88,94% din valoarea estimată a contractului (49.493,059,88 lei fără TVA).</w:t>
      </w:r>
    </w:p>
    <w:p>
      <w:pPr>
        <w:pStyle w:val="Frspaiere1"/>
        <w:rPr/>
      </w:pPr>
      <w:r>
        <w:rPr>
          <w:rStyle w:val="Fontdeparagrafimplicit1"/>
        </w:rPr>
        <w:tab/>
        <w:t>Consiliul reține ca pertinente susținerile intervenientului ... DE A1 (intervenient in dosarul nr. ...1), potrivit cărora „pentru niciuna dintre categoriile de cheltuieli conținute de Formularul nr. 11, contestatoare nu identifică și probează în sensul prevederilor art. 136 alin. (1) din HG nr. 395/2016 conform cărora „ari. 136. - (1) în situația în care comisia de evaluare constată că elemente de preț ale unei oferte sunt aparent neobișnuit de scăzute, prin raportare la prețurile pieței, utilizându-se ca referința în acest sens informații cum ar fi buletine statistice, sau cotații ale burselor de mărfuri, comisia de evaluare va solicita ofertantului care a depus oferta în cauză explicații cu privire la posibilitate îndeplinirii contractului în condițiile de calitate impuse prin documentația de atribuire" existența vreunui „element de preț" al ofertei noastre ca fiind aparent neobișnuit de scăzut prin utilizarea ca referință de informații conținute de buletine statice, cotații ale burselor de mărfuri sau alte informații cu putere de referință precum ar fi cele emanate de organisme competente, certificate și recunoscute la nivel național, european sau internațional a se pronunța asupra vreunui nivel de referință al prețurilor.</w:t>
      </w:r>
    </w:p>
    <w:p>
      <w:pPr>
        <w:pStyle w:val="Frspaiere1"/>
        <w:rPr/>
      </w:pPr>
      <w:r>
        <w:rPr>
          <w:rStyle w:val="Fontdeparagrafimplicit1"/>
        </w:rPr>
        <w:tab/>
        <w:t>Faptul că P1 SRL invocă oferte de preț ale furnizorilor săi, în opinia Consiliului nu are relevanță, din moment ce acestea reflectă doar relația comercială pe care o are contestatorul cu operatorii economici respectivi, iar aceste susțineri nu pot constitui dovezi certe care să conducă la concluzia că o ofertă concurentă ar avea prețuri ce nu pot fi justificate, în condițiile ofertării unei propuneri financiare care reprezintă 88,94% din valoarea estimată a achiziției. Alegațiile contestatorului sunt, în acest caz, evident speculative și subiective, invocarea unor elemente de preț diferite de cele ale propriei oferte neputând proba existența unor prețuri care nu sunt rezultatul liberei concurențe și care nu pot fi justificate, în condițiile în care acesta s-a limitat la a identifica anumite prețuri la materiale ofertate și a le compara cu prețurile pe care doar el însuși le apreciază ca fiind reale. De remarcat este și faptul că diferența dintre ofertele financiare aflate pe locul 2 și 3 este de doar 3.469.485,86 lei, o valoare extrem de mică raportat ia natura și obiectul contractului de achiziție publică și va valoarea estimată a acestuia.</w:t>
      </w:r>
    </w:p>
    <w:p>
      <w:pPr>
        <w:pStyle w:val="Frspaiere1"/>
        <w:rPr/>
      </w:pPr>
      <w:r>
        <w:rPr>
          <w:rStyle w:val="Fontdeparagrafimplicit1"/>
        </w:rPr>
        <w:tab/>
        <w:t>Prin urmare, Consiliul apreciază ca neîntemeiate criticile formulate de P1 SRL la adresa ofertei depuse de asocierea ... DE A1 SA- SC B1 SRL- F1 SRL".</w:t>
      </w:r>
    </w:p>
    <w:p>
      <w:pPr>
        <w:pStyle w:val="Frspaiere1"/>
        <w:rPr/>
      </w:pPr>
      <w:r>
        <w:rPr>
          <w:rStyle w:val="Fontdeparagrafimplicit1"/>
        </w:rPr>
        <w:tab/>
        <w:t>Față de tipul de contract - contract de proiectare și execuție - jurisprudența instanțelor de control judiciar cu privire la prețurile ofertelor reclamate a fi aparent neobișnuit de scăzute de diverși concurenți este în acord cu cele reținute prin decizia atacată, sens în care exemplificăm cu hotărârea de dată recentă pronunțată de Curte de apel Pitești într-o cauză similară.</w:t>
      </w:r>
    </w:p>
    <w:p>
      <w:pPr>
        <w:pStyle w:val="Frspaiere1"/>
        <w:rPr/>
      </w:pPr>
      <w:r>
        <w:rPr>
          <w:rStyle w:val="Fontdeparagrafimplicit1"/>
        </w:rPr>
        <w:tab/>
        <w:t>Astfel, prin Decizia nr. 36/F CONT din 13.02.2024, pronunțată în Dosarul nr. 80/46/2024, Curtea de Apel Pitești a reținut după cum urmează: … &amp; ...., Curtea reține că prețul ofertat de asocierea clasată pe locul al doilea este de 84,4% din valoarea estimată, astfel că este depășită valoarea de la care legislația incidență apreciază a fi neobișnuit de scăzută.</w:t>
      </w:r>
    </w:p>
    <w:p>
      <w:pPr>
        <w:pStyle w:val="Frspaiere1"/>
        <w:rPr/>
      </w:pPr>
      <w:r>
        <w:rPr>
          <w:rStyle w:val="Fontdeparagrafimplicit1"/>
        </w:rPr>
        <w:tab/>
        <w:t>Astfel, potrivit art. 210 din Legea 98/2016 „ în cazul unei propuneri financiare aparent neobișnuit de scăzută în raport cu lucrările, produsele sau serviciile care constituie obiectul contractului de achiziție publică/acordului-cadru care urmează a fi atribuit/încheiat, autoritatea contractantă are obligația dc a solicita ofertantului care a depus o astfel de ofertă clarificări cu privire la prețul sau costurile propuse în respectiva ofertă.”</w:t>
      </w:r>
    </w:p>
    <w:p>
      <w:pPr>
        <w:pStyle w:val="Frspaiere1"/>
        <w:rPr/>
      </w:pPr>
      <w:r>
        <w:rPr>
          <w:rStyle w:val="Fontdeparagrafimplicit1"/>
        </w:rPr>
        <w:tab/>
        <w:t>Conform art. 136. alin. (4) din H.G. nr.395/2016. "în sensul prevederilor aii, 210 alin. (1) din Lege, o ofertă prezintă un preț aparent neobișnuit dc scăzut în raport cu ceea ce urmează a fi furnizai, executat sau prestat atunci când prețul ofertat tară TVA, reprezintă mai puțin de 80% din valoarea estimată a contractului respectiv".</w:t>
      </w:r>
    </w:p>
    <w:p>
      <w:pPr>
        <w:pStyle w:val="Frspaiere1"/>
        <w:rPr/>
      </w:pPr>
      <w:r>
        <w:rPr>
          <w:rStyle w:val="Fontdeparagrafimplicit1"/>
        </w:rPr>
        <w:tab/>
        <w:t>În consecință, autoritatea contractantă este obligată la efectuarea verificărilor prevăzute de art. 210 al. 1 din Legea 98/2016 doar în cazul în care prețul ofertat reprezintă mai puțin de 80% din valoarea estimată a contractului respectiv. în prezenta cauză, prețul ofertat dc asocierea clasată pe locul al doilea este de 84,4% din valoarea estimată, astfel că nu exisistă nici un motiv a o obliga pe autoritatea contractantă să ceară clarificări cu privire la prețul sau costurile propuse în respectiva ofertă.</w:t>
      </w:r>
    </w:p>
    <w:p>
      <w:pPr>
        <w:pStyle w:val="Frspaiere1"/>
        <w:rPr/>
      </w:pPr>
      <w:r>
        <w:rPr>
          <w:rStyle w:val="Fontdeparagrafimplicit1"/>
        </w:rPr>
        <w:tab/>
        <w:t>Nu pot fi primite nici criticile petentei legate de evaluarea elementelor de preț situate sub nivelul prețurilor dc referință date dc cotații ale burselor de mărfuri, întrucât, având în vedere obiectul procedurii de achiziție publică, respectiv proiectare și execuție, modul dc exprimare al prețului contractului are la bază sume globale care corespund pachetelor/categoriilor de activități aferente implementării acestuia, contractantul fiind de acord că pentru un preț global (fix) să realizeze toate operațiunile/lucrările la nivelul dc calitate și performanță impus de autoritatea contractantă.</w:t>
      </w:r>
    </w:p>
    <w:p>
      <w:pPr>
        <w:pStyle w:val="Frspaiere1"/>
        <w:rPr/>
      </w:pPr>
      <w:r>
        <w:rPr>
          <w:rStyle w:val="Fontdeparagrafimplicit1"/>
        </w:rPr>
        <w:tab/>
        <w:t>Așadar, afirmațiile petentei privind prețurile neobișnuit dc scăzute și imposibilitatea justificării acestora sunt nefondate, evaluarea ofertelor financiare realizându-se cu respectarea principiilor ce guvernează legislația în materia achizițiilor publice și în special cele privind utilizarea eficientă a fondurilor, în conformi tale cu prevederile art. 136 alin.(4) din H.G. nr. 395/2016 cu modificările și completările ulterioare.</w:t>
      </w:r>
    </w:p>
    <w:p>
      <w:pPr>
        <w:pStyle w:val="Frspaiere1"/>
        <w:rPr>
          <w:lang w:val="da-DK"/>
        </w:rPr>
      </w:pPr>
      <w:r>
        <w:rPr>
          <w:rStyle w:val="Fontdeparagrafimplicit1"/>
        </w:rPr>
        <w:tab/>
      </w:r>
      <w:r>
        <w:rPr>
          <w:rStyle w:val="Fontdeparagrafimplicit1"/>
          <w:lang w:val="da-DK"/>
        </w:rPr>
        <w:t>Relevant este, de asemenea, faptul că petenta nu este în măsura să prezinte mcio dovadă de referință de natura celor reglementate de art. 136 alin. (1) din HG nr. 395/2016 - „informații cum ar fi buletine statistice, sau cotații ale burselor de mărfuri", invocând doar propriile prețuri sau oferte prețuri de la proprii colaboratori, situație în care reținerea din motivarea deciziei atacate conform căreia: „Faptul că P1 SRL invocă oferte de preț ale furnizorilor săi, în opinia Consiliului nu are relevanță, din moment ce acestea reflectă doar relația comercială pe care o are contestatorul cu operatorii economici respectivi, iar aceste susțineri nu pot constitui dovezi certe care să conducă la concluzia că o ofertă concurentă ar avea prețuri ce nu pot fi justificate, în condițiile ofertării unei propuneri financiare care reprezintă 88,94% din valoarea estimată a achiziției este elocventă, temeinică și legală, cu atât mai mult cu cât art. 10 alin. (4) și (5) din HG nr. 907/2016 privind etapele de elaborare și conținutul-cadru al documentațiilor tehnico-economice aferente obiectivelor/proiectelor de investiții finanțate din fonduri publice reglementează în sensul că „Devizul general întocmit la faza de proiectare studiu de fezabilitate în cazul obiectivului nou/mixt de investiții și, respectiv, la faza documentație de avizare a lucrărilor de intervenții în cazul intervenției la construcție existentă se actualizează prin grija beneficiarului investiției/investitorului, ori de câte ori este necesar”, dar și posibilitatea de „compensare a cheltuielilor între capitolele/subcapitolele de cheltuieli care intră în componența lucrărilor de construcții-montaj din devizul general, cu încadrarea în valoarea totală de finanțare" spre asigurarea optimizării soluțiilor tehnice stabilite la fazele anterioare de proiectare.</w:t>
      </w:r>
    </w:p>
    <w:p>
      <w:pPr>
        <w:pStyle w:val="Frspaiere1"/>
        <w:rPr>
          <w:lang w:val="da-DK"/>
        </w:rPr>
      </w:pPr>
      <w:r>
        <w:rPr>
          <w:rStyle w:val="Fontdeparagrafimplicit1"/>
          <w:lang w:val="da-DK"/>
        </w:rPr>
        <w:tab/>
        <w:t>Întrucât criticile petentei cu privire la faptul că oferta intimatei ar conține elemente de prețuri neobișnuit de scăzute sunt simple speculații, invocate pro causa, spre atingerea scopului său de eliminare din procedura a ofertei mai avantajoasE pentru interesul public, utilizând ca referință propriile prețuri și calculații sub formă de oferte elaborate de proprii colaboratori, fără a produce nicio dovadă legală în susținerea celor afirmate și în condițiile în care prezumția legală a prețului aparent neobișnuit de scăzut nu este îndeplinită, iar tipul contractului este contract de proiectare și execuție - astfel că la etapa de elaborare a proiectului tehnic vor fi elaborate elementele de detaliu ale devizului constituite de formularele F1-F5 care vor conține prețurile unitare ferme, cu încadrare în valoarea totală ofertată — care este mai mare decât pragul limită de prezumare a prețului aparent neobișnuit de scăzut, solicităm a se reține netemeinicia motivului invocat de către petentă și neaprobarea fermă și legală a susținerilor sale și astfel a se dispune respingea, ca neîntemeiate, a criticilor formulate de SC P1 SRL cu privire la existența de presupuse elemente de preț neobișnuit de scăzute în cadrul ofertei noastre.</w:t>
      </w:r>
    </w:p>
    <w:p>
      <w:pPr>
        <w:pStyle w:val="Frspaiere1"/>
        <w:rPr>
          <w:lang w:val="da-DK"/>
        </w:rPr>
      </w:pPr>
      <w:r>
        <w:rPr>
          <w:rStyle w:val="Fontdeparagrafimplicit1"/>
          <w:lang w:val="da-DK"/>
        </w:rPr>
        <w:tab/>
        <w:t>Față de cele arătate, s-a reiterat solicitarea de respingere, ca neîntemeiată, a plângerii SC P1 SRL îndreptată împotriva ofertei comune depusă de Asocierea SC ... DE A1 SA &amp; SC B1 SRL &amp; SC F1 SRL</w:t>
      </w:r>
    </w:p>
    <w:p>
      <w:pPr>
        <w:pStyle w:val="Frspaiere1"/>
        <w:rPr>
          <w:lang w:val="da-DK"/>
        </w:rPr>
      </w:pPr>
      <w:r>
        <w:rPr>
          <w:rStyle w:val="Fontdeparagrafimplicit1"/>
          <w:lang w:val="da-DK"/>
        </w:rPr>
        <w:tab/>
        <w:t>În drept şi-a întemeiat întâmpinarea pe Legea nr. 101/2016, Legea nr. 98/2016, HG nr. 395/2016; HG nr. 907/2016, jurisprudența CEJ referită în cuprins.</w:t>
      </w:r>
    </w:p>
    <w:p>
      <w:pPr>
        <w:pStyle w:val="Frspaiere1"/>
        <w:rPr/>
      </w:pPr>
      <w:r>
        <w:rPr>
          <w:rStyle w:val="Fontdeparagrafimplicit1"/>
          <w:lang w:val="da-DK"/>
        </w:rPr>
        <w:tab/>
      </w:r>
      <w:r>
        <w:rPr/>
        <w:t>G1 S.A.-LIDER AL ASOCIERII G1 S.A.-J1 S.R.L.-H1 S.R.L  nu a formulat întâmpinare.</w:t>
      </w:r>
    </w:p>
    <w:p>
      <w:pPr>
        <w:pStyle w:val="Frspaiere1"/>
        <w:rPr>
          <w:b/>
        </w:rPr>
      </w:pPr>
      <w:r>
        <w:rPr>
          <w:rStyle w:val="Fontdeparagrafimplicit1"/>
          <w:b/>
        </w:rPr>
        <w:tab/>
        <w:t>IV.Analiza Curţii de Apel</w:t>
      </w:r>
    </w:p>
    <w:p>
      <w:pPr>
        <w:pStyle w:val="Normal"/>
        <w:ind w:firstLine="708"/>
        <w:jc w:val="both"/>
        <w:rPr/>
      </w:pPr>
      <w:r>
        <w:rPr>
          <w:rStyle w:val="Fontdeparagrafimplicit1"/>
        </w:rPr>
        <w:t xml:space="preserve">Sub aspectul </w:t>
      </w:r>
      <w:r>
        <w:rPr>
          <w:rStyle w:val="Fontdeparagrafimplicit1"/>
          <w:b/>
        </w:rPr>
        <w:t>stării de fapt</w:t>
      </w:r>
      <w:r>
        <w:rPr>
          <w:rStyle w:val="Fontdeparagrafimplicit1"/>
          <w:b/>
          <w:i/>
        </w:rPr>
        <w:t xml:space="preserve">, </w:t>
      </w:r>
      <w:r>
        <w:rPr>
          <w:rStyle w:val="Fontdeparagrafimplicit1"/>
          <w:b/>
        </w:rPr>
        <w:t xml:space="preserve">Curtea de Apel , în prezenta cauză constată că, </w:t>
      </w:r>
      <w:r>
        <w:rPr>
          <w:rStyle w:val="Fontdeparagrafimplicit1"/>
        </w:rPr>
        <w:t xml:space="preserve">JUDEŢUL..., în calitate de </w:t>
      </w:r>
      <w:r>
        <w:rPr>
          <w:rStyle w:val="Fontdeparagrafimplicit1"/>
          <w:i/>
        </w:rPr>
        <w:t>autoritate contractantă</w:t>
      </w:r>
      <w:r>
        <w:rPr>
          <w:rStyle w:val="Fontdeparagrafimplicit1"/>
        </w:rPr>
        <w:t xml:space="preserve">, a organizat procedura de licitație deschisă, online, pentru atribuirea contractului de achiziție publică, având ca obiect „Proiectare, asistență tehnică din partea proiectantului și execuția de lucrări la obiectivul Reabilitare/Modernizare DRUM S1 pe tronsonul km 5+000 (Pârvulești început sector betonat) - ... km 10+888 (int cu DRUM S2)”, cod ....6. </w:t>
      </w:r>
    </w:p>
    <w:p>
      <w:pPr>
        <w:pStyle w:val="Normal"/>
        <w:ind w:firstLine="708"/>
        <w:jc w:val="both"/>
        <w:rPr>
          <w:b/>
          <w:i/>
          <w:i/>
        </w:rPr>
      </w:pPr>
      <w:r>
        <w:rPr>
          <w:rStyle w:val="Fontdeparagrafimplicit1"/>
        </w:rPr>
        <w:t>În acest sens, a elaborat documentația de atribuire aferentă și a publicat anunțul de participare nr. ....9/01.01.2023, criteriul de atribuire stabilit fiind „cel mai bun raport calitate-preț”.</w:t>
      </w:r>
    </w:p>
    <w:p>
      <w:pPr>
        <w:pStyle w:val="Frspaiere1"/>
        <w:rPr>
          <w:i/>
          <w:i/>
        </w:rPr>
      </w:pPr>
      <w:r>
        <w:rPr>
          <w:rStyle w:val="Fontdeparagrafimplicit1"/>
        </w:rPr>
        <w:tab/>
      </w:r>
      <w:r>
        <w:rPr>
          <w:rStyle w:val="Fontdeparagrafimplicit1"/>
          <w:i/>
          <w:u w:val="single"/>
        </w:rPr>
        <w:t>În primul  raport al  procedurii nr. ....0/06.04.2023</w:t>
      </w:r>
      <w:r>
        <w:rPr>
          <w:rStyle w:val="Fontdeparagrafimplicit1"/>
        </w:rPr>
        <w:t xml:space="preserve"> s-a consemnat depunerea a 6 oferte, respingerea a 3 oferte, admisibilitatea celorlalte 3, printre care și a contestatorilor, precum și desemnarea ofertei depusă de G1 SA, lider al Asocierii G1 SA - J1 SRL - H1 SRL ca fiind câștigătoarea procedurii de atribuire cu un punctaj total de 100 puncte și o propunere financiară de 40.695.383,44 lei fără TVA; oferta depusă de ... DE A1 SA, lider al asocierii ... DE A1 SA - B1 SRL - F1 SRL s-a clasat pe locul 2, cu un punctaj total de 93,20 puncte și o propunere financiară de 44.019.933,70 lei fără TVA, iar oferta depusă de P1 SRL s-a clasat pe locul 3, cu un punctaj total de 84,92 puncte și o propunere financiară de 47.489.419,56 lei fără TVA.</w:t>
      </w:r>
    </w:p>
    <w:p>
      <w:pPr>
        <w:pStyle w:val="Frspaiere1"/>
        <w:rPr/>
      </w:pPr>
      <w:r>
        <w:rPr>
          <w:rStyle w:val="Fontdeparagrafimplicit1"/>
        </w:rPr>
        <w:tab/>
      </w:r>
      <w:r>
        <w:rPr>
          <w:rStyle w:val="Fontdeparagrafimplicit1"/>
          <w:i/>
          <w:u w:val="single"/>
        </w:rPr>
        <w:t>Împotriva rezultatului procedurii</w:t>
      </w:r>
      <w:r>
        <w:rPr>
          <w:rStyle w:val="Fontdeparagrafimplicit1"/>
        </w:rPr>
        <w:t xml:space="preserve"> consemnat în Raportul procedurii nr. ....0/06.04.2023 și în Comunicările nr. ....2/06.04.2023 și nr. ....3/06.04.2023, ... DE A1 SA și P1 SRL au formulat contestațiile ce au făcut obiectul dosarelor conexate nr. D5 și nr. D6, soluționate prin Decizia nr. ..4,..7 din 13.06.2023.</w:t>
      </w:r>
    </w:p>
    <w:p>
      <w:pPr>
        <w:pStyle w:val="Frspaiere1"/>
        <w:rPr/>
      </w:pPr>
      <w:r>
        <w:rPr>
          <w:rStyle w:val="Fontdeparagrafimplicit1"/>
        </w:rPr>
        <w:tab/>
      </w:r>
      <w:r>
        <w:rPr>
          <w:rStyle w:val="Fontdeparagrafimplicit1"/>
          <w:i/>
          <w:u w:val="single"/>
        </w:rPr>
        <w:t>Împotriva Deciziei CNSC nr. ...4,...7/13.06.2023</w:t>
      </w:r>
      <w:r>
        <w:rPr>
          <w:rStyle w:val="Fontdeparagrafimplicit1"/>
        </w:rPr>
        <w:t>, ... DE A1 SA și P1 SRL au formulat plângeri, ce au făcut obiectul dosarelor nr. D2 și nr. D3, aflate pe rolul Curții de Apel ….</w:t>
      </w:r>
    </w:p>
    <w:p>
      <w:pPr>
        <w:pStyle w:val="Normal"/>
        <w:ind w:firstLine="708"/>
        <w:jc w:val="both"/>
        <w:rPr/>
      </w:pPr>
      <w:r>
        <w:rPr>
          <w:rStyle w:val="Fontdeparagrafimplicit1"/>
          <w:i/>
          <w:u w:val="single"/>
        </w:rPr>
        <w:tab/>
        <w:t>Prin decizia nr.DC1/...</w:t>
      </w:r>
      <w:r>
        <w:rPr>
          <w:rStyle w:val="Fontdeparagrafimplicit1"/>
        </w:rPr>
        <w:t xml:space="preserve">, Curtea de Apel ... </w:t>
      </w:r>
      <w:r>
        <w:rPr/>
        <w:t xml:space="preserve">a admis  plângerile conexate formulate de petentele P1 S.R.L. şi ... de A1 S.A. - lider al asocierii ... de A1 S.A.-B1 S.R.L.-F1 S.R.L, în contradictoriu cu intimaţii G1 S.A.-lider al asocierii G1 S.A.-J1 S.R.L.-H1 S.R.L. şi JUDEŢUL....  </w:t>
      </w:r>
    </w:p>
    <w:p>
      <w:pPr>
        <w:pStyle w:val="Normal"/>
        <w:ind w:firstLine="708"/>
        <w:jc w:val="both"/>
        <w:rPr/>
      </w:pPr>
      <w:r>
        <w:rPr/>
        <w:t xml:space="preserve">Curtea a modificat decizia CNSC, a admis contestaţiile, a anulat  adresele prin care ofertele petentelor au fost declarate necâştigătoare şi adresa prin care oferta asocierii G1 S.A. a fost desemnată câştigătoare, a anulat raportul procedurii de atribuire şi a obligat-o pe autoritatea contractantă la reluarea procedurii de atribuire prin reevaluarea ofertelor petentei ... de A1 S.A şi a intimatei G1 S.A. de la etapa verificării conformităţii acestora. </w:t>
      </w:r>
    </w:p>
    <w:p>
      <w:pPr>
        <w:pStyle w:val="Frspaiere1"/>
        <w:rPr/>
      </w:pPr>
      <w:r>
        <w:rPr>
          <w:rStyle w:val="Fontdeparagrafimplicit1"/>
        </w:rPr>
        <w:tab/>
      </w:r>
      <w:r>
        <w:rPr>
          <w:rStyle w:val="Fontdeparagrafimplicit1"/>
          <w:i/>
          <w:u w:val="single"/>
        </w:rPr>
        <w:t>În Raportul procedurii nr. ...5/02.12.2023</w:t>
      </w:r>
      <w:r>
        <w:rPr>
          <w:rStyle w:val="Fontdeparagrafimplicit1"/>
        </w:rPr>
        <w:t>, întocmit în urma deciziei civile nr. DC1/..., s-a consemnat același rezultat ca în raportul procedurii anterior, respectiv desemnarea ofertei depusă de G1 SA, lider al Asocierii G1 SA - J1 SRL - H1 SRL ca fiind câștigătoarea procedurii de atribuire; oferta depusă de ... DE A1 SA, lider al asocierii ... DE A1 SA - B1 SRL - F1 SRL s-a clasat pe locul 2, iar oferta depusă de P1 SRL s-a clasat pe locul 3.</w:t>
      </w:r>
    </w:p>
    <w:p>
      <w:pPr>
        <w:pStyle w:val="Frspaiere1"/>
        <w:rPr/>
      </w:pPr>
      <w:r>
        <w:rPr>
          <w:rStyle w:val="Fontdeparagrafimplicit1"/>
        </w:rPr>
        <w:tab/>
        <w:t>Împotriva rezultatului procedurii consemnat în Raportul procedurii nr. ...5/02.12.2023 și în Comunicările nr. …0/08.12.2023 si nr. …9/08.12.2023, ... DE A1 SA și P1 SRL au formulat contestațiile ce au făcut  obiectul dosarelor conexate nr. D7 si nr. D8.</w:t>
      </w:r>
    </w:p>
    <w:p>
      <w:pPr>
        <w:pStyle w:val="Frspaiere1"/>
        <w:rPr/>
      </w:pPr>
      <w:r>
        <w:rPr>
          <w:rStyle w:val="Fontdeparagrafimplicit1"/>
        </w:rPr>
        <w:tab/>
        <w:t>Prealabil, Consiliul a admis, în principiu, cererile de intervenție formulate de G1 SA, lider al Asocierii G1 SA - J1 SRL - H1 SRL, fiind desemnată câștigătoarea procedurii de atribuire şi cererea de intervenție formulată de ... DE A1 SA, lider al asocierii ... DE A1 SA (Lider) - B1 SRL - F1 SRL, având calitatea de ofertant admisibil situat pe locul 1 în cadrul prezentei proceduri de atribuire, oferta contestatorului P1 SRL fiind situată pe locul 3 în clasamentul ofertelor admisibile.</w:t>
        <w:tab/>
      </w:r>
    </w:p>
    <w:p>
      <w:pPr>
        <w:pStyle w:val="Frspaiere1"/>
        <w:rPr/>
      </w:pPr>
      <w:r>
        <w:rPr>
          <w:rStyle w:val="Fontdeparagrafimplicit1"/>
        </w:rPr>
        <w:tab/>
        <w:t xml:space="preserve">În ceea ce privește fondul contestațiilor ... DE A1 SA și P1 SRL, Consiliul a analizat  </w:t>
      </w:r>
      <w:r>
        <w:rPr>
          <w:rStyle w:val="Fontdeparagrafimplicit1"/>
          <w:i/>
          <w:u w:val="single"/>
        </w:rPr>
        <w:t>criticile comune formulate de cei doi contestatori în referire la oferta desemnată câștigătoare</w:t>
      </w:r>
      <w:r>
        <w:rPr>
          <w:rStyle w:val="Fontdeparagrafimplicit1"/>
        </w:rPr>
        <w:t>, respectiv oferta depusă de asocierea G1 SA - J1 SRL - H1 SRL.</w:t>
      </w:r>
    </w:p>
    <w:p>
      <w:pPr>
        <w:pStyle w:val="Frspaiere1"/>
        <w:rPr/>
      </w:pPr>
      <w:r>
        <w:rPr>
          <w:rStyle w:val="Fontdeparagrafimplicit1"/>
        </w:rPr>
        <w:tab/>
        <w:t>Consiliul a reținut că împotriva Deciziei CNSC nr. ...4,...7/13.06.2023, ... DE A1 SA și de P1 SRL au formulat plângeri, ce au făcut obiectul dosarelor nr. D2 și nr. D3, aflate pe rolul Curții de Apel …., fiind soluționate prin decizia nr. DC1/... din ....</w:t>
      </w:r>
    </w:p>
    <w:p>
      <w:pPr>
        <w:pStyle w:val="Frspaiere1"/>
        <w:rPr/>
      </w:pPr>
      <w:r>
        <w:rPr>
          <w:rStyle w:val="Fontdeparagrafimplicit1"/>
        </w:rPr>
        <w:tab/>
        <w:t>Totodată , Consiliul a arătat că în considerentele deciziei nr. DC1/..., Curtea de Apel … a reținut că plângerile petentelor  au reluat criticile formulate prin contestațiile adresate CNSC, susținând că prin decizia Consiliului nu s-a analizat critica de neconformitate a ofertei desemnate câștigătoare privind faptul că „respectiva asociere a omis la încărcarea în SEAP a părții propunerii tehnice constituită de volumul intitulat „tehnic 201-300.pdf, în „Procesul verbal nr. ...9/13.03.2023 privind evaluarea conformității propunerilor tehnice cu prevederile caietului de sarcini și, după caz, cu factorii de evaluare", comisia de evaluare a consemnat constatarea existenței unor documente ale respectivei oferte indicate ca regăsindu-se la pagini chiar din volumul omis la încărcarea în SEAP,</w:t>
      </w:r>
    </w:p>
    <w:p>
      <w:pPr>
        <w:pStyle w:val="Frspaiere1"/>
        <w:rPr/>
      </w:pPr>
      <w:r>
        <w:rPr>
          <w:rStyle w:val="Fontdeparagrafimplicit1"/>
        </w:rPr>
        <w:tab/>
        <w:t>Omisiunea încărcării în SEAP a volumului propunerii tehnice „tehnic 20l-300.pdf este confirmată chiar de opisul propunerii tehnice care prevede conținutul</w:t>
      </w:r>
      <w:r>
        <w:rPr>
          <w:rStyle w:val="Fontdeparagrafimplicit1"/>
          <w:b/>
        </w:rPr>
        <w:t xml:space="preserve"> </w:t>
      </w:r>
      <w:r>
        <w:rPr>
          <w:rStyle w:val="Fontdeparagrafimplicit1"/>
        </w:rPr>
        <w:t>documentelor aflate în respectivul volum ca fiind constituite de părți sau documente cum ar fi: 4. Personal execuție 82-162; 5. Utilaje 263-269 ; 6. Plan de management al calității 270-409 ;  certitudinea lipsei unor părți însemnate și obligatorii din propunerea tehnică determinate de omisiunea în discuție este confirmată de Planul de management al calității, document care, la pag. 301 începe cu următoare mențiune : „Tehnologii (inclusiv atunci când se intenționează a se utiliza echipamentele tehnice care nu au fost prevăzute inițial). Toate constatările, neconformitățile și recomandările vor fi documentate în rapoarte ale vizitelor de control, iar în cazul constatării de neconformități, se vor efectua vizite de control suplimentare, pentru a verifica modul de aplicare a remedierilor stabilite”, fiind evident astfel că aceasta mențiune era legată de conținutul volumului omis, în a cărui absență formularea de început este lipsită de sens și înțeles.</w:t>
      </w:r>
    </w:p>
    <w:p>
      <w:pPr>
        <w:pStyle w:val="Frspaiere1"/>
        <w:rPr/>
      </w:pPr>
      <w:r>
        <w:rPr>
          <w:rStyle w:val="Fontdeparagrafimplicit1"/>
        </w:rPr>
        <w:tab/>
        <w:t>În situația descrisă și luând în considerare dispozițiile HG nr. 395/2016 constituite de prevederile art. 60 alin. (1) și 4 din HG nr. 395/2016 - „Operatorul economic are obligația de a transmite oferta și DUAE în format electronic și numai până la data și ora-limită de depunere a ofertelor prevăzute în anunțul de participare.</w:t>
      </w:r>
    </w:p>
    <w:p>
      <w:pPr>
        <w:pStyle w:val="Frspaiere1"/>
        <w:rPr/>
      </w:pPr>
      <w:r>
        <w:rPr>
          <w:rStyle w:val="Fontdeparagrafimplicit1"/>
        </w:rPr>
        <w:tab/>
        <w:t>Documentele prevăzute la alin. (1) vor fi semnate cu semnătură electronică extinsă, bazată pe un certificat calificat, eliberat de un furnizor de servicii de certificare acreditat în condițiile legii și încărcate în SEAP în secțiunile specifice disponibile în sistemul informatic și numai de către operatorii economici înregistram, dar și pe cele ale art. 125 din același act normativ - „Riscurile transmiterii ofertei, inclusiv forța majoră sau cazul fortuit, cad în sarcina operatorului economic care transmite respectiva ofertă”, devine evident faptul că verificarea și evaluarea respectivei oferte a fost efectuată, cu superficialitate, fiind îndreptățită bănuiala legitimă de favorizare a respectivului ofertant, în condițiile în care omisiunea la încărcare în SEAP a volumului propunerii tehnice „tehnic …0.pdf era RISCUL ofertantului de natură a atrage incidența asupra acesteia a dispozițiilor art. 215 alin. (4) din Legea nr. 98/2016 — „Oferta este considerată inacceptabilă dacă nu îndeplinește condițiile de formă aferente elaborării și prezentării acesteia (...)" și pe cele ale art. 137 alin. (3) lit. a) din HG nr. 395/2016, cu atât mai mult cu cât omisiunea volumului relevata fost trecută sub tăcere, autoritatea contractantă nesolicitând o clarificare expresă cu referire la omisiunea volumului, ci formulând clarificări care să poată favoriza remiterea unor eventuale răspunsuri care să acopere partea propunerii tehnice neîncărcată în SEAP la depunerea ofertei”.</w:t>
      </w:r>
    </w:p>
    <w:p>
      <w:pPr>
        <w:pStyle w:val="Frspaiere1"/>
        <w:rPr/>
      </w:pPr>
      <w:r>
        <w:rPr>
          <w:rStyle w:val="Fontdeparagrafimplicit1"/>
        </w:rPr>
        <w:tab/>
        <w:t>Curtea a reţinut  că această critică formulată de către ambele petente este reală, în sensul că în analiza Consiliului nu s-au verificat în mod punctual aceste critici privind neîncărcarea în SEAP a unei părți din documentația tehnică, ci doar tangențial, prin referiri la diverse clarificări ulterioare.</w:t>
      </w:r>
    </w:p>
    <w:p>
      <w:pPr>
        <w:pStyle w:val="Frspaiere1"/>
        <w:rPr/>
      </w:pPr>
      <w:r>
        <w:rPr>
          <w:rStyle w:val="Fontdeparagrafimplicit1"/>
        </w:rPr>
        <w:tab/>
        <w:t>Astfel, în cauză era necesar a fi analizate aceste critici, deoarece aspectele semnalate pot atrage incidența asupra ofertei respective a dispozițiilor art. 215 alin. (4) din Legea nr. 98/2016 și pe cele ale art. 137 alin. (3) lit. a) din HG nr. 395/2016.</w:t>
      </w:r>
    </w:p>
    <w:p>
      <w:pPr>
        <w:pStyle w:val="Frspaiere1"/>
        <w:rPr/>
      </w:pPr>
      <w:r>
        <w:rPr>
          <w:rStyle w:val="Fontdeparagrafimplicit1"/>
        </w:rPr>
        <w:tab/>
        <w:t>Curtea a dispus ca autoritatea contractantă să verifice susținerile petentelor privind neîncărcarea în SEAP a unei părți din documentația tehnică depusă de asocierea G1 S.A. în raport de dispozițiile art. 215 alin. (4) din Legea nr. 98/2016 și pe cele ale art. 137 alin. (3) iii. a) din HG nr. 395/2.016.</w:t>
      </w:r>
    </w:p>
    <w:p>
      <w:pPr>
        <w:pStyle w:val="Frspaiere1"/>
        <w:rPr/>
      </w:pPr>
      <w:r>
        <w:rPr>
          <w:rStyle w:val="Fontdeparagrafimplicit1"/>
        </w:rPr>
        <w:tab/>
        <w:t>De asemenea, va verifica și celelalte critici referitoare la faptul că propunerea tehnică a fost întocmită în mod necorespunzător, întrucât nu a respectat cerința din documentație privind prezentarea schiței de proiect; ofertantul nu a prezentat în propunerea tehnică și nici în răspunsul la clarificări descriere a „adăposturilor pentru călători aferente stațiilor de autobuz”, cum autoritatea contractantă a solicitat prin clarificările adresate pe timpul evaluării ofertelor, la lipsa unei părți din propunerea tehnică, privind personalul, la faptul că Graficul Gantt a fost elaborat cu nerespectarea prescripțiilor pct. IV.4.1 în fișa de date și a răspunsului consolidat la clarificările solicitate de operatorii economici, la absența depunerii organigramei, a documentelor privind personalul, a celor privind utilajele și a celor privind Manualul calității, pornind de la conținutul documentației tehnice încărcată în SEAP de asocierea G1 S.A.</w:t>
      </w:r>
    </w:p>
    <w:p>
      <w:pPr>
        <w:pStyle w:val="Frspaiere1"/>
        <w:rPr/>
      </w:pPr>
      <w:r>
        <w:rPr>
          <w:rStyle w:val="Fontdeparagrafimplicit1"/>
        </w:rPr>
        <w:tab/>
        <w:t>Totodată va analiza și criticile de neconformitate ale petentei SC P1 SA privind neconformitatea ofertei depuse de Asocierea ... de A1 S.A, care nu au fost analizate de către CNSC, referitoare la faptul că oferta tehnică depusă de ... de A1 nu îndeplinește toate exigențele documentației de atribuire, din cuprinsul acesteia lipsind informațiile/documentele solicitate la punctul 5 de la Cap. IV. 1.1 din Fișa de date a achiziției și că aceasta conține în cadrul propunerii financiare prețuri care nu sunt rezultatul liberei concurențe și care nu pot fi justificate”.</w:t>
      </w:r>
    </w:p>
    <w:p>
      <w:pPr>
        <w:pStyle w:val="Frspaiere1"/>
        <w:rPr/>
      </w:pPr>
      <w:r>
        <w:rPr>
          <w:rStyle w:val="Fontdeparagrafimplicit1"/>
        </w:rPr>
        <w:tab/>
        <w:t>Prin urmare, Consiliul a reținut că autoritatea contractantă avea obligația de a verifica, în primul rând, încărcarea sau nu în SEAP a unei părți importante din propunerea tehnică de către asocierea desemnată câștigătoare.</w:t>
      </w:r>
    </w:p>
    <w:p>
      <w:pPr>
        <w:pStyle w:val="Frspaiere1"/>
        <w:rPr/>
      </w:pPr>
      <w:r>
        <w:rPr>
          <w:rStyle w:val="Fontdeparagrafimplicit1"/>
        </w:rPr>
        <w:tab/>
        <w:t>Conform documentelor depuse la dosarul cauzei, Consiliul a  reținut că autoritatea contractantă nu a făcut aceste verificări referitoare la neîncărcarea în SEAP a unei părți din documentația tehnică depusă de asocierea G1 S.A. în raport de dispozițiile art. 215 alin. (4) din Legea nr. 98/2016  și pe cele ale art. 137 alin. (3) lit. a) din HG nr. 395/2016 aşa cum în mod definitiv și obligatoriu a dispus instanța de control judiciar.</w:t>
      </w:r>
    </w:p>
    <w:p>
      <w:pPr>
        <w:pStyle w:val="Frspaiere1"/>
        <w:rPr/>
      </w:pPr>
      <w:r>
        <w:rPr>
          <w:rStyle w:val="Fontdeparagrafimplicit1"/>
        </w:rPr>
        <w:tab/>
        <w:t>În consecința, în opinia Consiliului, susținerile autorității contractante transmise în punctul de vedere  potrivit cărora „susținerile contestatoarei privind neîncărcarea în SEAP a unui volum a propunerii tehnice excede atribuțiilor comisiei de evaluare, aceasta fiind obligată să evalueze ofertele din prisma cerințelor prevăzute în documentația de atribuire raportat la documentele prezentate de ofertanți” sunt neîntemeiate, conduita acesteia încălcând dispozițiile deciziei nr. DC1/... a Curții de Apel …, definitivă și obligatorie.</w:t>
      </w:r>
    </w:p>
    <w:p>
      <w:pPr>
        <w:pStyle w:val="Frspaiere1"/>
        <w:rPr/>
      </w:pPr>
      <w:r>
        <w:rPr>
          <w:rStyle w:val="Fontdeparagrafimplicit1"/>
        </w:rPr>
        <w:tab/>
        <w:t>Faptul că autoritatea contractantă ar fi constatat, din documentele încărcate în cadrul propunerii tehnice, precum și din răspunsurile la clarificări (adresa nr. …2/06.03.2023) că oferta desemnată câștigătoare ar fi îndeplinit cerințele din documentația de atribuire, deși numerotarea ofertei tehnice sare de la pag. 200 la pag. 301, așa cum reiese din conținutul procesului verbal al evaluării tehnice, nu are relevanță, în opinia Consiliului, din moment ce instanța de control judiciar a dispus verificări referitoare neîncărcarea în SEAP a unei părţi din documentația tehnică depusa de asocierea G1 S.A. în raport de dispozițiile art. 215 alin. (4) din Legea nr. 98/2016 și pe cele ale art. 137 alin. (3) lit. a) din HG nr. 395/2016.</w:t>
      </w:r>
    </w:p>
    <w:p>
      <w:pPr>
        <w:pStyle w:val="Frspaiere1"/>
        <w:rPr/>
      </w:pPr>
      <w:r>
        <w:rPr>
          <w:rStyle w:val="Fontdeparagrafimplicit1"/>
        </w:rPr>
        <w:tab/>
        <w:t>În aceste condiții Consiliul nu a mai analizat celelalte critici formulate de cei doi contestatori privind oferta desemnată câștigătoare, autoritatea contractantă având în primul rând, obligația de a stabili daca oferta asocierii— G1 SA - J1 SRL - H1 , SRL este admisibilă, raportat la cele dispuse de Curtea de Apel … prin Hotărârea nr. DC1/... referitor la aspectele mai sus reținute.</w:t>
      </w:r>
    </w:p>
    <w:p>
      <w:pPr>
        <w:pStyle w:val="Normal"/>
        <w:ind w:firstLine="708"/>
        <w:jc w:val="both"/>
        <w:rPr>
          <w:b/>
          <w:u w:val="single"/>
        </w:rPr>
      </w:pPr>
      <w:r>
        <w:rPr>
          <w:rStyle w:val="Fontdeparagrafimplicit1"/>
          <w:b/>
          <w:u w:val="single"/>
        </w:rPr>
        <w:t>Cu privire la motivele plângerii :</w:t>
      </w:r>
    </w:p>
    <w:p>
      <w:pPr>
        <w:pStyle w:val="Normal"/>
        <w:ind w:firstLine="708"/>
        <w:jc w:val="both"/>
        <w:rPr/>
      </w:pPr>
      <w:r>
        <w:rPr>
          <w:rStyle w:val="Fontdeparagrafimplicit1"/>
          <w:b/>
          <w:u w:val="single"/>
        </w:rPr>
        <w:t>1.</w:t>
      </w:r>
      <w:r>
        <w:rPr>
          <w:rStyle w:val="Fontdeparagrafimplicit1"/>
        </w:rPr>
        <w:t>Motivul potrivit căruia decizia CNSC încalcă autoritatea de lucru judecat a deciziei pronunțată de Curtea de Apel ... prin care s-a dispus reevaluarea ofertei Asocierii ... de A1 din perspectiva motivelor de neconformitate invocate de P1 este nefondat.</w:t>
      </w:r>
    </w:p>
    <w:p>
      <w:pPr>
        <w:pStyle w:val="Normal"/>
        <w:ind w:firstLine="708"/>
        <w:jc w:val="both"/>
        <w:rPr/>
      </w:pPr>
      <w:r>
        <w:rPr/>
        <w:t>Prin pronunţarea deciziei nr....4/2024 , Consiliul constată încălcarea de către autoritatea contractantă, JUDEŢUL..., a autorităţii de lucru judecat a deciziei nr.DC1/... a Curţii de Apel ....</w:t>
      </w:r>
    </w:p>
    <w:p>
      <w:pPr>
        <w:pStyle w:val="Normal"/>
        <w:ind w:firstLine="708"/>
        <w:jc w:val="both"/>
        <w:rPr/>
      </w:pPr>
      <w:r>
        <w:rPr/>
        <w:t xml:space="preserve">Mai mult decât atât, se consolidează  concluzia că  Autoritatea Contractantă încalcă pentru a doua oară  reglementările legale , privind evaluarea ofertei </w:t>
      </w:r>
      <w:r>
        <w:rPr>
          <w:rStyle w:val="Fontdeparagrafimplicit1"/>
        </w:rPr>
        <w:t>depuse de asocierea G1 S.A. în raport de dispozițiile art. 215 alin. (4) din Legea nr. 98/2016 și pe cele ale art. 137 alineat 3 din HG nr. 395/2016.</w:t>
      </w:r>
    </w:p>
    <w:p>
      <w:pPr>
        <w:pStyle w:val="Normal"/>
        <w:ind w:firstLine="708"/>
        <w:jc w:val="both"/>
        <w:rPr/>
      </w:pPr>
      <w:r>
        <w:rPr>
          <w:rStyle w:val="Fontdeparagrafimplicit1"/>
        </w:rPr>
        <w:t xml:space="preserve">Astfel prima încălcare este constatată prin decizia nr. DC1/... a Curţii de Apel .., care a </w:t>
      </w:r>
      <w:r>
        <w:rPr/>
        <w:t xml:space="preserve">anulat  raportul procedurii de atribuire şi a  </w:t>
      </w:r>
      <w:r>
        <w:rPr>
          <w:rStyle w:val="Fontdeparagrafimplicit1"/>
          <w:i/>
        </w:rPr>
        <w:t xml:space="preserve">obligat autoritatea contractantă la reluarea procedurii de atribuire prin </w:t>
      </w:r>
      <w:r>
        <w:rPr>
          <w:rStyle w:val="Fontdeparagrafimplicit1"/>
          <w:b/>
          <w:i/>
        </w:rPr>
        <w:t xml:space="preserve">reevaluarea </w:t>
      </w:r>
      <w:r>
        <w:rPr>
          <w:rStyle w:val="Fontdeparagrafimplicit1"/>
          <w:i/>
        </w:rPr>
        <w:t>ofertelor ...ui de A1 S.A şi a intimatei G1 S.A. de la etapa verificării conformităţii acestora</w:t>
      </w:r>
      <w:r>
        <w:rPr/>
        <w:t xml:space="preserve">. </w:t>
      </w:r>
    </w:p>
    <w:p>
      <w:pPr>
        <w:pStyle w:val="Normal"/>
        <w:ind w:firstLine="708"/>
        <w:jc w:val="both"/>
        <w:rPr/>
      </w:pPr>
      <w:r>
        <w:rPr/>
        <w:t>A doua încălcare de către autoritatea contractantă este constatată prin decizia nr. ...4 din data de 26.02.2024.</w:t>
      </w:r>
    </w:p>
    <w:p>
      <w:pPr>
        <w:pStyle w:val="Normal"/>
        <w:ind w:firstLine="708"/>
        <w:jc w:val="both"/>
        <w:rPr/>
      </w:pPr>
      <w:r>
        <w:rPr/>
        <w:t>În analiza acestui prim motiv al plângerii, prin care P1 invocă , în esenţă, încălcarea celor statuate prin decizia nr.DC1/... şi în ceea ce priveşte reevaluarea ofertei ....A1, Curtea de Apel constată:</w:t>
      </w:r>
    </w:p>
    <w:p>
      <w:pPr>
        <w:pStyle w:val="Normal"/>
        <w:ind w:firstLine="708"/>
        <w:jc w:val="both"/>
        <w:rPr/>
      </w:pPr>
      <w:r>
        <w:rPr>
          <w:rStyle w:val="Fontdeparagrafimplicit1"/>
          <w:b/>
        </w:rPr>
        <w:t xml:space="preserve">Prin decizia nr. DC1/... a Curţii de Apel ... s-au admis </w:t>
      </w:r>
      <w:r>
        <w:rPr/>
        <w:t xml:space="preserve"> plângerile conexate formulate de petentele </w:t>
      </w:r>
      <w:r>
        <w:rPr>
          <w:rStyle w:val="Fontdeparagrafimplicit1"/>
          <w:b/>
        </w:rPr>
        <w:t>P1 S.R.L.</w:t>
      </w:r>
      <w:r>
        <w:rPr/>
        <w:t xml:space="preserve"> şi </w:t>
      </w:r>
      <w:r>
        <w:rPr>
          <w:rStyle w:val="Fontdeparagrafimplicit1"/>
          <w:b/>
        </w:rPr>
        <w:t>... de A1 S.A. - lider al asocierii ... de A1 S.A.-B1 S.R.L.-F1 S.R.L.</w:t>
      </w:r>
      <w:r>
        <w:rPr/>
        <w:t xml:space="preserve">, în contradictoriu cu intimaţii </w:t>
      </w:r>
      <w:r>
        <w:rPr>
          <w:rStyle w:val="Fontdeparagrafimplicit1"/>
          <w:b/>
        </w:rPr>
        <w:t>G1 S.A.-lider al asocierii G1 S.A.-J1 S.R.L.-H1 S.R.L.</w:t>
      </w:r>
      <w:r>
        <w:rPr/>
        <w:t xml:space="preserve"> şi</w:t>
      </w:r>
      <w:r>
        <w:rPr>
          <w:rStyle w:val="Fontdeparagrafimplicit1"/>
          <w:b/>
        </w:rPr>
        <w:t xml:space="preserve"> JUDEŢUL..., </w:t>
      </w:r>
      <w:r>
        <w:rPr/>
        <w:t xml:space="preserve">, s-a modificat decizia CNSC , s-au admis contestațiile şi s-au anulat adresele prin care ofertele petentelor au fost declarate necâştigătoare şi adresa prin care oferta asocierii G1 S.A. a fost desemnată câştigătoare. A fost anulat  raportul procedurii de atribuire şi a fost </w:t>
      </w:r>
      <w:r>
        <w:rPr>
          <w:rStyle w:val="Fontdeparagrafimplicit1"/>
          <w:i/>
        </w:rPr>
        <w:t>obligată autoritatea contractantă la reluarea procedurii de atribuire prin reevaluarea ofertelor petentei ... de A1 S.A şi a intimatei G1 S.A. de la etapa verificării conformităţii acestora</w:t>
      </w:r>
      <w:r>
        <w:rPr/>
        <w:t xml:space="preserve">. </w:t>
      </w:r>
    </w:p>
    <w:p>
      <w:pPr>
        <w:pStyle w:val="Normal"/>
        <w:ind w:firstLine="708"/>
        <w:jc w:val="both"/>
        <w:rPr>
          <w:b/>
          <w:i/>
          <w:i/>
        </w:rPr>
      </w:pPr>
      <w:r>
        <w:rPr>
          <w:rStyle w:val="Fontdeparagrafimplicit1"/>
        </w:rPr>
        <w:t xml:space="preserve">De asemenea, Curtea remarcă pe de o parte  că nici ofertantul desemnat câştigător G1 SA - J1 SRL - H1 SRL şi nici Autoritatea Contractantă  nu au contestat decizia nr....6, ...1 prin care s-a constatat că, </w:t>
      </w:r>
      <w:r>
        <w:rPr>
          <w:rStyle w:val="Fontdeparagrafimplicit1"/>
          <w:b/>
          <w:u w:val="single"/>
        </w:rPr>
        <w:t>oferta desemnată câştigătoare de către autoritatea contractantă  încalcă autoritatea de lucru judecat</w:t>
      </w:r>
      <w:r>
        <w:rPr>
          <w:rStyle w:val="Fontdeparagrafimplicit1"/>
        </w:rPr>
        <w:t xml:space="preserve">  şi pe de altă  parte că petenta  P1 nu formulează critici privind preţurile din propunerea financiară de 40.695.383,44 lei fără TVA, clasată pe locul I însă critică preţurile din oferta clasată pe locul 2 .</w:t>
      </w:r>
    </w:p>
    <w:p>
      <w:pPr>
        <w:pStyle w:val="Normal"/>
        <w:ind w:firstLine="709"/>
        <w:jc w:val="both"/>
        <w:rPr/>
      </w:pPr>
      <w:r>
        <w:rPr/>
        <w:t>P</w:t>
      </w:r>
      <w:r>
        <w:rPr>
          <w:rStyle w:val="Fontdeparagrafimplicit1"/>
          <w:b/>
        </w:rPr>
        <w:t>uterea de lucru judecat</w:t>
      </w:r>
      <w:r>
        <w:rPr/>
        <w:t xml:space="preserve"> nu este limitata la dispozitivul hotararii, ci ea </w:t>
      </w:r>
      <w:r>
        <w:rPr>
          <w:rStyle w:val="Fontdeparagrafimplicit1"/>
          <w:b/>
        </w:rPr>
        <w:t>se întinde şi asupra</w:t>
      </w:r>
      <w:r>
        <w:rPr/>
        <w:t xml:space="preserve"> </w:t>
      </w:r>
      <w:r>
        <w:rPr>
          <w:rStyle w:val="Fontdeparagrafimplicit1"/>
          <w:b/>
          <w:i/>
        </w:rPr>
        <w:t xml:space="preserve">considerentelor </w:t>
      </w:r>
      <w:r>
        <w:rPr/>
        <w:t xml:space="preserve">hotărârii, care constituie susţinerea necesara a dispozitivului,  făcând corp comun cu acesta. </w:t>
      </w:r>
    </w:p>
    <w:p>
      <w:pPr>
        <w:pStyle w:val="Normal"/>
        <w:ind w:firstLine="709"/>
        <w:jc w:val="both"/>
        <w:rPr/>
      </w:pPr>
      <w:r>
        <w:rPr/>
        <w:t xml:space="preserve">Jurisprudenta CEDO </w:t>
      </w:r>
      <w:r>
        <w:rPr>
          <w:rStyle w:val="Fontdeparagrafimplicit1"/>
          <w:b/>
        </w:rPr>
        <w:t>in cauza Zazanis si altii contra Greciei</w:t>
      </w:r>
      <w:r>
        <w:rPr/>
        <w:t xml:space="preserve"> a statuat ca obligatia de a executa o hotarare nu se limiteaza la dispozitivul acesteia, iar autoritatile nu pot repune in discutie problema solutionata prin hotararea definitiva.</w:t>
      </w:r>
    </w:p>
    <w:p>
      <w:pPr>
        <w:pStyle w:val="Normal"/>
        <w:ind w:firstLine="709"/>
        <w:jc w:val="both"/>
        <w:rPr>
          <w:b/>
        </w:rPr>
      </w:pPr>
      <w:r>
        <w:rPr>
          <w:rStyle w:val="Fontdeparagrafimplicit1"/>
          <w:color w:val="000000"/>
        </w:rPr>
        <w:t>Astfel, Curtea de Apel , în prezenta cauză , constată că în considerentele deciziei nr.DC1/... s-</w:t>
      </w:r>
      <w:r>
        <w:rPr/>
        <w:t>a reţinut că, faţă de</w:t>
      </w:r>
      <w:r>
        <w:rPr>
          <w:rStyle w:val="Fontdeparagrafimplicit1"/>
          <w:b/>
        </w:rPr>
        <w:t xml:space="preserve"> </w:t>
      </w:r>
      <w:r>
        <w:rPr/>
        <w:t xml:space="preserve"> critica de neconformitate a ofertei desemnate câștigătoare privind faptul că „respectiva asociere a omis la încărcarea în SEAP a părții propunerii tehnice constituită de volumul intitulat „tehnic 201-300.pdf, în „Procesul verbal nr. ...9/13.03.2023 privind evaluarea conformității propunerilor tehnice cu prevederile caietului de sarcini și, după caz, cu factorii de evaluare", </w:t>
      </w:r>
      <w:r>
        <w:rPr>
          <w:rStyle w:val="Fontdeparagrafimplicit1"/>
          <w:b/>
        </w:rPr>
        <w:t xml:space="preserve"> nu s-au verificat în mod punctual aceste critici privind neîncărcarea în SEAP a unei părți din documentația tehnică, ci doar tangențial, </w:t>
      </w:r>
      <w:r>
        <w:rPr>
          <w:rStyle w:val="Fontdeparagrafimplicit1"/>
          <w:b/>
          <w:u w:val="single"/>
        </w:rPr>
        <w:t>prin referiri la diverse clarificări ulterioare.</w:t>
      </w:r>
    </w:p>
    <w:p>
      <w:pPr>
        <w:pStyle w:val="Frspaiere1"/>
        <w:ind w:firstLine="708"/>
        <w:rPr/>
      </w:pPr>
      <w:r>
        <w:rPr>
          <w:rStyle w:val="Fontdeparagrafimplicit1"/>
          <w:lang w:val="ro-RO"/>
        </w:rPr>
        <w:t xml:space="preserve">Decizia criticată în prezenta  cauză reține just  că autoritatea contractantă avea obligația de a verifica, în primul rând, încărcarea sau nu în SEAP a unei părți importante din propunerea tehnică de către asocierea desemnată câștigătoare şi  că autoritatea contractantă nu a făcut aceste verificări referitoare la neîncărcarea în SEAP a unei părți din documentația tehnică depusă de asocierea G1 S.A. în raport de dispozițiile art. 215 alin. </w:t>
      </w:r>
      <w:r>
        <w:rPr>
          <w:rStyle w:val="Fontdeparagrafimplicit1"/>
        </w:rPr>
        <w:t>(4) din Legea nr. 98/2016 și pe cele ale art. 137 alin. (3) lit. a) din HG nr. 395/2016, așa cum în mod definitiv și obligatoriu a dispus instanța de control judiciar.</w:t>
      </w:r>
    </w:p>
    <w:p>
      <w:pPr>
        <w:pStyle w:val="Frspaiere1"/>
        <w:ind w:firstLine="708"/>
        <w:rPr/>
      </w:pPr>
      <w:r>
        <w:rPr>
          <w:rStyle w:val="Fontdeparagrafimplicit1"/>
        </w:rPr>
        <w:t>Curtea de Apel în acord cu Consiliul reţine că hotărârea judecătorească este obligatorie potrivit art. 435 din Codul de procedură civilă şi are putere de lege.</w:t>
      </w:r>
    </w:p>
    <w:p>
      <w:pPr>
        <w:pStyle w:val="Frspaiere1"/>
        <w:rPr/>
      </w:pPr>
      <w:r>
        <w:rPr>
          <w:rStyle w:val="Fontdeparagrafimplicit1"/>
        </w:rPr>
        <w:tab/>
        <w:t>Astfel, judicios a reţinut  Consiliul că instanța de control judiciar a dispus verificări referitoare la  neîncărcarea în SEAP a unei părți din documentația tehnică depusă de asocierea G1 S.A. în raport de dispozițiile art. 215 alin. (4) din Legea nr. 98/2016 și pe cele ale art. 137 alin. (3) lit. a) din HG nr. 395/2016, iar autoritatea contractantă nu şi-a îndeplinit această obligaţie.</w:t>
      </w:r>
    </w:p>
    <w:p>
      <w:pPr>
        <w:pStyle w:val="Frspaiere1"/>
        <w:ind w:firstLine="709"/>
        <w:rPr/>
      </w:pPr>
      <w:r>
        <w:rPr>
          <w:rStyle w:val="Fontdeparagrafimplicit1"/>
        </w:rPr>
        <w:t>În consecinţă, Consiliul a constatat încălcarea de către Autoritatea Contractantă  a deciziei nr.DC1/... şi prin faptul că verificarea ofertei s-a făcut cu nerespectarea    dispoziţiilor art. 215 din Legea 98/2016, Consiliul apreciind ca neîncărcarea documentaţiei tehnice în SEAP în termenul defipt de lege, face inutilă  analiza celorlalte critici privind oferta desemnată câștigătoare, autoritatea contractantă având, în primul rând, obligația de a stabili dacă oferta asocierii G1 S.A. - J1 S.R.L. - H1 S.R.L. este  admisibilă la momentul încărcării documentaţiei, nu ulterior.</w:t>
      </w:r>
    </w:p>
    <w:p>
      <w:pPr>
        <w:pStyle w:val="Frspaiere1"/>
        <w:ind w:firstLine="709"/>
        <w:rPr/>
      </w:pPr>
      <w:r>
        <w:rPr>
          <w:rStyle w:val="Fontdeparagrafimplicit1"/>
        </w:rPr>
        <w:t>Deşi petenta P1 formulează critici  cu privire şi la conţinutul ofertei câştigătoare, Curtea de Apel îmbraţişează opinia Consiliului potrivit căreia Consiliul are  obligația de a face verificări referitoare la neîncărcarea în SEAP în termenul limită  a unei părți din documentația tehnică depusă de Asocierea G1 S.A. în raport de dispozițiile art. 215 alin. (4) din Legea nr. 98/2016 și art. 137 alin. (3) lit. a) din HG nr. 395/2016, statuând astfel că este inutilă analiza  criticilor cu privire la fondul ofertei desemnate câştigătoare, faţă de analiza cu prioritate a lipsei unei părţi din documentaţia încărcată în SEAP, înăuntrul termenului.</w:t>
      </w:r>
    </w:p>
    <w:p>
      <w:pPr>
        <w:pStyle w:val="Frspaiere1"/>
        <w:rPr/>
      </w:pPr>
      <w:r>
        <w:rPr>
          <w:rStyle w:val="Fontdeparagrafimplicit1"/>
        </w:rPr>
        <w:tab/>
        <w:t>Totodată, Consiliul a reţinut că deşi autoritatea contractantă avea această obligaţie,  nu a făcut aceste verificări referitoare la neîncărcarea în SEAP a unei părți din documentația tehnică depusă de asocierea G1 S.A. în raport de dispozițiile art. 215 alin. (4) din Legea nr. 98/2016  și pe cele ale art. 137 alin. (3) lit. a) din HG nr. 395/2016.</w:t>
      </w:r>
    </w:p>
    <w:p>
      <w:pPr>
        <w:pStyle w:val="Frspaiere1"/>
        <w:rPr/>
      </w:pPr>
      <w:r>
        <w:rPr>
          <w:rStyle w:val="Fontdeparagrafimplicit1"/>
        </w:rPr>
        <w:tab/>
        <w:t xml:space="preserve">Consiliul a reţinut </w:t>
      </w:r>
      <w:r>
        <w:rPr>
          <w:rStyle w:val="Fontdeparagrafimplicit1"/>
          <w:b/>
        </w:rPr>
        <w:t>încălcarea de către autoritatea contractantă JUDEŢUL... a deciziei Curţii de Apel … nr.DC1/...</w:t>
      </w:r>
      <w:r>
        <w:rPr>
          <w:rStyle w:val="Fontdeparagrafimplicit1"/>
        </w:rPr>
        <w:t>, conduită care aduce atingere principiului „res judicata”, hotărârea judecătorească fiind obligatorie.</w:t>
      </w:r>
    </w:p>
    <w:p>
      <w:pPr>
        <w:pStyle w:val="Frspaiere1"/>
        <w:ind w:firstLine="709"/>
        <w:rPr/>
      </w:pPr>
      <w:r>
        <w:rPr>
          <w:rStyle w:val="Fontdeparagrafimplicit1"/>
        </w:rPr>
        <w:t>Autoritatea Contractantă JUDEŢUL... nu poate ignora  decizia  DC1/... prevalându-se de opinia potrivit căreia „ neîncărcarea în SEAP a unui volum a propunerii tehnice excede atribuțiilor comisiei de evaluare, aceasta fiind obligată să evalueze ofertele din prisma cerințelor prevăzute în documentația de atribuire raportat la documentele prezentate de ofertanți” .</w:t>
      </w:r>
    </w:p>
    <w:p>
      <w:pPr>
        <w:pStyle w:val="Normal"/>
        <w:ind w:firstLine="708"/>
        <w:jc w:val="both"/>
        <w:rPr>
          <w:b/>
          <w:u w:val="single"/>
        </w:rPr>
      </w:pPr>
      <w:r>
        <w:rPr/>
        <w:t xml:space="preserve">Curtea de apel  în decizia nr. DC1/...  reține că această critică formulată de către ambele petente este reală, în sensul că în analiza Consiliului </w:t>
      </w:r>
      <w:r>
        <w:rPr>
          <w:rStyle w:val="Fontdeparagrafimplicit1"/>
          <w:b/>
        </w:rPr>
        <w:t xml:space="preserve">nu s-au verificat în mod punctual aceste critici privind neîncărcarea în SEAP a unei părți din documentația tehnică, ci doar </w:t>
      </w:r>
      <w:r>
        <w:rPr>
          <w:rStyle w:val="Fontdeparagrafimplicit1"/>
          <w:b/>
          <w:u w:val="single"/>
        </w:rPr>
        <w:t>prin referiri la diverse clarificări ulterioare.</w:t>
      </w:r>
    </w:p>
    <w:p>
      <w:pPr>
        <w:pStyle w:val="Frspaiere1"/>
        <w:ind w:firstLine="708"/>
        <w:rPr/>
      </w:pPr>
      <w:r>
        <w:rPr>
          <w:rStyle w:val="Fontdeparagrafimplicit1"/>
          <w:lang w:val="ro-RO"/>
        </w:rPr>
        <w:t xml:space="preserve">În mod judicios, Consiliul a reţinut că instanța de control judiciar a dispus verificări referitoare la  </w:t>
      </w:r>
      <w:r>
        <w:rPr>
          <w:rStyle w:val="Fontdeparagrafimplicit1"/>
          <w:b/>
          <w:u w:val="single"/>
          <w:lang w:val="ro-RO"/>
        </w:rPr>
        <w:t xml:space="preserve">neîncărcarea în SEAP a unei părţi din documentația tehnică depusa de asocierea G1 S.A. </w:t>
      </w:r>
      <w:r>
        <w:rPr>
          <w:rStyle w:val="Fontdeparagrafimplicit1"/>
          <w:lang w:val="ro-RO"/>
        </w:rPr>
        <w:t xml:space="preserve">în raport de dispozițiile art. 215 alin. </w:t>
      </w:r>
      <w:r>
        <w:rPr>
          <w:rStyle w:val="Fontdeparagrafimplicit1"/>
        </w:rPr>
        <w:t xml:space="preserve">(4) din Legea nr. 98/2016 și pe cele ale art. 137 alin. (3) lit. a) din HG nr. 395/2016, </w:t>
      </w:r>
      <w:r>
        <w:rPr>
          <w:rStyle w:val="Fontdeparagrafimplicit1"/>
          <w:b/>
          <w:u w:val="single"/>
        </w:rPr>
        <w:t>la momentul încărcării ofertei , iar nu ulterior</w:t>
      </w:r>
      <w:r>
        <w:rPr>
          <w:rStyle w:val="Fontdeparagrafimplicit1"/>
        </w:rPr>
        <w:t xml:space="preserve"> ,aspect obligatoriu pentru autoritatea contractanta  privind admisibilitatea acestei oferte, raportat la cele dispuse de Curtea de Apel … prin Hotărârea nr. DC1/....</w:t>
      </w:r>
    </w:p>
    <w:p>
      <w:pPr>
        <w:pStyle w:val="Frspaiere1"/>
        <w:ind w:firstLine="708"/>
        <w:rPr>
          <w:lang w:val="ro-RO"/>
        </w:rPr>
      </w:pPr>
      <w:r>
        <w:rPr/>
        <w:t>Astfel, cercetând sintactic şi morfologic prevederea legală, rezultă că p</w:t>
      </w:r>
      <w:r>
        <w:rPr>
          <w:rStyle w:val="rvts4"/>
        </w:rPr>
        <w:t>otrivit art. 60 din HG nr.395/2016 - </w:t>
      </w:r>
      <w:r>
        <w:rPr>
          <w:rStyle w:val="rvts7"/>
        </w:rPr>
        <w:t>(1) </w:t>
      </w:r>
      <w:r>
        <w:rPr>
          <w:rStyle w:val="rvts9"/>
        </w:rPr>
        <w:t xml:space="preserve">Operatorul economic are obligaţia de a transmite oferta numai în format electronic, precum şi de a completa DUAE prin intermediul SEAP </w:t>
      </w:r>
      <w:r>
        <w:rPr>
          <w:rStyle w:val="rvts9"/>
          <w:i/>
          <w:u w:val="single"/>
        </w:rPr>
        <w:t>până la data şi ora-limită de depunere a ofertelor prevăzute în anunţul de participare</w:t>
      </w:r>
      <w:r>
        <w:rPr>
          <w:rStyle w:val="rvts9"/>
        </w:rPr>
        <w:t>.</w:t>
      </w:r>
    </w:p>
    <w:p>
      <w:pPr>
        <w:pStyle w:val="Frspaiere1"/>
        <w:ind w:firstLine="708"/>
        <w:rPr>
          <w:lang w:val="ro-RO"/>
        </w:rPr>
      </w:pPr>
      <w:r>
        <w:rPr>
          <w:rStyle w:val="Fontdeparagrafimplicit1"/>
          <w:lang w:val="ro-RO"/>
        </w:rPr>
        <w:t xml:space="preserve">Validarea de către autoritatea contractantă a ofertei încarcate in Duae prin raportare la stări factuale ulterioare </w:t>
      </w:r>
      <w:r>
        <w:rPr>
          <w:lang w:val="ro-RO"/>
        </w:rPr>
        <w:t xml:space="preserve">nu poate fi primită, dat fiind faptul că ar fi de natură să conducă la o  extindere a termenului, să aducă atingere principiului tratamentului egal şi ar fi condus la crearea unui avantaj nejustificat pentru unul dintre ofertanți. </w:t>
      </w:r>
    </w:p>
    <w:p>
      <w:pPr>
        <w:pStyle w:val="Normal"/>
        <w:ind w:firstLine="720"/>
        <w:jc w:val="both"/>
        <w:rPr/>
      </w:pPr>
      <w:r>
        <w:rPr/>
        <w:t xml:space="preserve">Din punct de vedere al jurisprudenței europene, principiul transparenței a fost analizat inițial ca o obligație de transparență ce decurge din principiul egalității de tratament, întrucât, fără a se asigura un anumit grad de transparență a informațiilor oferite operatorilor economici, principiul egalității de tratament ar fi golit de conținut. Or, privit în acest context, principiul transparenței ar presupune ca toți ofertanții să cunoască regulile în conformitate cu care ofertele lor vor fi analizate și ca aceste reguli să fie aplicate tuturor în aceeași măsură și în același mod. </w:t>
      </w:r>
    </w:p>
    <w:p>
      <w:pPr>
        <w:pStyle w:val="Frspaiere1"/>
        <w:ind w:firstLine="708"/>
        <w:rPr>
          <w:lang w:val="ro-RO"/>
        </w:rPr>
      </w:pPr>
      <w:r>
        <w:rPr>
          <w:rStyle w:val="Fontdeparagrafimplicit1"/>
          <w:lang w:val="ro-RO"/>
        </w:rPr>
        <w:t xml:space="preserve">Pe cale de consecinţă  critica referitoare la lipsa organigramei Asocierea G1 S.A., rolul îndeplinit de fiecare din personalul cheie propus și modul de subordonare în luarea deciziilor,  </w:t>
      </w:r>
      <w:r>
        <w:rPr>
          <w:lang w:val="ro-RO"/>
        </w:rPr>
        <w:t>prezentarea schiței de proiect; etc nu pot fi avute în vedere atâta timp cât oferta nu a fost verificată sub aspectul admisibilităţii, conform dispoziţiilor deciziei civile nr.DC1/....</w:t>
      </w:r>
    </w:p>
    <w:p>
      <w:pPr>
        <w:pStyle w:val="Frspaiere1"/>
        <w:rPr>
          <w:lang w:val="ro-RO"/>
        </w:rPr>
      </w:pPr>
      <w:r>
        <w:rPr>
          <w:rStyle w:val="Fontdeparagrafimplicit1"/>
          <w:lang w:val="ro-RO"/>
        </w:rPr>
        <w:tab/>
      </w:r>
      <w:r>
        <w:rPr>
          <w:rStyle w:val="Fontdeparagrafimplicit1"/>
          <w:b/>
          <w:lang w:val="ro-RO"/>
        </w:rPr>
        <w:t>2</w:t>
      </w:r>
      <w:r>
        <w:rPr>
          <w:rStyle w:val="Fontdeparagrafimplicit1"/>
          <w:lang w:val="ro-RO"/>
        </w:rPr>
        <w:t xml:space="preserve">. În ceea ce privește criticile P1 SRL, referitoare la admisibilitatea ofertei clasate pe locul 2, respectiv oferta asocierii ... DE A1 SA - B1 SRL - F1, reiterate în plângere , aprecierea Consiliului este judicioasă. </w:t>
      </w:r>
    </w:p>
    <w:p>
      <w:pPr>
        <w:pStyle w:val="Frspaiere1"/>
        <w:ind w:firstLine="709"/>
        <w:rPr>
          <w:lang w:val="ro-RO"/>
        </w:rPr>
      </w:pPr>
      <w:r>
        <w:rPr>
          <w:rStyle w:val="Fontdeparagrafimplicit1"/>
          <w:lang w:val="ro-RO"/>
        </w:rPr>
        <w:t>Criticile petentei SC P1 SA privind neconformitatea ofertei depuse de Asocierea ... de A1 S.A, care nu au fost analizate de către CNSC, referitoare la faptul că oferta tehnică depusă de ... de A1 nu îndeplinește toate exigențele documentației de atribuire, din cuprinsul acesteia lipsind informațiile/documentele solicitate la punctul 5 de la Cap. IV. 1.1 din Fișa de date a achiziției și că aceasta conține în cadrul propunerii financiare prețuri care nu sunt rezultatul liberei concurențe și care nu pot fi justificate” sunt nefondate.</w:t>
      </w:r>
    </w:p>
    <w:p>
      <w:pPr>
        <w:pStyle w:val="Frspaiere1"/>
        <w:rPr>
          <w:lang w:val="ro-RO"/>
        </w:rPr>
      </w:pPr>
      <w:r>
        <w:rPr>
          <w:rStyle w:val="Fontdeparagrafimplicit1"/>
          <w:lang w:val="ro-RO"/>
        </w:rPr>
        <w:tab/>
      </w:r>
      <w:r>
        <w:rPr>
          <w:rStyle w:val="Fontdeparagrafimplicit1"/>
          <w:b/>
          <w:lang w:val="ro-RO"/>
        </w:rPr>
        <w:t>Prin decizia nr.DC1/...  s-a dispus autorității contractante să analizeze c</w:t>
      </w:r>
      <w:r>
        <w:rPr>
          <w:lang w:val="ro-RO"/>
        </w:rPr>
        <w:t>riticile de neconformitate ale petentei SC P1 SA privind neconformitatea ofertei depuse de Asocierea ... de A1 S.A, care nu au fost analizate de către CNSC, referitoare la faptul că oferta tehnică depusă de ... de A1 nu îndeplinește toate exigențele documentației de atribuire, din cuprinsul acesteia lipsind informațiile/documentele solicitate la punctul 5 de la Cap. IV. 1.1 din Fișa de date a achiziţiei şi că aceasta conține în cadrul propunerii financiare prețuri care nu sunt rezultatul liberei concurențe și care nu pot fi justificate.</w:t>
      </w:r>
    </w:p>
    <w:p>
      <w:pPr>
        <w:pStyle w:val="Frspaiere1"/>
        <w:rPr/>
      </w:pPr>
      <w:r>
        <w:rPr>
          <w:rStyle w:val="Fontdeparagrafimplicit1"/>
          <w:lang w:val="ro-RO"/>
        </w:rPr>
        <w:tab/>
      </w:r>
      <w:r>
        <w:rPr>
          <w:rStyle w:val="Fontdeparagrafimplicit1"/>
        </w:rPr>
        <w:t>Răspunsul astfel formulat a fost apreciat de autoritatea contractantă ca fiind concludent, constatare menţinută de Consiliu şi validată de Curte.</w:t>
      </w:r>
    </w:p>
    <w:p>
      <w:pPr>
        <w:pStyle w:val="Frspaiere1"/>
        <w:ind w:firstLine="709"/>
        <w:rPr/>
      </w:pPr>
      <w:r>
        <w:rPr>
          <w:rStyle w:val="Fontdeparagrafimplicit1"/>
        </w:rPr>
        <w:t>Mai mult Curtea de apel mai constată şi că organigrama  nu este în raporturi de sinonimie şi nu poate fi asimilată propunerii tehnice.</w:t>
      </w:r>
    </w:p>
    <w:p>
      <w:pPr>
        <w:pStyle w:val="Frspaiere1"/>
        <w:rPr/>
      </w:pPr>
      <w:r>
        <w:rPr>
          <w:rStyle w:val="Fontdeparagrafimplicit1"/>
        </w:rPr>
        <w:tab/>
        <w:t>Prin Fișa de date, Capitolul IV.4.1 - Modul de prezentare al propunerii tehnice, autoritatea contractantă a solicitat la punctul 5 îndeplinirea următoarelor cerințe:</w:t>
      </w:r>
    </w:p>
    <w:p>
      <w:pPr>
        <w:pStyle w:val="Frspaiere1"/>
        <w:rPr/>
      </w:pPr>
      <w:r>
        <w:rPr>
          <w:rStyle w:val="Fontdeparagrafimplicit1"/>
        </w:rPr>
        <w:tab/>
        <w:t>”5. Antreprenorul va transmite Programul de lucrări (sub formă de grafic}, întocmit astfel încât, în baza lui, să elaboreze ulterior Programul de Execuție prevăzut la clauza 17 din condiții generale de contract. Programul de lucrări va detalia atât activitatea de proiectare cât și cea de execuție, recepție a lucrărilor. Ofertantul va identifica și consemna în programul de lucrări perioada de timp friguros. Durata activităților va fi exprimată în luni. Programul de lucrări va cuprinde cel puțin informațiile solicitate mai jos:</w:t>
      </w:r>
    </w:p>
    <w:p>
      <w:pPr>
        <w:pStyle w:val="Frspaiere1"/>
        <w:rPr/>
      </w:pPr>
      <w:r>
        <w:rPr>
          <w:rStyle w:val="Fontdeparagrafimplicit1"/>
        </w:rPr>
        <w:tab/>
        <w:t>Pentru îndeplinirea cerinței solicitate de a realiza contractul în perioada declarată de către fiecare ofertant, se solicită ofertanților să prezinte planificarea lucrărilor, succesiunea și durata activităților, luându-se în considerare și timpul necesar pentru mobilizare, cu evidențierea momentelor semnificative ale proiectului, în raport cu necesitatea atingerii rezultatelor, lucrările permanente și temporare ce urmează să fie executate. Ofertantul trebuie sa facă dovada unei planificări realiste a activităților în perioada de derulare a contractului (de exemplu proporționalitate între complexitatea activităților si timpul necesar pentru îndeplinirea acestora, sincronizarea activităților propuse luând în considerare timpul necesar mobilizării resurselor și utilizarea resurselor alocate pentru fiecare activitate, pentru atingerea obiectivelor contractului)".</w:t>
      </w:r>
    </w:p>
    <w:p>
      <w:pPr>
        <w:pStyle w:val="Frspaiere1"/>
        <w:rPr/>
      </w:pPr>
      <w:r>
        <w:rPr>
          <w:rStyle w:val="Fontdeparagrafimplicit1"/>
        </w:rPr>
        <w:tab/>
        <w:t>Deşi susţine petenta că aceste clarificări,  transmise de Asocierea ... de A1, sunt neconcludente, mai exact datele prezentate (resursele prezentate) sunt incomplete, fapt ce conduce la ideea că Programul de Lucrări prezentat inițial nu este real si nu prezintă toate lucrările menționate în cadrul proiectului tehnic sau documentul prezentat ulterior nu este corect, faptul că lipsesc din cadrul resurselor elementele prefabricate, în speță plăcuțe carosabile prefabricate (capacele care se montează în partea superioară), că lipsesc  activităţi, că Graficul depus inițial în cadrul ofertei nu conține toate activitățile necesare pentru execuția contractului , că lipsesc resursele alocate, că documentele  prezentate în răspunsul la solicitarea de clarificări conțin informații incomplete privind resursele utilizate,  Curtea constată că petenta adaugă la cerinţele  documentaţiei de atribuire, procedeu nepermis.</w:t>
      </w:r>
      <w:r>
        <w:rPr>
          <w:rStyle w:val="Fontdeparagrafimplicit1"/>
          <w:i/>
          <w:color w:val="000000"/>
        </w:rPr>
        <w:t xml:space="preserve"> </w:t>
      </w:r>
    </w:p>
    <w:p>
      <w:pPr>
        <w:pStyle w:val="Frspaiere1"/>
        <w:ind w:firstLine="709"/>
        <w:rPr/>
      </w:pPr>
      <w:r>
        <w:rPr/>
        <w:t>La d</w:t>
      </w:r>
      <w:r>
        <w:rPr>
          <w:rStyle w:val="Fontdeparagrafimplicit1"/>
        </w:rPr>
        <w:t>ata de 17.11.2023, comisia de evaluare prin Adresa nr. 15986 a solicitat clarificări respectiv: ”Având în vedere cerința din FDA cap.4.1 Modul de prezentare a propunerii tehnice pct.5 referitor la „Antreprenorul va transmite Programul de lucrări (sub formă de grafic), întocmit astfel încât, în baza lui, să elaboreze ulterior Programul de Execuție prevăzut ia clauza 17 din condiții generale de contract. Programul de lucrări va detalia atât activitatea de proiectare cât și cea de execuție, recepție a lucrărilor. Ofertantul va identifica și consemna în programul de lucrări perioada de timp friguros. Durata activităților va fi exprimată în luni. Programul de lucrări va cuprinde cel puțin informațiile solicitate mai jos: Pentru îndeplinirea cerinței solicitate de a realiza contractul în perioada declarată de către fiecare ofertant, se solicită ofertanților să prezinte planificarea lucrărilor, succesiunea și durata activităților, luându-se în considerare și timpul necesar pentru mobilizare, cu evidențierea momentelor semnificative ale proiectului, în raport cu necesitatea atingerii rezultatelor, lucrările permanente și temporare ce urmează să fie executate. Ofertantul trebuie sa facă dovada unei planificări realiste a activităților în perioada de derulare a contractului (de exemplu proporționalitate între complexitatea activităților și timpul necesar pentru îndeplinirea acestora, sincronizarea activităților propuse luând în considerare timpul necesar mobilizării resurselor și utilizarea resurselor alocate pentru fiecare activitate, pentru atingerea obiectivelor contractului), însă resursele alocate nu se găsesc in programul de lucrări. Va rugam clarificați”.</w:t>
      </w:r>
    </w:p>
    <w:p>
      <w:pPr>
        <w:pStyle w:val="Frspaiere1"/>
        <w:ind w:firstLine="709"/>
        <w:rPr/>
      </w:pPr>
      <w:r>
        <w:rPr>
          <w:rStyle w:val="Fontdeparagrafimplicit1"/>
        </w:rPr>
        <w:t>Cu privire la critica petentei potrivit cărei solicitarea de clarificări nr. …6/17.11.2023, adresată Asocierii ...ui de A1 nu a fost contestată, din documentaţia depusă la dosarul cauzei prin CD ul ataşat , la fila 159 a documentaţiei Curtea observă că în  răspunsul nr….4/21.11.2023 , fila 2 răspunsul 1, se  face trimitere la Graficul de execuţie şi Graficul iniţial cu  resurse, Graficul iniţial cu resurse extins, planificarea realistă a activităţilor, alocarea resurselor în cadrul propunerii tehmice , al Asocierii ... de A1.</w:t>
      </w:r>
    </w:p>
    <w:p>
      <w:pPr>
        <w:pStyle w:val="Frspaiere1"/>
        <w:ind w:firstLine="709"/>
        <w:rPr/>
      </w:pPr>
      <w:r>
        <w:rPr>
          <w:rStyle w:val="Fontdeparagrafimplicit1"/>
        </w:rPr>
        <w:t>Pe de altă parte, Curtea remarcă şi faptul că petenta creează un sofism în jurul motivului invocat cu privire la faptul că nu a fost contestată solicitarea de clarificări nr….6/2023, solicitare emisă în conformitate cu decizia Curtii de Apel , acesta fiind şi motivul pentru care se menţionează în răspunsul …4/2023, unde anume în documentaţie pot fi verificare datele respective.</w:t>
      </w:r>
    </w:p>
    <w:p>
      <w:pPr>
        <w:pStyle w:val="Frspaiere1"/>
        <w:rPr/>
      </w:pPr>
      <w:r>
        <w:rPr>
          <w:rStyle w:val="Fontdeparagrafimplicit1"/>
        </w:rPr>
        <w:tab/>
      </w:r>
      <w:r>
        <w:rPr>
          <w:rStyle w:val="Fontdeparagrafimplicit1"/>
          <w:b/>
        </w:rPr>
        <w:t>3.</w:t>
      </w:r>
      <w:r>
        <w:rPr>
          <w:rStyle w:val="Fontdeparagrafimplicit1"/>
        </w:rPr>
        <w:t xml:space="preserve"> În ceea ce privește susținerile contestatorului referitoare la faptul că oferta asocierii ... DE A1 SA - B1 SRL - F1 ar conține în cadrul propunerii financiare prețuri care nu sunt rezultatul liberei concurențe și care nu pot fi justificate, prin considerentele deciziei civile  nr. DC1/... emisă de Curtea de Apel …, s-a dispus  ca autoritatea contractantă </w:t>
      </w:r>
      <w:r>
        <w:rPr>
          <w:rStyle w:val="Fontdeparagrafimplicit1"/>
          <w:i/>
          <w:u w:val="single"/>
        </w:rPr>
        <w:t>să verifice existența</w:t>
      </w:r>
      <w:r>
        <w:rPr>
          <w:rStyle w:val="Fontdeparagrafimplicit1"/>
        </w:rPr>
        <w:t xml:space="preserve">, în cadrul propunerii financiare depusă de ... DE A1 SA- SC B1 SRL- F1 SRL, unor prețuri care nu sunt rezultatul liberei concurențe și care nu pot fi justificate, verificare care, în opinia Consiliului, a avut loc în etapa de evaluare a propunerilor financiare. </w:t>
      </w:r>
    </w:p>
    <w:p>
      <w:pPr>
        <w:pStyle w:val="Frspaiere1"/>
        <w:rPr/>
      </w:pPr>
      <w:r>
        <w:rPr>
          <w:rStyle w:val="Fontdeparagrafimplicit1"/>
        </w:rPr>
        <w:tab/>
        <w:t>Consiliul a reținut că, în cazul ofertei asocierii ... DE A1 SA - B1 SRL - F1 nu este îndeplinită prezumția legală consacrată de dispozițiile art. 136 alin. (4) din HG nr. 395/2016 - „In sensul prevederilor art. 210 alin. (1) din Lege, o ofertă prezintă un preț aparent neobișnuit de scăzut în raport cu ceea ce urmează a fi furnizat, executat sau prestat atunci când prețul ofertat, fără TVA, reprezintă mai puțin de 80% din valoarea estimată a contractului respectiv”, astfel că autoritatea contractantă nu avea obligația impusă de dispozițiile art. 210 alin. (1) din Legea nr. 98/2016, respectiv „de a solicita ofertantului care a depus o astfel de ofertă clarificări cu privire la prețul sau costurile propuse în respectiva ofertă”.</w:t>
      </w:r>
    </w:p>
    <w:p>
      <w:pPr>
        <w:pStyle w:val="Frspaiere1"/>
        <w:rPr/>
      </w:pPr>
      <w:r>
        <w:rPr>
          <w:rStyle w:val="Fontdeparagrafimplicit1"/>
        </w:rPr>
        <w:tab/>
        <w:t>Potrivit documentelor aflate la dosarul cauzei, oferta financiară depusă de către asocierea ... DE A1 SA- SC B1 SRL- F1 SRL a avut o valoare de 44.019.933,70 lei fără TVA, reprezentând 88,94% din valoarea estimată a contractului (49.493.059,88 lei fără TVA).</w:t>
      </w:r>
    </w:p>
    <w:p>
      <w:pPr>
        <w:pStyle w:val="Normal"/>
        <w:ind w:firstLine="708"/>
        <w:jc w:val="both"/>
        <w:rPr/>
      </w:pPr>
      <w:r>
        <w:rPr>
          <w:rStyle w:val="Fontdeparagrafimplicit1"/>
          <w:b/>
        </w:rPr>
        <w:t xml:space="preserve">- </w:t>
      </w:r>
      <w:r>
        <w:rPr>
          <w:rStyle w:val="Fontdeparagrafimplicit1"/>
        </w:rPr>
        <w:t xml:space="preserve">G1 SA, lider al Asocierii G1 SA - J1 SRL - H1 SRL a avut  o propunere financiară de 40.695.383,44 lei fără TVA; </w:t>
      </w:r>
    </w:p>
    <w:p>
      <w:pPr>
        <w:pStyle w:val="Normal"/>
        <w:ind w:firstLine="708"/>
        <w:jc w:val="both"/>
        <w:rPr/>
      </w:pPr>
      <w:r>
        <w:rPr>
          <w:rStyle w:val="Fontdeparagrafimplicit1"/>
        </w:rPr>
        <w:t>- P1 SRL a avut  o propunere financiară de 47.489.419,56 lei fără TVA.</w:t>
      </w:r>
    </w:p>
    <w:p>
      <w:pPr>
        <w:pStyle w:val="Frspaiere1"/>
        <w:ind w:firstLine="708"/>
        <w:rPr>
          <w:lang w:val="ro-RO"/>
        </w:rPr>
      </w:pPr>
      <w:r>
        <w:rPr>
          <w:rStyle w:val="Fontdeparagrafimplicit1"/>
          <w:lang w:val="ro-RO"/>
        </w:rPr>
        <w:t>Conform art. 136. din H.G. nr.395/2016 "</w:t>
      </w:r>
      <w:r>
        <w:rPr>
          <w:rStyle w:val="rvts7"/>
          <w:lang w:val="ro-RO"/>
        </w:rPr>
        <w:t xml:space="preserve">  (1) În situaţia în care comisia de evaluare constată că elemente de preţ ale unei oferte sunt aparent neobişnuit de scăzute, prin raportare la preţurile pieţei, utilizându-se ca referinţa în acest sens informaţii cum ar fi buletine statistice, sau cotaţii ale burselor de mărfuri, comisia de evaluare va solicita ofertantului care a depus oferta în cauză explicaţii cu privire la posibilitate îndeplinirii contractului în condiţiile de calitate impuse prin documentaţia de atribuire. </w:t>
      </w:r>
    </w:p>
    <w:p>
      <w:pPr>
        <w:pStyle w:val="Frspaiere1"/>
        <w:ind w:firstLine="708"/>
        <w:rPr>
          <w:lang w:val="ro-RO"/>
        </w:rPr>
      </w:pPr>
      <w:r>
        <w:rPr>
          <w:rStyle w:val="rvts7"/>
          <w:lang w:val="ro-RO"/>
        </w:rPr>
        <w:t>Potrivit al     (4) În sensul prevederilor </w:t>
      </w:r>
      <w:hyperlink r:id="rId2">
        <w:r>
          <w:rPr>
            <w:rStyle w:val="Hyperlink"/>
            <w:lang w:val="ro-RO"/>
          </w:rPr>
          <w:t>art. 210</w:t>
        </w:r>
      </w:hyperlink>
      <w:r>
        <w:rPr>
          <w:rStyle w:val="rvts7"/>
          <w:lang w:val="ro-RO"/>
        </w:rPr>
        <w:t> alin. (1) din Lege, o ofertă prezintă un preţ aparent neobişnuit de scăzut în raport cu ceea ce urmează a fi furnizat, executat sau prestat atunci când preţul ofertat, fără TVA, reprezintă mai puţin de 80% din valoarea estimată a contractului respectiv.</w:t>
      </w:r>
    </w:p>
    <w:p>
      <w:pPr>
        <w:pStyle w:val="Frspaiere1"/>
        <w:ind w:firstLine="708"/>
        <w:rPr>
          <w:lang w:val="ro-RO"/>
        </w:rPr>
      </w:pPr>
      <w:r>
        <w:rPr>
          <w:rStyle w:val="rvts7"/>
          <w:lang w:val="ro-RO"/>
        </w:rPr>
        <w:t xml:space="preserve">Potrivit </w:t>
      </w:r>
      <w:r>
        <w:rPr>
          <w:rStyle w:val="rvts4"/>
          <w:lang w:val="ro-RO"/>
        </w:rPr>
        <w:t>art. 210</w:t>
      </w:r>
      <w:r>
        <w:rPr>
          <w:rStyle w:val="rvts9"/>
          <w:lang w:val="ro-RO"/>
        </w:rPr>
        <w:t xml:space="preserve"> al </w:t>
      </w:r>
      <w:r>
        <w:rPr>
          <w:rStyle w:val="rvts4"/>
          <w:lang w:val="ro-RO"/>
        </w:rPr>
        <w:t> </w:t>
      </w:r>
      <w:r>
        <w:rPr>
          <w:rStyle w:val="rvts10"/>
          <w:lang w:val="ro-RO"/>
        </w:rPr>
        <w:t>(1)  din Legea 98/2016 “În cazul unei propuneri financiare aparent neobişnuit de scăzută în raport cu lucrările, produsele sau serviciile care constituie obiectul contractului de achiziţie publică/acordului-cadru care urmează a fi atribuit/încheiat, autoritatea contractantă are obligaţia de a solicita ofertantului care a depus o astfel de ofertă clarificări cu privire la preţul sau costurile propuse în respectiva ofertă.”</w:t>
      </w:r>
    </w:p>
    <w:p>
      <w:pPr>
        <w:pStyle w:val="Frspaiere1"/>
        <w:ind w:firstLine="708"/>
        <w:rPr>
          <w:lang w:val="ro-RO"/>
        </w:rPr>
      </w:pPr>
      <w:r>
        <w:rPr>
          <w:rStyle w:val="Fontdeparagrafimplicit1"/>
          <w:lang w:val="ro-RO"/>
        </w:rPr>
        <w:t>Curtea de Apel constată că  legea instituie o prezumţie legală relativă de preţ aparent neobişnuit de scăzut  , dacă reprezintă mai puţin de 80% din valoarea estimată a contractului, ipoteză în care revine părţii interesate sarcina de a proba .</w:t>
      </w:r>
    </w:p>
    <w:p>
      <w:pPr>
        <w:pStyle w:val="Frspaiere1"/>
        <w:ind w:firstLine="708"/>
        <w:rPr/>
      </w:pPr>
      <w:r>
        <w:rPr>
          <w:rStyle w:val="Fontdeparagrafimplicit1"/>
        </w:rPr>
        <w:t>Valoarea estimată a contractului este de 49.493.059,88 lei fără TVA.</w:t>
      </w:r>
    </w:p>
    <w:p>
      <w:pPr>
        <w:pStyle w:val="Normal"/>
        <w:ind w:firstLine="708"/>
        <w:jc w:val="both"/>
        <w:rPr/>
      </w:pPr>
      <w:r>
        <w:rPr/>
        <w:t xml:space="preserve">În raport de aceste propuneri financiare şi văzând criticile cu privire la valoarea ofertei  clasate pe locul 2 de </w:t>
      </w:r>
      <w:r>
        <w:rPr>
          <w:rStyle w:val="Fontdeparagrafimplicit1"/>
        </w:rPr>
        <w:t xml:space="preserve">44.019.933,70 lei fără TVA, Curtea de apel constată în prezenta plângere  P1 </w:t>
      </w:r>
      <w:r>
        <w:rPr>
          <w:rStyle w:val="Fontdeparagrafimplicit1"/>
          <w:i/>
        </w:rPr>
        <w:t xml:space="preserve">nu formulează critici </w:t>
      </w:r>
      <w:r>
        <w:rPr>
          <w:rStyle w:val="Fontdeparagrafimplicit1"/>
        </w:rPr>
        <w:t>privind propunerea financiară depusă de G1 CSA de 40.695.383,44 lei fără TVA, deşi între oferta clasata pe locul 1 şi  oferta clasată pe locul 2 este o diferenţă de 3.324.550,3 lei, iar între oferta clasată pe locul 2 şi oferta petentei, clasate pe locul 3 este o diferenţă de 3.469.485,8 lei.</w:t>
      </w:r>
    </w:p>
    <w:p>
      <w:pPr>
        <w:pStyle w:val="Frspaiere1"/>
        <w:ind w:firstLine="708"/>
        <w:rPr>
          <w:lang w:val="ro-RO"/>
        </w:rPr>
      </w:pPr>
      <w:r>
        <w:rPr>
          <w:rStyle w:val="Fontdeparagrafimplicit1"/>
          <w:lang w:val="ro-RO"/>
        </w:rPr>
        <w:t>Atât autoritatea contractantă cât şi Consiliul au reţinut pertinent că, P1, în virtutea  obligaţiei legale de a proba nu face dovada , raportat la elemente de referinţă neutre  a unor  preţuri şi planificări nerealiste  din oferta Asocierii  ... De A1 Sa- Sc B1 Srl- F1 Srl .</w:t>
      </w:r>
    </w:p>
    <w:p>
      <w:pPr>
        <w:pStyle w:val="Normal"/>
        <w:ind w:firstLine="708"/>
        <w:jc w:val="both"/>
        <w:rPr/>
      </w:pPr>
      <w:r>
        <w:rPr>
          <w:rStyle w:val="Fontdeparagrafimplicit1"/>
        </w:rPr>
        <w:t xml:space="preserve">Curtea de apel constată lipsa probării unor elemente de preț aparent neobișnuit de scăzute, prin raportare la prețurile pieței, astfel încât, prezumţia relativă   instituită de lege nu a fost răsturnată, în condițiile ofertării unei propuneri financiare care reprezintă 88,94% din valoarea estimată a achiziției. </w:t>
      </w:r>
    </w:p>
    <w:p>
      <w:pPr>
        <w:pStyle w:val="Normal"/>
        <w:ind w:firstLine="708"/>
        <w:jc w:val="both"/>
        <w:rPr>
          <w:color w:val="000000"/>
        </w:rPr>
      </w:pPr>
      <w:r>
        <w:rPr>
          <w:rStyle w:val="Fontdeparagrafimplicit1"/>
        </w:rPr>
        <w:tab/>
      </w:r>
      <w:r>
        <w:rPr>
          <w:rStyle w:val="Fontdeparagrafimplicit1"/>
          <w:color w:val="000000"/>
        </w:rPr>
        <w:t xml:space="preserve">Pentru toate aceste considerente, în temeiul art. </w:t>
      </w:r>
      <w:r>
        <w:rPr/>
        <w:t xml:space="preserve">34 </w:t>
      </w:r>
      <w:r>
        <w:rPr>
          <w:rStyle w:val="Fontdeparagrafimplicit1"/>
          <w:color w:val="000000"/>
        </w:rPr>
        <w:t>alin. (5) din Legea nr. 101/2016</w:t>
      </w:r>
      <w:r>
        <w:rPr/>
        <w:t xml:space="preserve"> privind remediile şi căile de atac în materie de atribuire a contractelor de achiziţie publică,</w:t>
      </w:r>
      <w:r>
        <w:rPr>
          <w:rStyle w:val="Fontdeparagrafimplicit1"/>
          <w:color w:val="000000"/>
        </w:rPr>
        <w:t xml:space="preserve"> Curtea va respinge plângerea formulată ca nefondată.</w:t>
      </w:r>
    </w:p>
    <w:p>
      <w:pPr>
        <w:pStyle w:val="Frspaiere1"/>
        <w:rPr>
          <w:rStyle w:val="Fontdeparagrafimplicit1"/>
        </w:rPr>
      </w:pPr>
      <w:r>
        <w:rPr/>
      </w:r>
    </w:p>
    <w:p>
      <w:pPr>
        <w:pStyle w:val="Normal"/>
        <w:jc w:val="center"/>
        <w:rPr>
          <w:b/>
        </w:rPr>
      </w:pPr>
      <w:r>
        <w:rPr>
          <w:rStyle w:val="Fontdeparagrafimplicit1"/>
          <w:b/>
        </w:rPr>
        <w:t>PENTRU ACESTE MOTIVE,</w:t>
        <w:br/>
        <w:t>ÎN NUMELE LEGII</w:t>
      </w:r>
    </w:p>
    <w:p>
      <w:pPr>
        <w:pStyle w:val="Normal"/>
        <w:jc w:val="center"/>
        <w:rPr>
          <w:b/>
        </w:rPr>
      </w:pPr>
      <w:r>
        <w:rPr>
          <w:rStyle w:val="Fontdeparagrafimplicit1"/>
          <w:b/>
        </w:rPr>
        <w:t>DECIDE</w:t>
      </w:r>
    </w:p>
    <w:p>
      <w:pPr>
        <w:pStyle w:val="Normal"/>
        <w:rPr>
          <w:rStyle w:val="Fontdeparagrafimplicit1"/>
        </w:rPr>
      </w:pPr>
      <w:r>
        <w:rPr/>
      </w:r>
    </w:p>
    <w:p>
      <w:pPr>
        <w:pStyle w:val="Normal"/>
        <w:ind w:firstLine="709"/>
        <w:jc w:val="both"/>
        <w:rPr/>
      </w:pPr>
      <w:r>
        <w:rPr/>
        <w:t>Respinge plângerea formulată de petenta P1 SRL, cu sediul în ... şi cu sediul procesual ales în ..., la Cab. Av. ..., împotriva deciziei nr. ...4 din data de 26.02.2024, pronunţată de Consiliul Naţional de Soluţionare a Contestaţiilor, în contradictoriu cu intimaţii JUDEŢUL..., cu sediul în ..., jud. ..., ... DE A1 S.A.-LIDER AL ASOCIERII ... DE A1 S.A.-B1 S.R.L.-F1 S.R.L., cu sediul în loc. ....,  jud. ... şi G1 S.A.-LIDER AL ASOCIERII G1 S.A.-J1 S.R.L.-H1 S.R.L., cu sediul în ..., jud. ...,  ca nefondată.</w:t>
      </w:r>
    </w:p>
    <w:p>
      <w:pPr>
        <w:pStyle w:val="Normal"/>
        <w:ind w:firstLine="709"/>
        <w:rPr/>
      </w:pPr>
      <w:r>
        <w:rPr/>
        <w:t>Definitivă.</w:t>
      </w:r>
    </w:p>
    <w:p>
      <w:pPr>
        <w:pStyle w:val="Normal"/>
        <w:ind w:firstLine="709"/>
        <w:rPr/>
      </w:pPr>
      <w:r>
        <w:rPr/>
        <w:t>Pronunţată la ..., prin punerea soluţiei la dispoziţia părţilor prin grefa Curţii.</w:t>
      </w:r>
    </w:p>
    <w:p>
      <w:pPr>
        <w:pStyle w:val="Normal"/>
        <w:jc w:val="center"/>
        <w:rPr/>
      </w:pPr>
      <w:r>
        <w:rPr/>
      </w:r>
      <w:bookmarkStart w:name="completul_1" w:id="20"/>
      <w:bookmarkStart w:name="completul_1" w:id="21"/>
      <w:bookmarkEnd w:id="21"/>
    </w:p>
    <w:tbl>
      <w:tblPr>
        <w:tblW w:w="9288" w:type="dxa"/>
        <w:jc w:val="center"/>
        <w:tblInd w:w="0" w:type="dxa"/>
        <w:tblLayout w:type="fixed"/>
        <w:tblCellMar>
          <w:top w:w="284" w:type="dxa"/>
          <w:left w:w="108" w:type="dxa"/>
          <w:bottom w:w="284" w:type="dxa"/>
          <w:right w:w="108" w:type="dxa"/>
        </w:tblCellMar>
      </w:tblPr>
      <w:tblGrid>
        <w:gridCol w:w="3096"/>
        <w:gridCol w:w="3096"/>
        <w:gridCol w:w="3096"/>
      </w:tblGrid>
      <w:tr>
        <w:trPr/>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pPr>
            <w:r>
              <w:rPr/>
              <w:t>Preşedinte,</w:t>
            </w:r>
          </w:p>
          <w:p>
            <w:pPr>
              <w:pStyle w:val="Normal"/>
              <w:jc w:val="center"/>
              <w:rPr/>
            </w:pPr>
            <w:r>
              <w:rPr/>
              <w:t>A0006</w:t>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pPr>
            <w:r>
              <w:rPr/>
              <w:t>Judecător,</w:t>
            </w:r>
          </w:p>
          <w:p>
            <w:pPr>
              <w:pStyle w:val="Normal"/>
              <w:jc w:val="center"/>
              <w:rPr/>
            </w:pPr>
            <w:r>
              <w:rPr/>
              <w:t>...</w:t>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pPr>
            <w:r>
              <w:rPr/>
              <w:t>Judecător,</w:t>
            </w:r>
          </w:p>
          <w:p>
            <w:pPr>
              <w:pStyle w:val="Normal"/>
              <w:jc w:val="center"/>
              <w:rPr/>
            </w:pPr>
            <w:r>
              <w:rPr/>
              <w:t>...</w:t>
            </w:r>
          </w:p>
        </w:tc>
      </w:tr>
      <w:tr>
        <w:trPr/>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pPr>
            <w:r>
              <w:rPr/>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pPr>
            <w:r>
              <w:rPr/>
              <w:t>Grefier,</w:t>
            </w:r>
          </w:p>
          <w:p>
            <w:pPr>
              <w:pStyle w:val="Normal"/>
              <w:jc w:val="center"/>
              <w:rPr/>
            </w:pPr>
            <w:r>
              <w:rPr/>
              <w:t>...</w:t>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pPr>
            <w:r>
              <w:rPr/>
            </w:r>
          </w:p>
        </w:tc>
      </w:tr>
    </w:tbl>
    <w:p>
      <w:pPr>
        <w:pStyle w:val="Normal"/>
        <w:jc w:val="center"/>
        <w:rPr/>
      </w:pPr>
      <w:r>
        <w:rPr/>
      </w:r>
      <w:bookmarkStart w:name="completul_1" w:id="22"/>
      <w:bookmarkStart w:name="completul_1" w:id="23"/>
      <w:bookmarkEnd w:id="23"/>
    </w:p>
    <w:p>
      <w:pPr>
        <w:pStyle w:val="Normal"/>
        <w:jc w:val="center"/>
        <w:rPr>
          <w:sz w:val="16"/>
        </w:rPr>
      </w:pPr>
      <w:r>
        <w:rPr>
          <w:sz w:val="16"/>
        </w:rPr>
      </w:r>
    </w:p>
    <w:p>
      <w:pPr>
        <w:pStyle w:val="Normal"/>
        <w:rPr>
          <w:sz w:val="16"/>
        </w:rPr>
      </w:pPr>
      <w:r>
        <w:rPr>
          <w:rStyle w:val="Fontdeparagrafimplicit1"/>
          <w:sz w:val="16"/>
        </w:rPr>
        <w:t>Red. Jud  A0006/...</w:t>
      </w:r>
    </w:p>
    <w:p>
      <w:pPr>
        <w:pStyle w:val="Normal"/>
        <w:rPr>
          <w:sz w:val="16"/>
        </w:rPr>
      </w:pPr>
      <w:r>
        <w:rPr>
          <w:rStyle w:val="Fontdeparagrafimplicit1"/>
          <w:sz w:val="16"/>
        </w:rPr>
        <w:t>Tehnored....../6 ex.</w:t>
      </w:r>
    </w:p>
    <w:p>
      <w:pPr>
        <w:pStyle w:val="Normal"/>
        <w:rPr>
          <w:rStyle w:val="Fontdeparagrafimplicit1"/>
        </w:rPr>
      </w:pPr>
      <w:r>
        <w:rPr/>
      </w:r>
    </w:p>
    <w:p>
      <w:pPr>
        <w:pStyle w:val="Normal"/>
        <w:rPr>
          <w:rStyle w:val="Fontdeparagrafimplicit1"/>
        </w:rPr>
      </w:pPr>
      <w:r>
        <w:rPr/>
      </w:r>
    </w:p>
    <w:sectPr>
      <w:footerReference w:type="default" r:id="rId3"/>
      <w:type w:val="nextPage"/>
      <w:pgSz w:w="11906" w:h="16838"/>
      <w:pgMar w:top="1418" w:right="1134" w:bottom="1418" w:left="1134" w:header="0" w:footer="408"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Verdana">
    <w:charset w:val="00"/>
    <w:family w:val="roman"/>
    <w:pitch w:val="variable"/>
  </w:font>
  <w:font w:name="Arial">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ubsol1"/>
      <w:jc w:val="center"/>
      <w:rPr/>
    </w:pPr>
    <w:r>
      <w:rPr/>
      <w:fldChar w:fldCharType="begin"/>
    </w:r>
    <w:r>
      <w:rPr/>
      <w:instrText xml:space="preserve"> PAGE </w:instrText>
    </w:r>
    <w:r>
      <w:rPr/>
      <w:fldChar w:fldCharType="separate"/>
    </w:r>
    <w:r>
      <w:rPr/>
      <w:t>35</w:t>
    </w:r>
    <w:r>
      <w:rPr/>
      <w:fldChar w:fldCharType="end"/>
    </w:r>
  </w:p>
  <w:p>
    <w:pPr>
      <w:pStyle w:val="Subsol1"/>
      <w:rPr/>
    </w:pPr>
    <w:r>
      <w:rPr/>
    </w:r>
  </w:p>
</w:ftr>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docVars>
    <w:docVar w:name="url" w:val="http://10.19.48.53:80/ecris_cdms/document_upload.aspx?id_document=5400000001748814&amp;id_departament=5&amp;id_sesiune=2711344&amp;id_user=460&amp;id_institutie=54&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lang w:val="en-GB" w:eastAsia="en-GB" w:bidi="ar-SA"/>
      </w:rPr>
    </w:rPrDefault>
    <w:pPrDefault>
      <w:pPr>
        <w:suppressAutoHyphens w:val="true"/>
      </w:pPr>
    </w:pPrDefault>
  </w:docDefaults>
  <w:style w:type="paragraph" w:styleId="Normal">
    <w:name w:val="Normal"/>
    <w:qFormat/>
    <w:pPr>
      <w:widowControl/>
      <w:kinsoku w:val="true"/>
      <w:overflowPunct w:val="true"/>
      <w:autoSpaceDE w:val="true"/>
      <w:bidi w:val="0"/>
      <w:spacing w:before="0" w:after="0"/>
      <w:jc w:val="left"/>
    </w:pPr>
    <w:rPr>
      <w:rFonts w:ascii="Times New Roman" w:hAnsi="Times New Roman" w:eastAsia="Times New Roman" w:cs="Times New Roman"/>
      <w:color w:val="auto"/>
      <w:kern w:val="0"/>
      <w:sz w:val="24"/>
      <w:szCs w:val="20"/>
      <w:lang w:val="ro-RO" w:eastAsia="en-GB" w:bidi="ar-SA"/>
    </w:rPr>
  </w:style>
  <w:style w:type="character" w:styleId="DefaultParagraphFont">
    <w:name w:val="Default Paragraph Font"/>
    <w:qFormat/>
    <w:rPr/>
  </w:style>
  <w:style w:type="character" w:styleId="LineNumber">
    <w:name w:val="Line Number"/>
    <w:basedOn w:val="DefaultParagraphFont"/>
    <w:rPr/>
  </w:style>
  <w:style w:type="character" w:styleId="Hyperlink">
    <w:name w:val="Hyperlink"/>
    <w:rPr>
      <w:color w:val="0000FF"/>
      <w:u w:val="single"/>
    </w:rPr>
  </w:style>
  <w:style w:type="character" w:styleId="Fontdeparagrafimplicit1">
    <w:name w:val="Font de paragraf implicit1"/>
    <w:qFormat/>
    <w:rPr/>
  </w:style>
  <w:style w:type="character" w:styleId="AntetCaracter">
    <w:name w:val="Antet Caracter"/>
    <w:link w:val="Antet1"/>
    <w:qFormat/>
    <w:rPr/>
  </w:style>
  <w:style w:type="character" w:styleId="SubsolCaracter">
    <w:name w:val="Subsol Caracter"/>
    <w:link w:val="Subsol1"/>
    <w:qFormat/>
    <w:rPr/>
  </w:style>
  <w:style w:type="character" w:styleId="Titlu1Caracter">
    <w:name w:val="Titlu 1 Caracter"/>
    <w:link w:val="Titlu11"/>
    <w:qFormat/>
    <w:rPr>
      <w:b/>
      <w:sz w:val="28"/>
      <w:lang w:val="en-US"/>
    </w:rPr>
  </w:style>
  <w:style w:type="character" w:styleId="CorptextCaracter">
    <w:name w:val="Corp text Caracter"/>
    <w:link w:val="Corptext1"/>
    <w:qFormat/>
    <w:rPr>
      <w:rFonts w:ascii="Verdana" w:hAnsi="Verdana"/>
      <w:i/>
      <w:sz w:val="20"/>
    </w:rPr>
  </w:style>
  <w:style w:type="character" w:styleId="CorptextCaracter1">
    <w:name w:val="Corp text Caracter1"/>
    <w:qFormat/>
    <w:rPr>
      <w:sz w:val="24"/>
    </w:rPr>
  </w:style>
  <w:style w:type="character" w:styleId="Headerorfooter2">
    <w:name w:val="Header or footer (2)_"/>
    <w:link w:val="Headerorfooter21"/>
    <w:qFormat/>
    <w:rPr>
      <w:sz w:val="20"/>
    </w:rPr>
  </w:style>
  <w:style w:type="character" w:styleId="Picturecaption">
    <w:name w:val="Picture caption_"/>
    <w:link w:val="Picturecaption1"/>
    <w:qFormat/>
    <w:rPr>
      <w:sz w:val="20"/>
    </w:rPr>
  </w:style>
  <w:style w:type="character" w:styleId="Other">
    <w:name w:val="Other_"/>
    <w:link w:val="Other1"/>
    <w:qFormat/>
    <w:rPr>
      <w:sz w:val="20"/>
    </w:rPr>
  </w:style>
  <w:style w:type="character" w:styleId="Footnote">
    <w:name w:val="Footnote_"/>
    <w:link w:val="Footnote1"/>
    <w:qFormat/>
    <w:rPr>
      <w:rFonts w:ascii="Arial" w:hAnsi="Arial"/>
      <w:sz w:val="15"/>
    </w:rPr>
  </w:style>
  <w:style w:type="character" w:styleId="Bodytext5">
    <w:name w:val="Body text (5)_"/>
    <w:link w:val="Bodytext51"/>
    <w:qFormat/>
    <w:rPr>
      <w:rFonts w:ascii="Arial" w:hAnsi="Arial"/>
      <w:sz w:val="15"/>
    </w:rPr>
  </w:style>
  <w:style w:type="character" w:styleId="Bodytext4">
    <w:name w:val="Body text (4)_"/>
    <w:link w:val="Bodytext41"/>
    <w:qFormat/>
    <w:rPr>
      <w:sz w:val="19"/>
    </w:rPr>
  </w:style>
  <w:style w:type="character" w:styleId="Robust1">
    <w:name w:val="Robust1"/>
    <w:qFormat/>
    <w:rPr>
      <w:b/>
    </w:rPr>
  </w:style>
  <w:style w:type="character" w:styleId="rvts4">
    <w:name w:val="rvts4"/>
    <w:basedOn w:val="Fontdeparagrafimplicit1"/>
    <w:qFormat/>
    <w:rPr/>
  </w:style>
  <w:style w:type="character" w:styleId="rvts7">
    <w:name w:val="rvts7"/>
    <w:basedOn w:val="Fontdeparagrafimplicit1"/>
    <w:qFormat/>
    <w:rPr/>
  </w:style>
  <w:style w:type="character" w:styleId="rvts9">
    <w:name w:val="rvts9"/>
    <w:basedOn w:val="Fontdeparagrafimplicit1"/>
    <w:qFormat/>
    <w:rPr/>
  </w:style>
  <w:style w:type="character" w:styleId="rvts10">
    <w:name w:val="rvts10"/>
    <w:basedOn w:val="Fontdeparagrafimplicit1"/>
    <w:qFormat/>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Frspaiere1">
    <w:name w:val="Fără spațiere1"/>
    <w:qFormat/>
    <w:pPr>
      <w:widowControl/>
      <w:kinsoku w:val="true"/>
      <w:overflowPunct w:val="true"/>
      <w:autoSpaceDE w:val="true"/>
      <w:bidi w:val="0"/>
      <w:spacing w:before="0" w:after="0"/>
      <w:jc w:val="both"/>
    </w:pPr>
    <w:rPr>
      <w:rFonts w:ascii="Times New Roman" w:hAnsi="Times New Roman" w:eastAsia="Times New Roman" w:cs="Times New Roman"/>
      <w:color w:val="auto"/>
      <w:kern w:val="0"/>
      <w:sz w:val="24"/>
      <w:szCs w:val="20"/>
      <w:lang w:val="en-US" w:eastAsia="en-GB" w:bidi="ar-SA"/>
    </w:rPr>
  </w:style>
  <w:style w:type="paragraph" w:styleId="Titlu11">
    <w:name w:val="Titlu 11"/>
    <w:basedOn w:val="Normal"/>
    <w:next w:val="Normal"/>
    <w:link w:val="Titlu1Caracter"/>
    <w:qFormat/>
    <w:pPr>
      <w:keepNext w:val="true"/>
      <w:numPr>
        <w:ilvl w:val="0"/>
        <w:numId w:val="0"/>
      </w:numPr>
      <w:jc w:val="center"/>
      <w:outlineLvl w:val="0"/>
    </w:pPr>
    <w:rPr>
      <w:b/>
      <w:sz w:val="28"/>
      <w:lang w:val="en-US"/>
    </w:rPr>
  </w:style>
  <w:style w:type="paragraph" w:styleId="NormalWeb">
    <w:name w:val="Normal (Web)"/>
    <w:basedOn w:val="Normal"/>
    <w:qFormat/>
    <w:pPr>
      <w:spacing w:before="280" w:after="280"/>
    </w:pPr>
    <w:rPr/>
  </w:style>
  <w:style w:type="paragraph" w:styleId="Antet1">
    <w:name w:val="Antet1"/>
    <w:basedOn w:val="Normal"/>
    <w:link w:val="AntetCaracter"/>
    <w:qFormat/>
    <w:pPr>
      <w:tabs>
        <w:tab w:val="clear" w:pos="720"/>
        <w:tab w:val="center" w:pos="4536" w:leader="none"/>
        <w:tab w:val="right" w:pos="9072" w:leader="none"/>
      </w:tabs>
    </w:pPr>
    <w:rPr/>
  </w:style>
  <w:style w:type="paragraph" w:styleId="Subsol1">
    <w:name w:val="Subsol1"/>
    <w:basedOn w:val="Normal"/>
    <w:link w:val="SubsolCaracter"/>
    <w:qFormat/>
    <w:pPr>
      <w:tabs>
        <w:tab w:val="clear" w:pos="720"/>
        <w:tab w:val="center" w:pos="4536" w:leader="none"/>
        <w:tab w:val="right" w:pos="9072" w:leader="none"/>
      </w:tabs>
    </w:pPr>
    <w:rPr/>
  </w:style>
  <w:style w:type="paragraph" w:styleId="CaracterCaracter1">
    <w:name w:val="Caracter Caracter1"/>
    <w:basedOn w:val="Normal"/>
    <w:qFormat/>
    <w:pPr>
      <w:jc w:val="both"/>
    </w:pPr>
    <w:rPr>
      <w:sz w:val="20"/>
      <w:lang w:val="pl-PL"/>
    </w:rPr>
  </w:style>
  <w:style w:type="paragraph" w:styleId="Corptext1">
    <w:name w:val="Corp text1"/>
    <w:basedOn w:val="Normal"/>
    <w:link w:val="CorptextCaracter"/>
    <w:qFormat/>
    <w:pPr>
      <w:widowControl w:val="false"/>
      <w:spacing w:lineRule="auto" w:line="256"/>
      <w:ind w:firstLine="400"/>
    </w:pPr>
    <w:rPr>
      <w:rFonts w:ascii="Verdana" w:hAnsi="Verdana"/>
      <w:i/>
      <w:sz w:val="20"/>
    </w:rPr>
  </w:style>
  <w:style w:type="paragraph" w:styleId="Headerorfooter21">
    <w:name w:val="Header or footer (2)"/>
    <w:basedOn w:val="Normal"/>
    <w:link w:val="Headerorfooter2"/>
    <w:qFormat/>
    <w:pPr>
      <w:widowControl w:val="false"/>
    </w:pPr>
    <w:rPr>
      <w:sz w:val="20"/>
    </w:rPr>
  </w:style>
  <w:style w:type="paragraph" w:styleId="Picturecaption1">
    <w:name w:val="Picture caption"/>
    <w:basedOn w:val="Normal"/>
    <w:link w:val="Picturecaption"/>
    <w:qFormat/>
    <w:pPr>
      <w:widowControl w:val="false"/>
      <w:spacing w:lineRule="auto" w:line="316"/>
    </w:pPr>
    <w:rPr>
      <w:sz w:val="20"/>
    </w:rPr>
  </w:style>
  <w:style w:type="paragraph" w:styleId="Other1">
    <w:name w:val="Other"/>
    <w:basedOn w:val="Normal"/>
    <w:link w:val="Other"/>
    <w:qFormat/>
    <w:pPr>
      <w:widowControl w:val="false"/>
      <w:spacing w:lineRule="auto" w:line="316" w:before="0" w:after="300"/>
      <w:ind w:firstLine="20"/>
    </w:pPr>
    <w:rPr>
      <w:sz w:val="20"/>
    </w:rPr>
  </w:style>
  <w:style w:type="paragraph" w:styleId="Footnote1">
    <w:name w:val="Footnote"/>
    <w:basedOn w:val="Normal"/>
    <w:link w:val="Footnote"/>
    <w:qFormat/>
    <w:pPr>
      <w:widowControl w:val="false"/>
    </w:pPr>
    <w:rPr>
      <w:rFonts w:ascii="Arial" w:hAnsi="Arial"/>
      <w:sz w:val="15"/>
    </w:rPr>
  </w:style>
  <w:style w:type="paragraph" w:styleId="Bodytext51">
    <w:name w:val="Body text (5)"/>
    <w:basedOn w:val="Normal"/>
    <w:link w:val="Bodytext5"/>
    <w:qFormat/>
    <w:pPr>
      <w:widowControl w:val="false"/>
      <w:spacing w:lineRule="auto" w:line="288"/>
      <w:ind w:left="220"/>
    </w:pPr>
    <w:rPr>
      <w:rFonts w:ascii="Arial" w:hAnsi="Arial"/>
      <w:sz w:val="15"/>
    </w:rPr>
  </w:style>
  <w:style w:type="paragraph" w:styleId="Bodytext41">
    <w:name w:val="Body text (4)"/>
    <w:basedOn w:val="Normal"/>
    <w:link w:val="Bodytext4"/>
    <w:qFormat/>
    <w:pPr>
      <w:widowControl w:val="false"/>
      <w:ind w:firstLine="230"/>
    </w:pPr>
    <w:rPr>
      <w:sz w:val="19"/>
    </w:rPr>
  </w:style>
  <w:style w:type="paragraph" w:styleId="Listparagraf1">
    <w:name w:val="Listă paragraf1"/>
    <w:basedOn w:val="Normal"/>
    <w:qFormat/>
    <w:pPr>
      <w:spacing w:before="0" w:after="0"/>
      <w:ind w:left="720"/>
      <w:contextualSpacing/>
      <w:jc w:val="both"/>
    </w:pPr>
    <w:rPr/>
  </w:style>
  <w:style w:type="paragraph" w:styleId="HeaderandFooter">
    <w:name w:val="Header and Footer"/>
    <w:basedOn w:val="Normal"/>
    <w:qFormat/>
    <w:pPr/>
    <w:rPr/>
  </w:style>
  <w:style w:type="paragraph" w:styleId="Footer">
    <w:name w:val="Footer"/>
    <w:basedOn w:val="HeaderandFooter"/>
    <w:pPr/>
    <w:rPr/>
  </w:style>
  <w:style w:type="paragraph" w:styleId="TableContents">
    <w:name w:val="Table Contents"/>
    <w:basedOn w:val="Normal"/>
    <w:qFormat/>
    <w:pPr>
      <w:widowControl w:val="false"/>
      <w:suppressLineNumbers/>
    </w:pPr>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javascript:OpenDocumentView(369417,%206999608);" TargetMode="External"/><Relationship Id="rId3" Type="http://schemas.openxmlformats.org/officeDocument/2006/relationships/footer" Target="footer1.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212</ap:TotalTime>
  <ap:Application>LibreOffice/24.2.7.2$Linux_X86_64 LibreOffice_project/420$Build-2</ap:Application>
  <ap:AppVersion>15.0000</ap:AppVersion>
  <ap:Pages>20</ap:Pages>
  <ap:Words>21901</ap:Words>
  <ap:Characters>125833</ap:Characters>
  <ap:CharactersWithSpaces>147814</ap:CharactersWithSpaces>
  <ap:Paragraphs>398</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dc:language/>
  <lastModifiedBy/>
  <lastPrinted>2024-04-26T13:11:00.0000000Z</lastPrinted>
  <revision/>
  <dc:subject/>
  <dc:title/>
  <keywords/>
  <category/>
  <contentStatus/>
  <dc:identifier/>
  <version/>
</coreProperties>
</file>