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D620D1" w14:textId="10B1DCA6" w:rsidR="001D6B55" w:rsidRPr="001D6B55" w:rsidRDefault="001D6B55" w:rsidP="001D6B55">
      <w:pPr>
        <w:spacing w:after="0" w:line="240" w:lineRule="auto"/>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Cod ECLI    ECLI:RO:</w:t>
      </w:r>
      <w:r>
        <w:rPr>
          <w:rFonts w:ascii="Times New Roman" w:eastAsia="Times New Roman" w:hAnsi="Times New Roman" w:cs="Times New Roman"/>
          <w:noProof/>
          <w:kern w:val="0"/>
          <w:sz w:val="24"/>
          <w:szCs w:val="24"/>
          <w:lang w:val="ro-RO" w:eastAsia="ro-RO"/>
          <w14:ligatures w14:val="none"/>
        </w:rPr>
        <w:t>.......</w:t>
      </w:r>
    </w:p>
    <w:p w14:paraId="3EB5F7F9" w14:textId="11418036" w:rsidR="001D6B55" w:rsidRPr="001D6B55" w:rsidRDefault="001D6B55" w:rsidP="001D6B55">
      <w:pPr>
        <w:spacing w:after="0" w:line="240" w:lineRule="auto"/>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Dosar nr. </w:t>
      </w:r>
      <w:r>
        <w:rPr>
          <w:rFonts w:ascii="Times New Roman" w:eastAsia="Times New Roman" w:hAnsi="Times New Roman" w:cs="Times New Roman"/>
          <w:noProof/>
          <w:kern w:val="0"/>
          <w:sz w:val="24"/>
          <w:szCs w:val="24"/>
          <w:lang w:val="ro-RO" w:eastAsia="ro-RO"/>
          <w14:ligatures w14:val="none"/>
        </w:rPr>
        <w:t>........</w:t>
      </w:r>
    </w:p>
    <w:p w14:paraId="65F6E3A5"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R O M Â N I A</w:t>
      </w:r>
    </w:p>
    <w:p w14:paraId="4B882920"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419E97F4" w14:textId="60F17DDF"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CURTEA DE APEL </w:t>
      </w:r>
      <w:r>
        <w:rPr>
          <w:rFonts w:ascii="Times New Roman" w:eastAsia="Times New Roman" w:hAnsi="Times New Roman" w:cs="Times New Roman"/>
          <w:noProof/>
          <w:kern w:val="0"/>
          <w:sz w:val="24"/>
          <w:szCs w:val="24"/>
          <w:lang w:val="ro-RO" w:eastAsia="ro-RO"/>
          <w14:ligatures w14:val="none"/>
        </w:rPr>
        <w:t>........</w:t>
      </w:r>
    </w:p>
    <w:p w14:paraId="7C38319F" w14:textId="029168E2"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SECŢIA </w:t>
      </w:r>
      <w:r>
        <w:rPr>
          <w:rFonts w:ascii="Times New Roman" w:eastAsia="Times New Roman" w:hAnsi="Times New Roman" w:cs="Times New Roman"/>
          <w:noProof/>
          <w:kern w:val="0"/>
          <w:sz w:val="24"/>
          <w:szCs w:val="24"/>
          <w:lang w:val="ro-RO" w:eastAsia="ro-RO"/>
          <w14:ligatures w14:val="none"/>
        </w:rPr>
        <w:t>..................</w:t>
      </w:r>
    </w:p>
    <w:p w14:paraId="12D493A1" w14:textId="77777777" w:rsidR="001D6B55" w:rsidRPr="001D6B55" w:rsidRDefault="001D6B55" w:rsidP="001D6B55">
      <w:pPr>
        <w:spacing w:after="0" w:line="240" w:lineRule="auto"/>
        <w:rPr>
          <w:rFonts w:ascii="Times New Roman" w:eastAsia="Times New Roman" w:hAnsi="Times New Roman" w:cs="Times New Roman"/>
          <w:noProof/>
          <w:kern w:val="0"/>
          <w:sz w:val="24"/>
          <w:szCs w:val="24"/>
          <w:lang w:val="ro-RO" w:eastAsia="ro-RO"/>
          <w14:ligatures w14:val="none"/>
        </w:rPr>
      </w:pPr>
    </w:p>
    <w:p w14:paraId="00304C80" w14:textId="338B47C0" w:rsidR="001D6B55" w:rsidRPr="001D6B55" w:rsidRDefault="001D6B55" w:rsidP="001D6B55">
      <w:pPr>
        <w:spacing w:after="0" w:line="240" w:lineRule="auto"/>
        <w:jc w:val="center"/>
        <w:rPr>
          <w:rFonts w:ascii="Times New Roman" w:eastAsia="Times New Roman" w:hAnsi="Times New Roman" w:cs="Times New Roman"/>
          <w:noProof/>
          <w:kern w:val="0"/>
          <w:sz w:val="28"/>
          <w:szCs w:val="28"/>
          <w:lang w:val="ro-RO" w:eastAsia="ro-RO"/>
          <w14:ligatures w14:val="none"/>
        </w:rPr>
      </w:pPr>
      <w:r>
        <w:rPr>
          <w:rFonts w:ascii="Times New Roman" w:eastAsia="Times New Roman" w:hAnsi="Times New Roman" w:cs="Times New Roman"/>
          <w:noProof/>
          <w:kern w:val="0"/>
          <w:sz w:val="28"/>
          <w:szCs w:val="28"/>
          <w:lang w:val="ro-RO" w:eastAsia="ro-RO"/>
          <w14:ligatures w14:val="none"/>
        </w:rPr>
        <w:t>HOTĂRÂREA NR. 13</w:t>
      </w:r>
    </w:p>
    <w:p w14:paraId="57F38924"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34E0FE3A" w14:textId="20C439C9"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Şedinţa </w:t>
      </w:r>
      <w:bookmarkStart w:id="0" w:name="tip_sedinta"/>
      <w:r w:rsidRPr="001D6B55">
        <w:rPr>
          <w:rFonts w:ascii="Times New Roman" w:eastAsia="Times New Roman" w:hAnsi="Times New Roman" w:cs="Times New Roman"/>
          <w:noProof/>
          <w:kern w:val="0"/>
          <w:sz w:val="24"/>
          <w:szCs w:val="24"/>
          <w:lang w:val="ro-RO" w:eastAsia="ro-RO"/>
          <w14:ligatures w14:val="none"/>
        </w:rPr>
        <w:t>publică</w:t>
      </w:r>
      <w:bookmarkEnd w:id="0"/>
      <w:r w:rsidRPr="001D6B55">
        <w:rPr>
          <w:rFonts w:ascii="Times New Roman" w:eastAsia="Times New Roman" w:hAnsi="Times New Roman" w:cs="Times New Roman"/>
          <w:noProof/>
          <w:kern w:val="0"/>
          <w:sz w:val="24"/>
          <w:szCs w:val="24"/>
          <w:lang w:val="ro-RO" w:eastAsia="ro-RO"/>
          <w14:ligatures w14:val="none"/>
        </w:rPr>
        <w:t xml:space="preserve"> din data de </w:t>
      </w:r>
      <w:r>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w:t>
      </w:r>
    </w:p>
    <w:p w14:paraId="3685B842"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Completul constituit din:</w:t>
      </w:r>
    </w:p>
    <w:p w14:paraId="42FA96DD" w14:textId="7BE3DB0B"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PREŞEDINTE: </w:t>
      </w:r>
      <w:r>
        <w:rPr>
          <w:rFonts w:ascii="Times New Roman" w:eastAsia="Times New Roman" w:hAnsi="Times New Roman" w:cs="Times New Roman"/>
          <w:noProof/>
          <w:kern w:val="0"/>
          <w:sz w:val="24"/>
          <w:szCs w:val="24"/>
          <w:lang w:val="ro-RO" w:eastAsia="ro-RO"/>
          <w14:ligatures w14:val="none"/>
        </w:rPr>
        <w:t>A00</w:t>
      </w:r>
      <w:r w:rsidR="00CB09BF">
        <w:rPr>
          <w:rFonts w:ascii="Times New Roman" w:eastAsia="Times New Roman" w:hAnsi="Times New Roman" w:cs="Times New Roman"/>
          <w:noProof/>
          <w:kern w:val="0"/>
          <w:sz w:val="24"/>
          <w:szCs w:val="24"/>
          <w:lang w:val="ro-RO" w:eastAsia="ro-RO"/>
          <w14:ligatures w14:val="none"/>
        </w:rPr>
        <w:t>10</w:t>
      </w:r>
    </w:p>
    <w:p w14:paraId="227A82CA"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50F84571" w14:textId="624C8DDE"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Grefier: </w:t>
      </w:r>
      <w:r>
        <w:rPr>
          <w:rFonts w:ascii="Times New Roman" w:eastAsia="Times New Roman" w:hAnsi="Times New Roman" w:cs="Times New Roman"/>
          <w:noProof/>
          <w:kern w:val="0"/>
          <w:sz w:val="24"/>
          <w:szCs w:val="24"/>
          <w:lang w:val="ro-RO" w:eastAsia="ro-RO"/>
          <w14:ligatures w14:val="none"/>
        </w:rPr>
        <w:t>.............</w:t>
      </w:r>
    </w:p>
    <w:p w14:paraId="5F8CD385"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389B7C7E"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4003CC2F" w14:textId="32DC287C" w:rsidR="001D6B55" w:rsidRPr="001D6B55" w:rsidRDefault="001D6B55" w:rsidP="001D6B55">
      <w:pPr>
        <w:spacing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La ordine se află pronunţarea cauzei contencios administrativ şi fiscal privind cererea de chemare în judecată formulată de reclamanta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în contradictoriu cu pârâtul Ministerul Transporturilor şi Infrastructurii, având ca obiect despăgubire.</w:t>
      </w:r>
    </w:p>
    <w:p w14:paraId="6CBCFBD1" w14:textId="491A58C5" w:rsidR="001D6B55" w:rsidRPr="001D6B55" w:rsidRDefault="001D6B55" w:rsidP="001D6B55">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Dezbaterile în prezenta cauză au avut loc în data de </w:t>
      </w:r>
      <w:r>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fiind consemnate în încheierea de şedinţă din acea zi şi când, din lipsă de timp pentru deliberare, în temeiul </w:t>
      </w:r>
      <w:r w:rsidRPr="001D6B55">
        <w:rPr>
          <w:rFonts w:ascii="Times New Roman" w:eastAsia="Times New Roman" w:hAnsi="Times New Roman" w:cs="Times New Roman"/>
          <w:i/>
          <w:noProof/>
          <w:kern w:val="0"/>
          <w:sz w:val="24"/>
          <w:szCs w:val="24"/>
          <w:lang w:val="ro-RO" w:eastAsia="ro-RO"/>
          <w14:ligatures w14:val="none"/>
        </w:rPr>
        <w:t>art. 396 Cod procedură civilă</w:t>
      </w:r>
      <w:r w:rsidRPr="001D6B55">
        <w:rPr>
          <w:rFonts w:ascii="Times New Roman" w:eastAsia="Times New Roman" w:hAnsi="Times New Roman" w:cs="Times New Roman"/>
          <w:noProof/>
          <w:kern w:val="0"/>
          <w:sz w:val="24"/>
          <w:szCs w:val="24"/>
          <w:lang w:val="ro-RO" w:eastAsia="ro-RO"/>
          <w14:ligatures w14:val="none"/>
        </w:rPr>
        <w:t xml:space="preserve"> s-a amânat pronunţarea succesiv pentru datele de </w:t>
      </w:r>
      <w:r>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şi </w:t>
      </w:r>
      <w:r>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pronunţarea urmând a avea loc prin intermediul grefei instanţei.</w:t>
      </w:r>
    </w:p>
    <w:p w14:paraId="29156B7A" w14:textId="77777777" w:rsidR="001D6B55" w:rsidRPr="001D6B55" w:rsidRDefault="001D6B55" w:rsidP="001D6B55">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p>
    <w:p w14:paraId="35C8E630" w14:textId="77777777" w:rsidR="001D6B55" w:rsidRPr="001D6B55" w:rsidRDefault="001D6B55" w:rsidP="001D6B55">
      <w:pPr>
        <w:spacing w:after="0" w:line="240" w:lineRule="auto"/>
        <w:jc w:val="center"/>
        <w:rPr>
          <w:rFonts w:ascii="Times New Roman" w:eastAsia="Times New Roman" w:hAnsi="Times New Roman" w:cs="Times New Roman"/>
          <w:b/>
          <w:bCs/>
          <w:noProof/>
          <w:kern w:val="0"/>
          <w:sz w:val="24"/>
          <w:szCs w:val="24"/>
          <w:lang w:val="ro-RO" w:eastAsia="ro-RO"/>
          <w14:ligatures w14:val="none"/>
        </w:rPr>
      </w:pPr>
      <w:r w:rsidRPr="001D6B55">
        <w:rPr>
          <w:rFonts w:ascii="Times New Roman" w:eastAsia="Times New Roman" w:hAnsi="Times New Roman" w:cs="Times New Roman"/>
          <w:b/>
          <w:bCs/>
          <w:noProof/>
          <w:kern w:val="0"/>
          <w:sz w:val="24"/>
          <w:szCs w:val="24"/>
          <w:lang w:val="ro-RO" w:eastAsia="ro-RO"/>
          <w14:ligatures w14:val="none"/>
        </w:rPr>
        <w:t>Curtea de apel</w:t>
      </w:r>
    </w:p>
    <w:p w14:paraId="7733821F" w14:textId="77777777" w:rsidR="001D6B55" w:rsidRPr="001D6B55" w:rsidRDefault="001D6B55" w:rsidP="001D6B55">
      <w:pPr>
        <w:spacing w:after="0" w:line="240" w:lineRule="auto"/>
        <w:ind w:firstLine="709"/>
        <w:jc w:val="both"/>
        <w:rPr>
          <w:rFonts w:ascii="Times New Roman" w:eastAsia="Times New Roman" w:hAnsi="Times New Roman" w:cs="Times New Roman"/>
          <w:b/>
          <w:noProof/>
          <w:kern w:val="0"/>
          <w:sz w:val="24"/>
          <w:szCs w:val="24"/>
          <w:lang w:val="ro-RO" w:eastAsia="ro-RO"/>
          <w14:ligatures w14:val="none"/>
        </w:rPr>
      </w:pPr>
    </w:p>
    <w:p w14:paraId="0E13D26E" w14:textId="77777777" w:rsidR="001D6B55" w:rsidRPr="001D6B55" w:rsidRDefault="001D6B55" w:rsidP="001D6B55">
      <w:pPr>
        <w:spacing w:after="0" w:line="240" w:lineRule="auto"/>
        <w:ind w:firstLine="708"/>
        <w:jc w:val="both"/>
        <w:rPr>
          <w:rFonts w:ascii="Times New Roman" w:eastAsia="Times New Roman" w:hAnsi="Times New Roman" w:cs="Times New Roman"/>
          <w:b/>
          <w:noProof/>
          <w:kern w:val="0"/>
          <w:sz w:val="24"/>
          <w:szCs w:val="24"/>
          <w:lang w:val="ro-RO" w:eastAsia="ro-RO"/>
          <w14:ligatures w14:val="none"/>
        </w:rPr>
      </w:pPr>
      <w:r w:rsidRPr="001D6B55">
        <w:rPr>
          <w:rFonts w:ascii="Times New Roman" w:eastAsia="Times New Roman" w:hAnsi="Times New Roman" w:cs="Times New Roman"/>
          <w:b/>
          <w:noProof/>
          <w:kern w:val="0"/>
          <w:sz w:val="24"/>
          <w:szCs w:val="24"/>
          <w:lang w:val="ro-RO" w:eastAsia="ro-RO"/>
          <w14:ligatures w14:val="none"/>
        </w:rPr>
        <w:t>I.Cererea de chemare în judecată</w:t>
      </w:r>
    </w:p>
    <w:p w14:paraId="297C807B" w14:textId="4AD42316"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Prin cererea de chemare în judecată înregistrată pe rolul Curţii de Apel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sub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w:t>
      </w:r>
      <w:r w:rsidRPr="001D6B55">
        <w:rPr>
          <w:rFonts w:ascii="Times New Roman" w:eastAsia="Times New Roman" w:hAnsi="Times New Roman" w:cs="Times New Roman"/>
          <w:noProof/>
          <w:kern w:val="0"/>
          <w:sz w:val="24"/>
          <w:szCs w:val="24"/>
          <w:lang w:val="ro-RO" w:eastAsia="ro-RO"/>
          <w14:ligatures w14:val="none"/>
        </w:rPr>
        <w:t xml:space="preserve">reclamanta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w:t>
      </w:r>
      <w:r w:rsidRPr="001D6B55">
        <w:rPr>
          <w:rFonts w:ascii="Times New Roman" w:eastAsia="Times New Roman" w:hAnsi="Times New Roman" w:cs="Times New Roman"/>
          <w:bCs/>
          <w:noProof/>
          <w:kern w:val="0"/>
          <w:sz w:val="24"/>
          <w:szCs w:val="24"/>
          <w:lang w:val="ro-RO" w:eastAsia="ro-RO"/>
          <w14:ligatures w14:val="none"/>
        </w:rPr>
        <w:t>a solicitat, în contradictoriu cu pârâtul Ministerul Transporturilor şi Infrastructurii (M.I.T.), obligarea acestuia la plata sumei de 38.329.764 lei cu titlu de despăgubiri pentru perioada 28.02.2013-31.12.2024 şi plata cheltuielilor de judecată. Ulterior investirii instanței, prin cerere adițională (fila 100 dosar), reclamanta a solicitat acordarea de despăgubiri în valoare de 1.474.476 de lei și pentru perioada 01.01.2025-30.06.2025.</w:t>
      </w:r>
    </w:p>
    <w:p w14:paraId="2859C334"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În motivarea cererii de chemare în judecată reclamanta a susținut că a participat în calitate de operator de transport la ședința de atribuire a licențelor de traseu din 28.02.2013, în urma căreia au fost atribuite licențele aferente  Programului de transport interjudeţean 2013-2019, depunând oferte pentru mai multe trasee.</w:t>
      </w:r>
    </w:p>
    <w:p w14:paraId="16A27789" w14:textId="0A41BD85"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Pentru traseul de transport identificat  cod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I</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Autogara </w:t>
      </w:r>
      <w:r>
        <w:rPr>
          <w:rFonts w:ascii="Times New Roman" w:eastAsia="Times New Roman" w:hAnsi="Times New Roman" w:cs="Times New Roman"/>
          <w:bCs/>
          <w:noProof/>
          <w:kern w:val="0"/>
          <w:sz w:val="24"/>
          <w:szCs w:val="24"/>
          <w:lang w:val="ro-RO" w:eastAsia="ro-RO"/>
          <w14:ligatures w14:val="none"/>
        </w:rPr>
        <w:t>B</w:t>
      </w:r>
      <w:r w:rsidRPr="001D6B55">
        <w:rPr>
          <w:rFonts w:ascii="Times New Roman" w:eastAsia="Times New Roman" w:hAnsi="Times New Roman" w:cs="Times New Roman"/>
          <w:bCs/>
          <w:noProof/>
          <w:kern w:val="0"/>
          <w:sz w:val="24"/>
          <w:szCs w:val="24"/>
          <w:lang w:val="ro-RO" w:eastAsia="ro-RO"/>
          <w14:ligatures w14:val="none"/>
        </w:rPr>
        <w:t xml:space="preserve"> SRL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P</w:t>
      </w:r>
      <w:r>
        <w:rPr>
          <w:rFonts w:ascii="Times New Roman" w:eastAsia="Times New Roman" w:hAnsi="Times New Roman" w:cs="Times New Roman"/>
          <w:bCs/>
          <w:noProof/>
          <w:kern w:val="0"/>
          <w:sz w:val="24"/>
          <w:szCs w:val="24"/>
          <w:lang w:val="ro-RO" w:eastAsia="ro-RO"/>
          <w14:ligatures w14:val="none"/>
        </w:rPr>
        <w:t xml:space="preserve">. </w:t>
      </w:r>
      <w:r w:rsidRPr="001D6B55">
        <w:rPr>
          <w:rFonts w:ascii="Times New Roman" w:eastAsia="Times New Roman" w:hAnsi="Times New Roman" w:cs="Times New Roman"/>
          <w:bCs/>
          <w:noProof/>
          <w:kern w:val="0"/>
          <w:sz w:val="24"/>
          <w:szCs w:val="24"/>
          <w:lang w:val="ro-RO" w:eastAsia="ro-RO"/>
          <w14:ligatures w14:val="none"/>
        </w:rPr>
        <w:t xml:space="preserve">- Autogara </w:t>
      </w:r>
      <w:r>
        <w:rPr>
          <w:rFonts w:ascii="Times New Roman" w:eastAsia="Times New Roman" w:hAnsi="Times New Roman" w:cs="Times New Roman"/>
          <w:bCs/>
          <w:noProof/>
          <w:kern w:val="0"/>
          <w:sz w:val="24"/>
          <w:szCs w:val="24"/>
          <w:lang w:val="ro-RO" w:eastAsia="ro-RO"/>
          <w14:ligatures w14:val="none"/>
        </w:rPr>
        <w:t>C</w:t>
      </w:r>
      <w:r w:rsidRPr="001D6B55">
        <w:rPr>
          <w:rFonts w:ascii="Times New Roman" w:eastAsia="Times New Roman" w:hAnsi="Times New Roman" w:cs="Times New Roman"/>
          <w:bCs/>
          <w:noProof/>
          <w:kern w:val="0"/>
          <w:sz w:val="24"/>
          <w:szCs w:val="24"/>
          <w:lang w:val="ro-RO" w:eastAsia="ro-RO"/>
          <w14:ligatures w14:val="none"/>
        </w:rPr>
        <w:t xml:space="preserve"> SRL, a participat la atribuirea mai multor curse, în urma licitației fiind stabilit următorul rezultat:</w:t>
      </w:r>
    </w:p>
    <w:p w14:paraId="71D08DD8" w14:textId="563DB47A"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Cursa 1 -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w:t>
      </w:r>
      <w:r w:rsidRPr="001D6B55">
        <w:rPr>
          <w:rFonts w:ascii="Times New Roman" w:eastAsia="Times New Roman" w:hAnsi="Times New Roman" w:cs="Times New Roman"/>
          <w:bCs/>
          <w:noProof/>
          <w:kern w:val="0"/>
          <w:sz w:val="24"/>
          <w:szCs w:val="24"/>
          <w:lang w:val="ro-RO" w:eastAsia="ro-RO"/>
          <w14:ligatures w14:val="none"/>
        </w:rPr>
        <w:tab/>
        <w:t xml:space="preserve">- 59 puncte - - 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SRL- 49 puncte;</w:t>
      </w:r>
    </w:p>
    <w:p w14:paraId="68DE97D2" w14:textId="25CD18AC"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Cursa 4 -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w:t>
      </w:r>
      <w:r w:rsidRPr="001D6B55">
        <w:rPr>
          <w:rFonts w:ascii="Times New Roman" w:eastAsia="Times New Roman" w:hAnsi="Times New Roman" w:cs="Times New Roman"/>
          <w:bCs/>
          <w:noProof/>
          <w:kern w:val="0"/>
          <w:sz w:val="24"/>
          <w:szCs w:val="24"/>
          <w:lang w:val="ro-RO" w:eastAsia="ro-RO"/>
          <w14:ligatures w14:val="none"/>
        </w:rPr>
        <w:tab/>
        <w:t>- 61 puncte - -</w:t>
      </w:r>
      <w:r w:rsidRPr="001D6B55">
        <w:rPr>
          <w:rFonts w:ascii="Times New Roman" w:eastAsia="Times New Roman" w:hAnsi="Times New Roman" w:cs="Times New Roman"/>
          <w:bCs/>
          <w:noProof/>
          <w:kern w:val="0"/>
          <w:sz w:val="24"/>
          <w:szCs w:val="24"/>
          <w:lang w:val="ro-RO" w:eastAsia="ro-RO"/>
          <w14:ligatures w14:val="none"/>
        </w:rPr>
        <w:tab/>
        <w:t xml:space="preserve">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SRL- 49 puncte;</w:t>
      </w:r>
    </w:p>
    <w:p w14:paraId="3E7332F9" w14:textId="2F7CB50F"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Cursa 5 -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w:t>
      </w:r>
      <w:r w:rsidRPr="001D6B55">
        <w:rPr>
          <w:rFonts w:ascii="Times New Roman" w:eastAsia="Times New Roman" w:hAnsi="Times New Roman" w:cs="Times New Roman"/>
          <w:bCs/>
          <w:noProof/>
          <w:kern w:val="0"/>
          <w:sz w:val="24"/>
          <w:szCs w:val="24"/>
          <w:lang w:val="ro-RO" w:eastAsia="ro-RO"/>
          <w14:ligatures w14:val="none"/>
        </w:rPr>
        <w:tab/>
        <w:t>- 52 puncte - -</w:t>
      </w:r>
      <w:r w:rsidRPr="001D6B55">
        <w:rPr>
          <w:rFonts w:ascii="Times New Roman" w:eastAsia="Times New Roman" w:hAnsi="Times New Roman" w:cs="Times New Roman"/>
          <w:bCs/>
          <w:noProof/>
          <w:kern w:val="0"/>
          <w:sz w:val="24"/>
          <w:szCs w:val="24"/>
          <w:lang w:val="ro-RO" w:eastAsia="ro-RO"/>
          <w14:ligatures w14:val="none"/>
        </w:rPr>
        <w:tab/>
        <w:t xml:space="preserve">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SRL- 49 puncte;</w:t>
      </w:r>
    </w:p>
    <w:p w14:paraId="64775292" w14:textId="0E29505C"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Cursa 6 -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w:t>
      </w:r>
      <w:r w:rsidRPr="001D6B55">
        <w:rPr>
          <w:rFonts w:ascii="Times New Roman" w:eastAsia="Times New Roman" w:hAnsi="Times New Roman" w:cs="Times New Roman"/>
          <w:bCs/>
          <w:noProof/>
          <w:kern w:val="0"/>
          <w:sz w:val="24"/>
          <w:szCs w:val="24"/>
          <w:lang w:val="ro-RO" w:eastAsia="ro-RO"/>
          <w14:ligatures w14:val="none"/>
        </w:rPr>
        <w:tab/>
        <w:t>- 61 puncte - -</w:t>
      </w:r>
      <w:r w:rsidRPr="001D6B55">
        <w:rPr>
          <w:rFonts w:ascii="Times New Roman" w:eastAsia="Times New Roman" w:hAnsi="Times New Roman" w:cs="Times New Roman"/>
          <w:bCs/>
          <w:noProof/>
          <w:kern w:val="0"/>
          <w:sz w:val="24"/>
          <w:szCs w:val="24"/>
          <w:lang w:val="ro-RO" w:eastAsia="ro-RO"/>
          <w14:ligatures w14:val="none"/>
        </w:rPr>
        <w:tab/>
        <w:t xml:space="preserve">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SRL- 49 puncte;</w:t>
      </w:r>
    </w:p>
    <w:p w14:paraId="50A79C41" w14:textId="2ED8FAB2"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Cursa 8 -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w:t>
      </w:r>
      <w:r w:rsidRPr="001D6B55">
        <w:rPr>
          <w:rFonts w:ascii="Times New Roman" w:eastAsia="Times New Roman" w:hAnsi="Times New Roman" w:cs="Times New Roman"/>
          <w:bCs/>
          <w:noProof/>
          <w:kern w:val="0"/>
          <w:sz w:val="24"/>
          <w:szCs w:val="24"/>
          <w:lang w:val="ro-RO" w:eastAsia="ro-RO"/>
          <w14:ligatures w14:val="none"/>
        </w:rPr>
        <w:tab/>
        <w:t>- 61 puncte - -</w:t>
      </w:r>
      <w:r w:rsidRPr="001D6B55">
        <w:rPr>
          <w:rFonts w:ascii="Times New Roman" w:eastAsia="Times New Roman" w:hAnsi="Times New Roman" w:cs="Times New Roman"/>
          <w:bCs/>
          <w:noProof/>
          <w:kern w:val="0"/>
          <w:sz w:val="24"/>
          <w:szCs w:val="24"/>
          <w:lang w:val="ro-RO" w:eastAsia="ro-RO"/>
          <w14:ligatures w14:val="none"/>
        </w:rPr>
        <w:tab/>
        <w:t xml:space="preserve">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SRL- 49 puncte;</w:t>
      </w:r>
    </w:p>
    <w:p w14:paraId="4922550F" w14:textId="5445AA6F"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Cursa 9 -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w:t>
      </w:r>
      <w:r w:rsidRPr="001D6B55">
        <w:rPr>
          <w:rFonts w:ascii="Times New Roman" w:eastAsia="Times New Roman" w:hAnsi="Times New Roman" w:cs="Times New Roman"/>
          <w:bCs/>
          <w:noProof/>
          <w:kern w:val="0"/>
          <w:sz w:val="24"/>
          <w:szCs w:val="24"/>
          <w:lang w:val="ro-RO" w:eastAsia="ro-RO"/>
          <w14:ligatures w14:val="none"/>
        </w:rPr>
        <w:tab/>
        <w:t>- 59 puncte - -</w:t>
      </w:r>
      <w:r w:rsidRPr="001D6B55">
        <w:rPr>
          <w:rFonts w:ascii="Times New Roman" w:eastAsia="Times New Roman" w:hAnsi="Times New Roman" w:cs="Times New Roman"/>
          <w:bCs/>
          <w:noProof/>
          <w:kern w:val="0"/>
          <w:sz w:val="24"/>
          <w:szCs w:val="24"/>
          <w:lang w:val="ro-RO" w:eastAsia="ro-RO"/>
          <w14:ligatures w14:val="none"/>
        </w:rPr>
        <w:tab/>
        <w:t xml:space="preserve">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SRL- 49 puncte.</w:t>
      </w:r>
    </w:p>
    <w:p w14:paraId="45260C6C" w14:textId="51F53D4A"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Reclamanta a susținut că relevanță în stabilirea operatorului de transport câștigător al licenței de traseu cod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avut criteriul vechimii neîntrerupte pe traseu (criteriul 4 din  Anexa 18 la Ordinul nr.</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/2011 adoptat de pârât), în lipsa acestuia oferta sa ar fi fost declarată câștigătoare.</w:t>
      </w:r>
    </w:p>
    <w:p w14:paraId="5FB75B42" w14:textId="52AA02EB"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lastRenderedPageBreak/>
        <w:t xml:space="preserve">Valabilitatea Programului de transport interjudețean 2013-2019, în care au fost atribuite cursele aferente traseului cod </w:t>
      </w:r>
      <w:r>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s-a prelungit inițial pentru o perioadă de 4 ani, respectiv până la data de 30 iunie 2023, prin Ordinul emis de pârât sub nr.776/2019, și ulterior, succesiv, până la 31.12.2023 prin Ordinul nr.1268/2023, până la 30.06.2024 prin Ordinul 2300/2023, până la 31.12.2024 prin Ordinul nr.1129/2024 și până la 30.06.2025 prin OUG 141/2024, valabilitatea licențelor de traseu pentru transport persoane fiind prelungită la cerere de către Autoritatea Rutieră Română.</w:t>
      </w:r>
    </w:p>
    <w:p w14:paraId="1834CC85" w14:textId="35297BE0"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Prin sentinţa civilă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pronunţată de Curtea de Apel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în dosarul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sentinţă rămasă definitivă la data de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fost anulat pct.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Anexa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la Normele metodologice aprobate prin Ordinul M.T.I.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/2011, respectiv criteriul vechimii neîntrerupte pe traseu.</w:t>
      </w:r>
    </w:p>
    <w:p w14:paraId="3C96C01E"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Invocând incidența prevederilor art.19 alin.1 din Legea 554/2004, reclamanta a pretins că potrivit acestor prevederi legale, culpa autorităţii publice, ca o condiţie a răspunderii administrativ-patrimoniale, se poate constata numai în cadrul acţiunii în ilegalitate a unui act administrativ sau a unui refuz al administraţiei publice, deci în cadrul unei acţiuni în anulare, în condiţiile contenciosului administrativ. </w:t>
      </w:r>
    </w:p>
    <w:p w14:paraId="7E550268"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Prin urmare, cererea formulată pe cale separată pentru despăgubiri, întemeiată pe art. 19 din Legea nr. 554/2004, este condiţionată de existenţa unei hotărâri judecătoreşti prin care să fi fost admisă acţiunea îndreptată împotriva actului administrativ nelegal, tipic sau asimilat, pentru că repararea pagubei persoanei vătămate este o latură intrinsecă litigiului administrativ.</w:t>
      </w:r>
    </w:p>
    <w:p w14:paraId="1E4A42E0"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Astfel, acţiunea separată pentru despăgubiri este o etapă ulterioară acţiunii principale îndreptate împotriva actului vătămător.</w:t>
      </w:r>
    </w:p>
    <w:p w14:paraId="21F43EDA" w14:textId="364A2935"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Or, în prezenta speţă, prin sentinţa civilă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pronunţată de Curtea de Apel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în dosarul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s-a constatat deja nelegalitatea prevederilor pct.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Anexa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Normelor metodologice aprobate prin Ordinul M.T.I.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/2011, dispunând anularea criteriului vechimii neîntrerupte pe traseu.</w:t>
      </w:r>
    </w:p>
    <w:p w14:paraId="321C02DE" w14:textId="41960BF6"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În concret, SC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a exploatat traseul I</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Autogara </w:t>
      </w:r>
      <w:r>
        <w:rPr>
          <w:rFonts w:ascii="Times New Roman" w:eastAsia="Times New Roman" w:hAnsi="Times New Roman" w:cs="Times New Roman"/>
          <w:bCs/>
          <w:noProof/>
          <w:kern w:val="0"/>
          <w:sz w:val="24"/>
          <w:szCs w:val="24"/>
          <w:lang w:val="ro-RO" w:eastAsia="ro-RO"/>
          <w14:ligatures w14:val="none"/>
        </w:rPr>
        <w:t>B</w:t>
      </w:r>
      <w:r w:rsidRPr="001D6B55">
        <w:rPr>
          <w:rFonts w:ascii="Times New Roman" w:eastAsia="Times New Roman" w:hAnsi="Times New Roman" w:cs="Times New Roman"/>
          <w:bCs/>
          <w:noProof/>
          <w:kern w:val="0"/>
          <w:sz w:val="24"/>
          <w:szCs w:val="24"/>
          <w:lang w:val="ro-RO" w:eastAsia="ro-RO"/>
          <w14:ligatures w14:val="none"/>
        </w:rPr>
        <w:t xml:space="preserve"> SRL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P</w:t>
      </w:r>
      <w:r>
        <w:rPr>
          <w:rFonts w:ascii="Times New Roman" w:eastAsia="Times New Roman" w:hAnsi="Times New Roman" w:cs="Times New Roman"/>
          <w:bCs/>
          <w:noProof/>
          <w:kern w:val="0"/>
          <w:sz w:val="24"/>
          <w:szCs w:val="24"/>
          <w:lang w:val="ro-RO" w:eastAsia="ro-RO"/>
          <w14:ligatures w14:val="none"/>
        </w:rPr>
        <w:t xml:space="preserve">. </w:t>
      </w:r>
      <w:r w:rsidRPr="001D6B55">
        <w:rPr>
          <w:rFonts w:ascii="Times New Roman" w:eastAsia="Times New Roman" w:hAnsi="Times New Roman" w:cs="Times New Roman"/>
          <w:bCs/>
          <w:noProof/>
          <w:kern w:val="0"/>
          <w:sz w:val="24"/>
          <w:szCs w:val="24"/>
          <w:lang w:val="ro-RO" w:eastAsia="ro-RO"/>
          <w14:ligatures w14:val="none"/>
        </w:rPr>
        <w:t xml:space="preserve">- Autogara </w:t>
      </w:r>
      <w:r>
        <w:rPr>
          <w:rFonts w:ascii="Times New Roman" w:eastAsia="Times New Roman" w:hAnsi="Times New Roman" w:cs="Times New Roman"/>
          <w:bCs/>
          <w:noProof/>
          <w:kern w:val="0"/>
          <w:sz w:val="24"/>
          <w:szCs w:val="24"/>
          <w:lang w:val="ro-RO" w:eastAsia="ro-RO"/>
          <w14:ligatures w14:val="none"/>
        </w:rPr>
        <w:t>C</w:t>
      </w:r>
      <w:r w:rsidRPr="001D6B55">
        <w:rPr>
          <w:rFonts w:ascii="Times New Roman" w:eastAsia="Times New Roman" w:hAnsi="Times New Roman" w:cs="Times New Roman"/>
          <w:bCs/>
          <w:noProof/>
          <w:kern w:val="0"/>
          <w:sz w:val="24"/>
          <w:szCs w:val="24"/>
          <w:lang w:val="ro-RO" w:eastAsia="ro-RO"/>
          <w14:ligatures w14:val="none"/>
        </w:rPr>
        <w:t xml:space="preserve"> SRL o perioada mai mare de 8 ani, dar vechimea nu i-a fost recunoscută.</w:t>
      </w:r>
    </w:p>
    <w:p w14:paraId="77A6D809" w14:textId="3478AF41"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 În lipsa criteriului nelegal de la punctul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Anexa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Ordinului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/2011 rezultatul şedinţei electronice de atribuire a Curselor 1, 4, 5, 6, 8 şi 9 ale traseului având codul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ar fi fost diferit, respectiv:</w:t>
      </w:r>
    </w:p>
    <w:p w14:paraId="56BAC5DB" w14:textId="14348E16"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1.în privinţa curselor 1, 5 şi 9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a obţinut un punctaj total de 49 puncte format din:</w:t>
      </w:r>
    </w:p>
    <w:p w14:paraId="564554AC"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- 20 puncte obţinute pentru anul de fabricaţie al maşinii cu care a participat pe cele 3 curse, respectiv anul 2013;</w:t>
      </w:r>
    </w:p>
    <w:p w14:paraId="3CCE3CD3"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- 10 puncte obţinute pentru modul de deţinere a maşinilor,</w:t>
      </w:r>
    </w:p>
    <w:p w14:paraId="4F004B89"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-14obţinute pentru clasificarea maşinilor în categoria I - gradul de confort al autovehiculelor;</w:t>
      </w:r>
    </w:p>
    <w:p w14:paraId="595E9B4A"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-5 puncte obţinute pentru dotarea maşinilor cu aer condiţionat.</w:t>
      </w:r>
    </w:p>
    <w:p w14:paraId="1D783B87" w14:textId="7CB2A10A"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Ca urmare a aplicării criteriului anulat prin sentinţa civilă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pronunţată de Curtea de Apel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în dosarul nr. </w:t>
      </w:r>
      <w:r>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fost declarată câştigătoare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 cu un punctaj total de 59 puncte pentru cursele 1 şi 9 (</w:t>
      </w:r>
      <w:r w:rsidRPr="001D6B55">
        <w:rPr>
          <w:rFonts w:ascii="Times New Roman" w:eastAsia="Times New Roman" w:hAnsi="Times New Roman" w:cs="Times New Roman"/>
          <w:bCs/>
          <w:i/>
          <w:noProof/>
          <w:kern w:val="0"/>
          <w:sz w:val="24"/>
          <w:szCs w:val="24"/>
          <w:lang w:val="ro-RO" w:eastAsia="ro-RO"/>
          <w14:ligatures w14:val="none"/>
        </w:rPr>
        <w:t>ca urmare a celor 12 puncte acordate pentru vechimea neîntreruptă pe traseu - criteriul 4</w:t>
      </w:r>
      <w:r w:rsidRPr="001D6B55">
        <w:rPr>
          <w:rFonts w:ascii="Times New Roman" w:eastAsia="Times New Roman" w:hAnsi="Times New Roman" w:cs="Times New Roman"/>
          <w:bCs/>
          <w:noProof/>
          <w:kern w:val="0"/>
          <w:sz w:val="24"/>
          <w:szCs w:val="24"/>
          <w:lang w:val="ro-RO" w:eastAsia="ro-RO"/>
          <w14:ligatures w14:val="none"/>
        </w:rPr>
        <w:t>) şi 52 puncte pentru cursa 5 (</w:t>
      </w:r>
      <w:r w:rsidRPr="001D6B55">
        <w:rPr>
          <w:rFonts w:ascii="Times New Roman" w:eastAsia="Times New Roman" w:hAnsi="Times New Roman" w:cs="Times New Roman"/>
          <w:bCs/>
          <w:i/>
          <w:noProof/>
          <w:kern w:val="0"/>
          <w:sz w:val="24"/>
          <w:szCs w:val="24"/>
          <w:lang w:val="ro-RO" w:eastAsia="ro-RO"/>
          <w14:ligatures w14:val="none"/>
        </w:rPr>
        <w:t xml:space="preserve">ca urmare a celor 12 puncte acordate pentru vechimea neîntreruptă pe traseu - criteriul </w:t>
      </w:r>
      <w:r w:rsidR="0003534D">
        <w:rPr>
          <w:rFonts w:ascii="Times New Roman" w:eastAsia="Times New Roman" w:hAnsi="Times New Roman" w:cs="Times New Roman"/>
          <w:bCs/>
          <w:i/>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w:t>
      </w:r>
    </w:p>
    <w:p w14:paraId="2890751F" w14:textId="1B1E6EDF"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În concluzie, fără a lua în considerare criteriul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Anexa nr.</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Ordinului nr.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/2011 cu privire la vechimea neîntreruptă pentru care s-au acordat 12 puncte,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 ar fi obţinut un punctaj total de 47 puncte pentru cursele 1 şi 9 şi 40 puncte pentru cursa 5, fiind sub punctajul la care ar fi fost îndreptăţită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w:t>
      </w:r>
    </w:p>
    <w:p w14:paraId="48EA0040" w14:textId="6E2E7D42"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2.în privinţa curselor 4, 6 şi 8 </w:t>
      </w:r>
      <w:r w:rsidR="0003534D">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a obţinut un punctaj de 49 de puncte, iar operatorul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 61 de puncte (</w:t>
      </w:r>
      <w:r w:rsidRPr="001D6B55">
        <w:rPr>
          <w:rFonts w:ascii="Times New Roman" w:eastAsia="Times New Roman" w:hAnsi="Times New Roman" w:cs="Times New Roman"/>
          <w:bCs/>
          <w:i/>
          <w:noProof/>
          <w:kern w:val="0"/>
          <w:sz w:val="24"/>
          <w:szCs w:val="24"/>
          <w:lang w:val="ro-RO" w:eastAsia="ro-RO"/>
          <w14:ligatures w14:val="none"/>
        </w:rPr>
        <w:t xml:space="preserve">ca urmare a celor 12 puncte acordate pentru vechimea neîntreruptă pe traseu-criteriul </w:t>
      </w:r>
      <w:r w:rsidR="0003534D">
        <w:rPr>
          <w:rFonts w:ascii="Times New Roman" w:eastAsia="Times New Roman" w:hAnsi="Times New Roman" w:cs="Times New Roman"/>
          <w:bCs/>
          <w:i/>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w:t>
      </w:r>
    </w:p>
    <w:p w14:paraId="541876DC" w14:textId="4F4B127C"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lastRenderedPageBreak/>
        <w:t xml:space="preserve">În concluzie, fără a lua în considerare criteriul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Anexa nr.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Ordinului nr.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/2011 cu privire la vechimea neîntreruptă pentru care s-au acordat 12 puncte,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 ar fi obţinut un punctaj total de 49 puncte, la egalitate cu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SRL, executarea licenței de traseu în această situație împărțindu-se în mod egal.</w:t>
      </w:r>
    </w:p>
    <w:p w14:paraId="4994A712"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Reclamanta a arătat că justifică culpa autorităţii publice, fiind constatată în mod definitiv de către instanţa de judecată prin anularea criteriului nr.4, al vechimii neîntrerupte pe traseu.</w:t>
      </w:r>
    </w:p>
    <w:p w14:paraId="66DA2C83"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În ceea ce priveşte prejudiciul suferit, acesta constă în imposibilitatea efectuării curselor 1, 5 şi 9, respectiv 4, 6 şi 8 din data de 28.02.2013 până la data de 31.12.2024 rezultând un prejudiciu de 38.329.764 lei.</w:t>
      </w:r>
    </w:p>
    <w:p w14:paraId="5AEA88A9" w14:textId="25749F20"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Astfel, pentru cursele 1, 5 şi 9 a înregistrat un prejudiciu de 25.555.380 lei, iar pentru cursele 4, 6 şi 8, curse la care ar fi fost declarată câştigătoare la egalitate cu SC </w:t>
      </w:r>
      <w:r>
        <w:rPr>
          <w:rFonts w:ascii="Times New Roman" w:eastAsia="Times New Roman" w:hAnsi="Times New Roman" w:cs="Times New Roman"/>
          <w:bCs/>
          <w:noProof/>
          <w:kern w:val="0"/>
          <w:sz w:val="24"/>
          <w:szCs w:val="24"/>
          <w:lang w:val="ro-RO" w:eastAsia="ro-RO"/>
          <w14:ligatures w14:val="none"/>
        </w:rPr>
        <w:t>D</w:t>
      </w:r>
      <w:r w:rsidRPr="001D6B55">
        <w:rPr>
          <w:rFonts w:ascii="Times New Roman" w:eastAsia="Times New Roman" w:hAnsi="Times New Roman" w:cs="Times New Roman"/>
          <w:bCs/>
          <w:noProof/>
          <w:kern w:val="0"/>
          <w:sz w:val="24"/>
          <w:szCs w:val="24"/>
          <w:lang w:val="ro-RO" w:eastAsia="ro-RO"/>
          <w14:ligatures w14:val="none"/>
        </w:rPr>
        <w:t xml:space="preserve"> SRL, a înregistrat un prejudiciu de 12.774.384, rezultând un total de 38.329.764 lei.</w:t>
      </w:r>
      <w:r w:rsidRPr="001D6B55">
        <w:rPr>
          <w:rFonts w:ascii="Times New Roman" w:eastAsia="Times New Roman" w:hAnsi="Times New Roman" w:cs="Times New Roman"/>
          <w:noProof/>
          <w:kern w:val="0"/>
          <w:sz w:val="24"/>
          <w:szCs w:val="24"/>
          <w:lang w:val="ro-RO" w:eastAsia="ro-RO"/>
          <w14:ligatures w14:val="none"/>
        </w:rPr>
        <w:t xml:space="preserve"> </w:t>
      </w:r>
      <w:r w:rsidRPr="001D6B55">
        <w:rPr>
          <w:rFonts w:ascii="Times New Roman" w:eastAsia="Times New Roman" w:hAnsi="Times New Roman" w:cs="Times New Roman"/>
          <w:bCs/>
          <w:noProof/>
          <w:kern w:val="0"/>
          <w:sz w:val="24"/>
          <w:szCs w:val="24"/>
          <w:lang w:val="ro-RO" w:eastAsia="ro-RO"/>
          <w14:ligatures w14:val="none"/>
        </w:rPr>
        <w:t>Ulterior investirii instanței, prin cerere adițională (fila 100 dosar), reclamanta a solicitat acordarea de despăgubiri în valoare de 1.474.476 de lei și pentru perioada 01.01.2025-30.06.2025, modalitatea de calcul fiind identică.</w:t>
      </w:r>
    </w:p>
    <w:p w14:paraId="7289AAE3" w14:textId="7777777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A arătat că potrivit uzanţei A.R.R., în caz de egalitate de punctaj, cursele se împărţeau la paritate, astfel încât fiecare operator efectua o zi, iar cealaltă zi era efectuată de al doilea operator. Aşadar, calculul prejudiciului  s-a limitat la jumătate din numărul de zile ale anului.</w:t>
      </w:r>
    </w:p>
    <w:p w14:paraId="266DAB18" w14:textId="5C9409B7" w:rsidR="001D6B55" w:rsidRPr="001D6B55" w:rsidRDefault="001D6B55" w:rsidP="001D6B55">
      <w:pPr>
        <w:spacing w:after="0" w:line="240" w:lineRule="auto"/>
        <w:ind w:firstLine="709"/>
        <w:jc w:val="both"/>
        <w:rPr>
          <w:rFonts w:ascii="Times New Roman" w:eastAsia="Times New Roman" w:hAnsi="Times New Roman" w:cs="Times New Roman"/>
          <w:bCs/>
          <w:noProof/>
          <w:kern w:val="0"/>
          <w:sz w:val="24"/>
          <w:szCs w:val="24"/>
          <w:lang w:val="ro-RO" w:eastAsia="ro-RO"/>
          <w14:ligatures w14:val="none"/>
        </w:rPr>
      </w:pPr>
      <w:r w:rsidRPr="001D6B55">
        <w:rPr>
          <w:rFonts w:ascii="Times New Roman" w:eastAsia="Times New Roman" w:hAnsi="Times New Roman" w:cs="Times New Roman"/>
          <w:bCs/>
          <w:noProof/>
          <w:kern w:val="0"/>
          <w:sz w:val="24"/>
          <w:szCs w:val="24"/>
          <w:lang w:val="ro-RO" w:eastAsia="ro-RO"/>
          <w14:ligatures w14:val="none"/>
        </w:rPr>
        <w:t xml:space="preserve">În ceea ce priveşte legătura de cauzalitate, reclamanta a susținut că aceasta este evidentă, motivul pentru care </w:t>
      </w:r>
      <w:r>
        <w:rPr>
          <w:rFonts w:ascii="Times New Roman" w:eastAsia="Times New Roman" w:hAnsi="Times New Roman" w:cs="Times New Roman"/>
          <w:bCs/>
          <w:noProof/>
          <w:kern w:val="0"/>
          <w:sz w:val="24"/>
          <w:szCs w:val="24"/>
          <w:lang w:val="ro-RO" w:eastAsia="ro-RO"/>
          <w14:ligatures w14:val="none"/>
        </w:rPr>
        <w:t>A</w:t>
      </w:r>
      <w:r w:rsidRPr="001D6B55">
        <w:rPr>
          <w:rFonts w:ascii="Times New Roman" w:eastAsia="Times New Roman" w:hAnsi="Times New Roman" w:cs="Times New Roman"/>
          <w:bCs/>
          <w:noProof/>
          <w:kern w:val="0"/>
          <w:sz w:val="24"/>
          <w:szCs w:val="24"/>
          <w:lang w:val="ro-RO" w:eastAsia="ro-RO"/>
          <w14:ligatures w14:val="none"/>
        </w:rPr>
        <w:t xml:space="preserve"> nu a câştigat atribuirea din anul 2013 fiind reprezentat de existenţa prevederii nelegale, respectiv criteriul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din Anexa nr.</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 xml:space="preserve"> a Ordinului nr. </w:t>
      </w:r>
      <w:r w:rsidR="0003534D">
        <w:rPr>
          <w:rFonts w:ascii="Times New Roman" w:eastAsia="Times New Roman" w:hAnsi="Times New Roman" w:cs="Times New Roman"/>
          <w:bCs/>
          <w:noProof/>
          <w:kern w:val="0"/>
          <w:sz w:val="24"/>
          <w:szCs w:val="24"/>
          <w:lang w:val="ro-RO" w:eastAsia="ro-RO"/>
          <w14:ligatures w14:val="none"/>
        </w:rPr>
        <w:t>.......</w:t>
      </w:r>
      <w:r w:rsidRPr="001D6B55">
        <w:rPr>
          <w:rFonts w:ascii="Times New Roman" w:eastAsia="Times New Roman" w:hAnsi="Times New Roman" w:cs="Times New Roman"/>
          <w:bCs/>
          <w:noProof/>
          <w:kern w:val="0"/>
          <w:sz w:val="24"/>
          <w:szCs w:val="24"/>
          <w:lang w:val="ro-RO" w:eastAsia="ro-RO"/>
          <w14:ligatures w14:val="none"/>
        </w:rPr>
        <w:t>/2011.</w:t>
      </w:r>
    </w:p>
    <w:p w14:paraId="58498F75" w14:textId="77777777" w:rsidR="001D6B55" w:rsidRPr="001D6B55" w:rsidRDefault="001D6B55" w:rsidP="001D6B55">
      <w:pPr>
        <w:spacing w:after="0" w:line="240" w:lineRule="auto"/>
        <w:ind w:firstLine="567"/>
        <w:jc w:val="both"/>
        <w:rPr>
          <w:rFonts w:ascii="Times New Roman" w:eastAsia="Times New Roman" w:hAnsi="Times New Roman" w:cs="Times New Roman"/>
          <w:noProof/>
          <w:color w:val="FF0000"/>
          <w:kern w:val="0"/>
          <w:sz w:val="24"/>
          <w:szCs w:val="24"/>
          <w:lang w:val="ro-RO" w:eastAsia="ro-RO"/>
          <w14:ligatures w14:val="none"/>
        </w:rPr>
      </w:pPr>
    </w:p>
    <w:p w14:paraId="1911703F" w14:textId="77777777" w:rsidR="001D6B55" w:rsidRPr="001D6B55" w:rsidRDefault="001D6B55" w:rsidP="001D6B55">
      <w:pPr>
        <w:spacing w:after="0" w:line="240" w:lineRule="auto"/>
        <w:ind w:firstLine="709"/>
        <w:jc w:val="both"/>
        <w:rPr>
          <w:rFonts w:ascii="Times New Roman" w:eastAsia="Times New Roman" w:hAnsi="Times New Roman" w:cs="Times New Roman"/>
          <w:noProof/>
          <w:color w:val="FF0000"/>
          <w:kern w:val="0"/>
          <w:sz w:val="24"/>
          <w:szCs w:val="24"/>
          <w:lang w:val="ro-RO" w:eastAsia="ro-RO"/>
          <w14:ligatures w14:val="none"/>
        </w:rPr>
      </w:pPr>
      <w:r w:rsidRPr="001D6B55">
        <w:rPr>
          <w:rFonts w:ascii="Times New Roman" w:eastAsia="Times New Roman" w:hAnsi="Times New Roman" w:cs="Times New Roman"/>
          <w:b/>
          <w:noProof/>
          <w:kern w:val="0"/>
          <w:sz w:val="24"/>
          <w:szCs w:val="24"/>
          <w:lang w:val="ro-RO" w:eastAsia="ro-RO"/>
          <w14:ligatures w14:val="none"/>
        </w:rPr>
        <w:t>II. Întâmpinarea pârâtului</w:t>
      </w:r>
    </w:p>
    <w:p w14:paraId="4D0BD436"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Times New Roman" w:hAnsi="Times New Roman" w:cs="Times New Roman"/>
          <w:noProof/>
          <w:kern w:val="0"/>
          <w:sz w:val="24"/>
          <w:szCs w:val="24"/>
          <w:lang w:val="ro-RO" w:eastAsia="ro-RO"/>
          <w14:ligatures w14:val="none"/>
        </w:rPr>
        <w:t>Pârâtul Ministerul Transporturilor şi Infrastructurii</w:t>
      </w:r>
      <w:r w:rsidRPr="001D6B55">
        <w:rPr>
          <w:rFonts w:ascii="Times New Roman" w:eastAsia="Calibri" w:hAnsi="Times New Roman" w:cs="Times New Roman"/>
          <w:noProof/>
          <w:kern w:val="0"/>
          <w:sz w:val="24"/>
          <w:szCs w:val="24"/>
          <w:lang w:val="ro-RO"/>
          <w14:ligatures w14:val="none"/>
        </w:rPr>
        <w:t xml:space="preserve"> a formulat întâmpinare prin care, pe cale de excepție a invocat prescripția dreptului material la acțiune, iar pe fondul cauzei a solicitat respingerea acţiunii ca neîntemeiate.</w:t>
      </w:r>
    </w:p>
    <w:p w14:paraId="59D905B7" w14:textId="4E868E18"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Cu privire la excepţia prescripției a făcut trimitere la prevederile art. 19 alin. 1) şi 2) din Legea nr. 554/2004, considerând că la data investirii instanței era împlinit termenul de 1 an, data începerii cursului termenului de prescripție, invocată de reclamantă ca fiind data anulării definitive de către instanță a criteriului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din Anexa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la Ordinul nr.</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/2011, fiind contrazisă de considerentele Deciziei nr.22/2019 a ÎCCJ-RIL.</w:t>
      </w:r>
    </w:p>
    <w:p w14:paraId="75BD1F1C" w14:textId="45E8AC46"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Reclamanta s-a raportat în definirea pretenţiilor sale la data şedinţei de atribuire a traseelor pentru programul de transport contracost interjudeţean de persoane prin servicii regulate 2013-2019. Atribuirea electronică a operat în data de 28.02.2013, chiar reclamanta, în formularea pretenţiilor sale, raportându-se la această dată, iar nu la data rămânerii definitive a sentinţei nr.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În speţă, dreptul la reparaţie s-a născut la data atribuirii curselor/traseelor, şi anume data de 28.02.2023, termenul de prescripţie de 1 an începând să curgă de la această dată și indiferent la ce dată s-ar raporta, acţiune sa a fost promovată la data de 12.01.2024 cu mult peste termenul de prescripţie menţionat la art. 19 alin. 2 din Legea nr. 554/12004.</w:t>
      </w:r>
    </w:p>
    <w:p w14:paraId="735F6902"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Pe fondul cauzei a arătat că la determinarea prejudiciului este esenţial să se ţină cont atât de faptul că, pentru a fi reparabil, orice prejudiciu este obligatoriu să fie cert, lichid şi exigibil, cât şi de prevederile Standardului profesional nr. 35 - Expertizele contabile.</w:t>
      </w:r>
    </w:p>
    <w:p w14:paraId="2E4C6B09" w14:textId="568A832D"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În viziunea sa reclamanta trebuia să se raporteze la un profit net real, cât mai aproape de valoarea adevărată/concretă a activităţii din transporturi desfăşurată de un operator care a realizat efectiv aceste curse. Aşadar, calculul astfel făcut trebuia să cuprindă atât veniturile, cât şi cheltuielile SC </w:t>
      </w:r>
      <w:r>
        <w:rPr>
          <w:rFonts w:ascii="Times New Roman" w:eastAsia="Calibri" w:hAnsi="Times New Roman" w:cs="Times New Roman"/>
          <w:noProof/>
          <w:kern w:val="0"/>
          <w:sz w:val="24"/>
          <w:szCs w:val="24"/>
          <w:lang w:val="ro-RO"/>
          <w14:ligatures w14:val="none"/>
        </w:rPr>
        <w:t>D</w:t>
      </w:r>
      <w:r w:rsidRPr="001D6B55">
        <w:rPr>
          <w:rFonts w:ascii="Times New Roman" w:eastAsia="Calibri" w:hAnsi="Times New Roman" w:cs="Times New Roman"/>
          <w:noProof/>
          <w:kern w:val="0"/>
          <w:sz w:val="24"/>
          <w:szCs w:val="24"/>
          <w:lang w:val="ro-RO"/>
          <w14:ligatures w14:val="none"/>
        </w:rPr>
        <w:t xml:space="preserve"> SRL pentru cursele 1, 5 şi 9, respectiv cursele 4, 6 şi 8 I</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P</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fiind cea mai </w:t>
      </w:r>
      <w:r w:rsidRPr="001D6B55">
        <w:rPr>
          <w:rFonts w:ascii="Times New Roman" w:eastAsia="Calibri" w:hAnsi="Times New Roman" w:cs="Times New Roman"/>
          <w:noProof/>
          <w:kern w:val="0"/>
          <w:sz w:val="24"/>
          <w:szCs w:val="24"/>
          <w:lang w:val="ro-RO"/>
          <w14:ligatures w14:val="none"/>
        </w:rPr>
        <w:lastRenderedPageBreak/>
        <w:t>bună dovadă în acest sens la stabilirea veniturilor, dar şi a cheltuielilor şi să nu se raporteze doar la costul biletelor de călătorie.</w:t>
      </w:r>
    </w:p>
    <w:p w14:paraId="44B3151B" w14:textId="2BC0A304"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A solicitat instanţei să aibă în vedere faptul că această cursă regulată, I</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P</w:t>
      </w:r>
      <w:r w:rsidR="0003534D">
        <w:rPr>
          <w:rFonts w:ascii="Times New Roman" w:eastAsia="Calibri" w:hAnsi="Times New Roman" w:cs="Times New Roman"/>
          <w:noProof/>
          <w:kern w:val="0"/>
          <w:sz w:val="24"/>
          <w:szCs w:val="24"/>
          <w:lang w:val="ro-RO"/>
          <w14:ligatures w14:val="none"/>
        </w:rPr>
        <w:t xml:space="preserve">. </w:t>
      </w:r>
      <w:r w:rsidRPr="001D6B55">
        <w:rPr>
          <w:rFonts w:ascii="Times New Roman" w:eastAsia="Calibri" w:hAnsi="Times New Roman" w:cs="Times New Roman"/>
          <w:noProof/>
          <w:kern w:val="0"/>
          <w:sz w:val="24"/>
          <w:szCs w:val="24"/>
          <w:lang w:val="ro-RO"/>
          <w14:ligatures w14:val="none"/>
        </w:rPr>
        <w:t xml:space="preserve">are un itinerariu principal cu puncte de urcare şi coborâre, astfel că nu se poate stabili dacă reclamanta are un flux regulat pentru această cursă, decât prin verificarea fluxului de călători de la ambii operatori de transport, respectiv reclamanta şi operatorul SC </w:t>
      </w:r>
      <w:r>
        <w:rPr>
          <w:rFonts w:ascii="Times New Roman" w:eastAsia="Calibri" w:hAnsi="Times New Roman" w:cs="Times New Roman"/>
          <w:noProof/>
          <w:kern w:val="0"/>
          <w:sz w:val="24"/>
          <w:szCs w:val="24"/>
          <w:lang w:val="ro-RO"/>
          <w14:ligatures w14:val="none"/>
        </w:rPr>
        <w:t>D</w:t>
      </w:r>
      <w:r w:rsidRPr="001D6B55">
        <w:rPr>
          <w:rFonts w:ascii="Times New Roman" w:eastAsia="Calibri" w:hAnsi="Times New Roman" w:cs="Times New Roman"/>
          <w:noProof/>
          <w:kern w:val="0"/>
          <w:sz w:val="24"/>
          <w:szCs w:val="24"/>
          <w:lang w:val="ro-RO"/>
          <w14:ligatures w14:val="none"/>
        </w:rPr>
        <w:t xml:space="preserve"> SRL, întrucât călătorii urcă sau coboară şi nu se poate stabili cu exactitate situaţia veniturilor încasate.</w:t>
      </w:r>
    </w:p>
    <w:p w14:paraId="253D88AC" w14:textId="3C6976DA"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Totodată, trebuia să aibă în vedere şi autovehiculele nominalizate de către reclamantă pentru efectuarea cursei regulate I</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P</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respectiv capacitatea acestora d etrasnport.</w:t>
      </w:r>
    </w:p>
    <w:p w14:paraId="44B0FC7C"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Reclamanta nu a luat în calcul la determinarea prejudiciului cheltuielile directe şi cheltuielile indirecte, care concură la stabilirea indicatorilor financiari şi trebuie luate în calcul la stabilirea profitului, nu a luat în calcul perioada stării de urgenţă din cauza pandemiei de covid, când multe din cursele interjudeţene au fost suspendate, deci profitul calculat pe aceasta perioadă trebuie scăzut din calculul efectuat de către reclamantă.</w:t>
      </w:r>
    </w:p>
    <w:p w14:paraId="54D2FE42"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A arătat că în şedinţa din 5 noiembrie 2024 Curtea Constituţională a admis obiecţia de neconstituţionalitate şi a constatat faptul că prelungirea nejustificată a valabilităţii licenţelor de traseu/autorizaţiilor de transport la nivel interjudeţean conduce la distorsionarea mediului concurenţial prin favorizarea operatorilor existenţi pe piaţă şi interzicerea accesului altor operatori care ar fi putut să efectueze aceste servicii în condiţii economice şi de calitate superioară, decizie care urmează a fi publicată în Monitorul Oficial al României Partea I. Ca urmare, instanţa nu ar trebui sa mai ţină cont de actele prin care au fost prelungite în mod neconstituţional programele de transport interjudeţean, iar modul de calcul al prejudiciului ar trebui să se oprească la sfârşitul anului 2019.</w:t>
      </w:r>
    </w:p>
    <w:p w14:paraId="3D710251" w14:textId="64C6CE34"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Totodată, a susținut că existenţa unei hotărâri judecătoreşti prin care se constată nelegalitatea unui act administrativ constituie doar o premisă de punere în mişcare a acţiunii în pretenţii. Mai mult chiar, între cererea de anulare a actului administrativ şi solicitarea de despăgubiri trebuie să existe o legătură interdependentă şi indisolubilă, or reclamanta nu a reuşit să demonstreze faptul că există o legătură interdependentă şi indisolubilă între prevederile anulate din O.M.T. nr.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/2012 şi pretinsul prejudiciu.</w:t>
      </w:r>
    </w:p>
    <w:p w14:paraId="3372BD2F" w14:textId="215807F2"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În susţinerea pretenţiilor sale, reclamanta a depus un tabel cu rezultatele atribuirii electronice a traseelor interjudeţene din care reiese că ar fi câştigat 7 curse în timp ce </w:t>
      </w:r>
      <w:r>
        <w:rPr>
          <w:rFonts w:ascii="Times New Roman" w:eastAsia="Calibri" w:hAnsi="Times New Roman" w:cs="Times New Roman"/>
          <w:noProof/>
          <w:kern w:val="0"/>
          <w:sz w:val="24"/>
          <w:szCs w:val="24"/>
          <w:lang w:val="ro-RO"/>
          <w14:ligatures w14:val="none"/>
        </w:rPr>
        <w:t>D</w:t>
      </w:r>
      <w:r w:rsidRPr="001D6B55">
        <w:rPr>
          <w:rFonts w:ascii="Times New Roman" w:eastAsia="Calibri" w:hAnsi="Times New Roman" w:cs="Times New Roman"/>
          <w:noProof/>
          <w:kern w:val="0"/>
          <w:sz w:val="24"/>
          <w:szCs w:val="24"/>
          <w:lang w:val="ro-RO"/>
          <w14:ligatures w14:val="none"/>
        </w:rPr>
        <w:t xml:space="preserve"> SRL a câştigat mai puţin de jumătate din cursele câştigate de reclamantă, şi anume 3 curse, dar nu rezultă care au fost participanţii la atribuire şi punctajul detaliat obţinut de fiecare dintre aceştia, pentru a putea verifica afirmaţiile reclamantei.</w:t>
      </w:r>
    </w:p>
    <w:p w14:paraId="53D09328"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Susţinerile reclamantei cu privire la faptul că, dacă nu ar fi fost criteriul vechimii pe traseu, ar fi câştigat licitaţia, nu sunt susţinute prin niciun fel de probe. Astfel, reclamanta nu a reuşit să facă dovada punctajului obţinut per total, nici a punctajului obţinut pentru fiecare criteriu în parte, pentru ca instanţa să poată face o comparaţie, nu a depus niciun fel de înscris sau acte doveditoare în acest sens.</w:t>
      </w:r>
    </w:p>
    <w:p w14:paraId="03AA52A1" w14:textId="3BC428A3"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Despre legătura de cauzalitate reclamanta a arătat ca „aceasta este evidentă”, însă pârâta a pretins că reclamanta nu a reuşit să demonstreze faptul că există o legătură interdependentă şi indisolubilă între prevederile anulate din O.M.T. nr.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/2011 şi că doar criteriul vechimii pe traseu a fost cel care a dus la pierderea licitaţiei de către reclamantă pe traseul I</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P</w:t>
      </w:r>
      <w:r w:rsidR="0003534D">
        <w:rPr>
          <w:rFonts w:ascii="Times New Roman" w:eastAsia="Calibri" w:hAnsi="Times New Roman" w:cs="Times New Roman"/>
          <w:noProof/>
          <w:kern w:val="0"/>
          <w:sz w:val="24"/>
          <w:szCs w:val="24"/>
          <w:lang w:val="ro-RO"/>
          <w14:ligatures w14:val="none"/>
        </w:rPr>
        <w:t>.</w:t>
      </w:r>
      <w:r w:rsidRPr="001D6B55">
        <w:rPr>
          <w:rFonts w:ascii="Times New Roman" w:eastAsia="Calibri" w:hAnsi="Times New Roman" w:cs="Times New Roman"/>
          <w:noProof/>
          <w:kern w:val="0"/>
          <w:sz w:val="24"/>
          <w:szCs w:val="24"/>
          <w:lang w:val="ro-RO"/>
          <w14:ligatures w14:val="none"/>
        </w:rPr>
        <w:t xml:space="preserve">. </w:t>
      </w:r>
    </w:p>
    <w:p w14:paraId="3830AFF3"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În principiu, pentru a putea fi solicitată reparaţia, prejudiciul trebuie să fie cert, direct, personal, să rezulte din încălcarea sau lezarea unui drept sau interes legitim. Reclamanta a cuantificat acest prejudiciu, dar nu a arătat cum anume a ajuns la această sumă, nu a efectuat şi prezentat niciun calcul şi nu a depus înscrisuri, suma fiind exorbitantă şi nerealistă.</w:t>
      </w:r>
    </w:p>
    <w:p w14:paraId="3EDABF5D" w14:textId="77777777" w:rsidR="001D6B55" w:rsidRPr="001D6B55" w:rsidRDefault="001D6B55" w:rsidP="001D6B55">
      <w:pPr>
        <w:spacing w:after="0" w:line="240" w:lineRule="auto"/>
        <w:ind w:firstLine="567"/>
        <w:jc w:val="both"/>
        <w:rPr>
          <w:rFonts w:ascii="Times New Roman" w:eastAsia="Calibri" w:hAnsi="Times New Roman" w:cs="Times New Roman"/>
          <w:noProof/>
          <w:kern w:val="0"/>
          <w:sz w:val="24"/>
          <w:szCs w:val="24"/>
          <w:lang w:val="ro-RO"/>
          <w14:ligatures w14:val="none"/>
        </w:rPr>
      </w:pPr>
      <w:r w:rsidRPr="001D6B55">
        <w:rPr>
          <w:rFonts w:ascii="Times New Roman" w:eastAsia="Calibri" w:hAnsi="Times New Roman" w:cs="Times New Roman"/>
          <w:noProof/>
          <w:kern w:val="0"/>
          <w:sz w:val="24"/>
          <w:szCs w:val="24"/>
          <w:lang w:val="ro-RO"/>
          <w14:ligatures w14:val="none"/>
        </w:rPr>
        <w:t xml:space="preserve"> </w:t>
      </w:r>
    </w:p>
    <w:p w14:paraId="68EC3490" w14:textId="77777777" w:rsidR="001D6B55" w:rsidRPr="001D6B55" w:rsidRDefault="001D6B55" w:rsidP="001D6B55">
      <w:pPr>
        <w:spacing w:after="0" w:line="240" w:lineRule="auto"/>
        <w:ind w:firstLine="567"/>
        <w:jc w:val="both"/>
        <w:rPr>
          <w:rFonts w:ascii="Times New Roman" w:eastAsia="Times New Roman" w:hAnsi="Times New Roman" w:cs="Times New Roman"/>
          <w:noProof/>
          <w:kern w:val="0"/>
          <w:sz w:val="24"/>
          <w:szCs w:val="24"/>
          <w:lang w:val="ro-RO" w:eastAsia="ro-RO"/>
          <w14:ligatures w14:val="none"/>
        </w:rPr>
      </w:pPr>
    </w:p>
    <w:p w14:paraId="48A97A17" w14:textId="77777777" w:rsidR="001D6B55" w:rsidRPr="001D6B55" w:rsidRDefault="001D6B55" w:rsidP="001D6B55">
      <w:pPr>
        <w:spacing w:after="0" w:line="240" w:lineRule="auto"/>
        <w:ind w:firstLine="709"/>
        <w:jc w:val="both"/>
        <w:rPr>
          <w:rFonts w:ascii="Times New Roman" w:eastAsia="Times New Roman" w:hAnsi="Times New Roman" w:cs="Times New Roman"/>
          <w:b/>
          <w:bCs/>
          <w:noProof/>
          <w:kern w:val="0"/>
          <w:sz w:val="24"/>
          <w:szCs w:val="24"/>
          <w:lang w:val="ro-RO" w:eastAsia="ro-RO"/>
          <w14:ligatures w14:val="none"/>
        </w:rPr>
      </w:pPr>
      <w:r w:rsidRPr="001D6B55">
        <w:rPr>
          <w:rFonts w:ascii="Times New Roman" w:eastAsia="Times New Roman" w:hAnsi="Times New Roman" w:cs="Times New Roman"/>
          <w:b/>
          <w:bCs/>
          <w:noProof/>
          <w:kern w:val="0"/>
          <w:sz w:val="24"/>
          <w:szCs w:val="24"/>
          <w:lang w:val="ro-RO" w:eastAsia="ro-RO"/>
          <w14:ligatures w14:val="none"/>
        </w:rPr>
        <w:t>III. Taxa judiciară de timbru; Mijloace de probă în proces</w:t>
      </w:r>
    </w:p>
    <w:p w14:paraId="28BD8EE9" w14:textId="77777777" w:rsidR="001D6B55" w:rsidRPr="001D6B55" w:rsidRDefault="001D6B55" w:rsidP="001D6B55">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lastRenderedPageBreak/>
        <w:t xml:space="preserve"> Cererea de chemare în judecată a fost legal timbrată în raport de prevederile art.16 lit.b) din OUG 80/2013. Părților le-a fost încuvințată cererea de administrare a probei cu înscrisuri, fiind respinsă cererea reclamantei de administrare a probei cu raportul de expertiză contabilă.</w:t>
      </w:r>
    </w:p>
    <w:p w14:paraId="0B205039" w14:textId="77777777" w:rsidR="001D6B55" w:rsidRPr="001D6B55" w:rsidRDefault="001D6B55" w:rsidP="001D6B55">
      <w:pPr>
        <w:spacing w:after="0" w:line="240" w:lineRule="auto"/>
        <w:rPr>
          <w:rFonts w:ascii="Times New Roman" w:eastAsia="Times New Roman" w:hAnsi="Times New Roman" w:cs="Times New Roman"/>
          <w:noProof/>
          <w:kern w:val="0"/>
          <w:sz w:val="24"/>
          <w:szCs w:val="24"/>
          <w:lang w:val="ro-RO" w:eastAsia="ro-RO"/>
          <w14:ligatures w14:val="none"/>
        </w:rPr>
      </w:pPr>
    </w:p>
    <w:p w14:paraId="71B24A6F" w14:textId="77777777" w:rsidR="001D6B55" w:rsidRPr="001D6B55" w:rsidRDefault="001D6B55" w:rsidP="001D6B55">
      <w:pPr>
        <w:spacing w:after="0" w:line="240" w:lineRule="auto"/>
        <w:ind w:firstLine="709"/>
        <w:jc w:val="both"/>
        <w:rPr>
          <w:rFonts w:ascii="Times New Roman" w:eastAsia="Times New Roman" w:hAnsi="Times New Roman" w:cs="Times New Roman"/>
          <w:b/>
          <w:noProof/>
          <w:kern w:val="0"/>
          <w:sz w:val="24"/>
          <w:szCs w:val="24"/>
          <w:lang w:val="ro-RO" w:eastAsia="ro-RO"/>
          <w14:ligatures w14:val="none"/>
        </w:rPr>
      </w:pPr>
      <w:r w:rsidRPr="001D6B55">
        <w:rPr>
          <w:rFonts w:ascii="Times New Roman" w:eastAsia="Times New Roman" w:hAnsi="Times New Roman" w:cs="Times New Roman"/>
          <w:b/>
          <w:noProof/>
          <w:kern w:val="0"/>
          <w:sz w:val="24"/>
          <w:szCs w:val="24"/>
          <w:lang w:val="ro-RO" w:eastAsia="ro-RO"/>
          <w14:ligatures w14:val="none"/>
        </w:rPr>
        <w:t>IV. Argumentarea soluţiei pronunţate</w:t>
      </w:r>
    </w:p>
    <w:p w14:paraId="5FDE7936" w14:textId="1FF8084C"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 Ministerul pârât a opus pe cale de excepție prescripția dreptului material la acțiune, considerând că termenul de prescripție a început să curgă la data ședinței de atribuire a traseelor pentru programul de transport contracost de persoane prin servicii regulate 2013-2019, respectiv la 28.02.2013, și s-a împlinit la data de 28.02.2016, în raport de prevederile art.1381 și art.2517 C.civ., cererea de chemare în judecată fiind introdusă la data de 12.01.2024. Ulterior, după declinarea competenței de către Curtea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în favoarea Curții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pârâtul a reiterat excepția prescripției dreptului la acțiune, în susținerea acesteia invocând dispozițiile art.19 alin.1 și 2 din Legea 554/2004, precum și Decizia nr.22/2019 a ÎCCJ-RIL.</w:t>
      </w:r>
    </w:p>
    <w:p w14:paraId="74DCF43D"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Curtea va respinge excepția ca nefondată.</w:t>
      </w:r>
    </w:p>
    <w:p w14:paraId="5B92D061"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În primul rând, dispozițiile de drept comun referitoare la prescripția dreptului material la acțiune nu sunt aplicabile cauzei, întrucât societatea reclamantă a sesizat instanța de contencios administrativ, fiind incidente dispozițiile referitoare la prescripție reglementate de art.11 și art.19 din Legea 554/2004.</w:t>
      </w:r>
    </w:p>
    <w:p w14:paraId="2A50FBC5" w14:textId="3BF7CEC0"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În al doilea rând, societatea reclamantă a exercitat în termen dreptul la acțiune în raport de prevederile art.19 alin.1 și 2 din Legea 554/2004, despăgubirile fiind solicitate în legătură cu anularea parțială a Ordinului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prin Sentința civilă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pronunțată de către Curtea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-secția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în dosarul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definitivă prin nerecurare la 14.09.2023.</w:t>
      </w:r>
    </w:p>
    <w:p w14:paraId="7FD788EF"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Potrivit art.19 alin.1 din Legea 554/2004, când persoana vătămată a cerut anularea actului administrativ, fără a cere în același timp și despăgubiri, termenul de prescripție pentru cererea de despăgubire curge de la data la care acesta a cunoscut sau trebuia să cunoască întinderea pagubei. Prin Decizia nr.22/2019 pronunțată de către ÎCCJ în procedura recursului în interesul legii s-a stabilit în interpretarea și aplicarea unitară a dispozițiilor art. 19 din Legea contenciosului administrativ nr. 554/2004, prin raportare la dispozițiile art. 11 alin. (2) din același act normativ, că data la care începe să curgă termenul de prescripție pentru introducerea acțiunii în despăgubire reprezintă momentul la care persoana vătămată printr-un act administrativ nelegal a cunoscut sau ar fi trebuit să cunoască întinderea pagubei, nefiind legat în mod direct și aprioric nici de comunicarea actului administrativ nelegal și nici de momentul rămânerii definitive a hotărârii de anulare a acestuia.</w:t>
      </w:r>
    </w:p>
    <w:p w14:paraId="0AAD26E6" w14:textId="59A9E064"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Actul administrativ nelegal la care s-a raportat societatea reclamantă pentru a solicita despăgubiri este Ordinul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emis de către pârât, cu privire la care s-a dispus anularea parțială, respectiv a pct.4 din Anexa 18 la ordin, acțiunea în anulare fiind formulată la data de 20.02.2017 și soluționată definitiv de către Curtea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data de 14.09.2023. </w:t>
      </w:r>
    </w:p>
    <w:p w14:paraId="2FB9F297"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Pentru despăgubirile solicitate de către reclamantă pentru perioada anterioară datei introducerii acțiunii în anulare, 28.02.2013 - 20.02.2017, prescripția dreptului la acțiune nu a curs, existența acțiunii în anulare condiționând exercitarea dreptului la acțiune pentru repararea pagubei, în lipsa unei cereri de anulare a actului administrativ vătămător cererea de acordare a despăgubirilor având caracter inadmsibil.</w:t>
      </w:r>
    </w:p>
    <w:p w14:paraId="0B9C44B4"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Întrucât societatea reclamantă nu a solicitat acordarea de despăgubiri prin aceeași cerere prin care a solicitat anularea parțială a actului administrativ cu caracter normativ, devin incidente prevederile art.19 alin.1 și 2 din Legea 554/2004, astfel cum au fost intepretate de către ÎCCJ prin Decizia nr.22/2019-RIL, respectiv termenul de prescripție de 1 an pentru cererea de despăgubire curge de la data la care persoana vătămată a cunoscut sau trebuia să cunoască întinderea pagubei, moment ce „constituie o împrejurare de fapt, care trebuie </w:t>
      </w:r>
      <w:r w:rsidRPr="001D6B55">
        <w:rPr>
          <w:rFonts w:ascii="Times New Roman" w:eastAsia="Times New Roman" w:hAnsi="Times New Roman" w:cs="Times New Roman"/>
          <w:noProof/>
          <w:kern w:val="0"/>
          <w:sz w:val="24"/>
          <w:szCs w:val="24"/>
          <w:lang w:val="ro-RO" w:eastAsia="ro-RO"/>
          <w14:ligatures w14:val="none"/>
        </w:rPr>
        <w:lastRenderedPageBreak/>
        <w:t>dovedită printr-un probatoriu serios, nefiind legată în mod direct și aprioric nici de comunicarea actului administrativ nelegal și nici de momentul rămânerii definitive a hotărârii de anulare a acestuia”.</w:t>
      </w:r>
    </w:p>
    <w:p w14:paraId="05046990" w14:textId="4AFDCCDD"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Singurul element concret la care se raportează începutul cursului termenului de prescripție este acela al cunoașterii întinderii pagubei, respectiv valoarea prejudiciului generat de actul administrativ nelegal și care în concret se raportează la beneficiul nerealizat de către în urma neadjudecării în cadrul traseului cod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w:t>
      </w:r>
      <w:r w:rsidRPr="001D6B55">
        <w:rPr>
          <w:rFonts w:ascii="Times New Roman" w:eastAsia="Times New Roman" w:hAnsi="Times New Roman" w:cs="Times New Roman"/>
          <w:i/>
          <w:noProof/>
          <w:kern w:val="0"/>
          <w:sz w:val="24"/>
          <w:szCs w:val="24"/>
          <w:lang w:val="ro-RO" w:eastAsia="ro-RO"/>
          <w14:ligatures w14:val="none"/>
        </w:rPr>
        <w:t>I</w:t>
      </w:r>
      <w:r w:rsidR="0003534D">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 xml:space="preserve">, Autogara </w:t>
      </w:r>
      <w:r w:rsidR="0003534D">
        <w:rPr>
          <w:rFonts w:ascii="Times New Roman" w:eastAsia="Times New Roman" w:hAnsi="Times New Roman" w:cs="Times New Roman"/>
          <w:i/>
          <w:noProof/>
          <w:kern w:val="0"/>
          <w:sz w:val="24"/>
          <w:szCs w:val="24"/>
          <w:lang w:val="ro-RO" w:eastAsia="ro-RO"/>
          <w14:ligatures w14:val="none"/>
        </w:rPr>
        <w:t>B</w:t>
      </w:r>
      <w:r w:rsidRPr="001D6B55">
        <w:rPr>
          <w:rFonts w:ascii="Times New Roman" w:eastAsia="Times New Roman" w:hAnsi="Times New Roman" w:cs="Times New Roman"/>
          <w:i/>
          <w:noProof/>
          <w:kern w:val="0"/>
          <w:sz w:val="24"/>
          <w:szCs w:val="24"/>
          <w:lang w:val="ro-RO" w:eastAsia="ro-RO"/>
          <w14:ligatures w14:val="none"/>
        </w:rPr>
        <w:t>-P</w:t>
      </w:r>
      <w:r w:rsidR="0003534D">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 xml:space="preserve">, Autogara </w:t>
      </w:r>
      <w:r>
        <w:rPr>
          <w:rFonts w:ascii="Times New Roman" w:eastAsia="Times New Roman" w:hAnsi="Times New Roman" w:cs="Times New Roman"/>
          <w:i/>
          <w:noProof/>
          <w:kern w:val="0"/>
          <w:sz w:val="24"/>
          <w:szCs w:val="24"/>
          <w:lang w:val="ro-RO" w:eastAsia="ro-RO"/>
          <w14:ligatures w14:val="none"/>
        </w:rPr>
        <w:t>C</w:t>
      </w:r>
      <w:r w:rsidRPr="001D6B55">
        <w:rPr>
          <w:rFonts w:ascii="Times New Roman" w:eastAsia="Times New Roman" w:hAnsi="Times New Roman" w:cs="Times New Roman"/>
          <w:i/>
          <w:noProof/>
          <w:kern w:val="0"/>
          <w:sz w:val="24"/>
          <w:szCs w:val="24"/>
          <w:lang w:val="ro-RO" w:eastAsia="ro-RO"/>
          <w14:ligatures w14:val="none"/>
        </w:rPr>
        <w:t xml:space="preserve"> SRL </w:t>
      </w:r>
      <w:r w:rsidRPr="001D6B55">
        <w:rPr>
          <w:rFonts w:ascii="Times New Roman" w:eastAsia="Times New Roman" w:hAnsi="Times New Roman" w:cs="Times New Roman"/>
          <w:noProof/>
          <w:kern w:val="0"/>
          <w:sz w:val="24"/>
          <w:szCs w:val="24"/>
          <w:lang w:val="ro-RO" w:eastAsia="ro-RO"/>
          <w14:ligatures w14:val="none"/>
        </w:rPr>
        <w:t>) a curselor individualizate cu nr.1,4,5,6,8 și 9.</w:t>
      </w:r>
    </w:p>
    <w:p w14:paraId="15526752" w14:textId="022A708F"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Stabilirea întinderii pagubei pretins suportate de către societatea reclamantă implică stabilirea câștigului realizat de către societatea de transport persoane </w:t>
      </w:r>
      <w:r>
        <w:rPr>
          <w:rFonts w:ascii="Times New Roman" w:eastAsia="Times New Roman" w:hAnsi="Times New Roman" w:cs="Times New Roman"/>
          <w:noProof/>
          <w:kern w:val="0"/>
          <w:sz w:val="24"/>
          <w:szCs w:val="24"/>
          <w:lang w:val="ro-RO" w:eastAsia="ro-RO"/>
          <w14:ligatures w14:val="none"/>
        </w:rPr>
        <w:t>D</w:t>
      </w:r>
      <w:r w:rsidRPr="001D6B55">
        <w:rPr>
          <w:rFonts w:ascii="Times New Roman" w:eastAsia="Times New Roman" w:hAnsi="Times New Roman" w:cs="Times New Roman"/>
          <w:noProof/>
          <w:kern w:val="0"/>
          <w:sz w:val="24"/>
          <w:szCs w:val="24"/>
          <w:lang w:val="ro-RO" w:eastAsia="ro-RO"/>
          <w14:ligatures w14:val="none"/>
        </w:rPr>
        <w:t xml:space="preserve"> SRL, declarată căștigătoare a curselor 1, 4, 5, 6, 8 și 9, pe ruta I</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Autogara </w:t>
      </w:r>
      <w:r w:rsidR="0003534D">
        <w:rPr>
          <w:rFonts w:ascii="Times New Roman" w:eastAsia="Times New Roman" w:hAnsi="Times New Roman" w:cs="Times New Roman"/>
          <w:noProof/>
          <w:kern w:val="0"/>
          <w:sz w:val="24"/>
          <w:szCs w:val="24"/>
          <w:lang w:val="ro-RO" w:eastAsia="ro-RO"/>
          <w14:ligatures w14:val="none"/>
        </w:rPr>
        <w:t>B</w:t>
      </w:r>
      <w:r w:rsidRPr="001D6B55">
        <w:rPr>
          <w:rFonts w:ascii="Times New Roman" w:eastAsia="Times New Roman" w:hAnsi="Times New Roman" w:cs="Times New Roman"/>
          <w:noProof/>
          <w:kern w:val="0"/>
          <w:sz w:val="24"/>
          <w:szCs w:val="24"/>
          <w:lang w:val="ro-RO" w:eastAsia="ro-RO"/>
          <w14:ligatures w14:val="none"/>
        </w:rPr>
        <w:t>-P</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Autogara </w:t>
      </w:r>
      <w:r>
        <w:rPr>
          <w:rFonts w:ascii="Times New Roman" w:eastAsia="Times New Roman" w:hAnsi="Times New Roman" w:cs="Times New Roman"/>
          <w:noProof/>
          <w:kern w:val="0"/>
          <w:sz w:val="24"/>
          <w:szCs w:val="24"/>
          <w:lang w:val="ro-RO" w:eastAsia="ro-RO"/>
          <w14:ligatures w14:val="none"/>
        </w:rPr>
        <w:t>C</w:t>
      </w:r>
      <w:r w:rsidRPr="001D6B55">
        <w:rPr>
          <w:rFonts w:ascii="Times New Roman" w:eastAsia="Times New Roman" w:hAnsi="Times New Roman" w:cs="Times New Roman"/>
          <w:noProof/>
          <w:kern w:val="0"/>
          <w:sz w:val="24"/>
          <w:szCs w:val="24"/>
          <w:lang w:val="ro-RO" w:eastAsia="ro-RO"/>
          <w14:ligatures w14:val="none"/>
        </w:rPr>
        <w:t xml:space="preserve"> SRL, valoarea despăgubirii ce ar putea fi acordată reclamantei neputând depăși profitul realizat de către societatea căreia serviciul de transport persoane i-a fost încredințat în urma licitației câștigate în anul 2013 pe cursele anterior indicate.</w:t>
      </w:r>
    </w:p>
    <w:p w14:paraId="15527C80" w14:textId="6960EECC"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De asemenea, Curtea are în vedere faptul că valabilitatea Programului de transport interjudețean 2013-2019, în care au fost atribuite cursele aferente traseului cod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s-a prelungit inițial pentru o perioadă de 4 ani, respectiv până la data de 30 iunie 2023, prin Ordinul emis de pârât sub nr.776/2019, și ulterior, succesiv, până la 31.12.2023 prin Ordinul nr.1268/2023, până la 30.06.2024 prin Ordinul 2300/2023, până la 31.12.2024 prin Ordinul nr.1129/2024 și până la 30.06.2025 prin OUG 141/2024, valabilitatea licențelor de traseu pentru transport persoane fiind prelungită la cerere de către Autoritatea Rutieră Română.</w:t>
      </w:r>
    </w:p>
    <w:p w14:paraId="187EE776" w14:textId="4D561F89"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Datorită prelungirii succesive a a valabilității Programului de transport interjudețean de persoane și a licențelor de traseu până la 30.06.2025, după expirarea duratei de atribuire a licențelor de execuție în anul 2019, atât reclamanta, cât și instanța de judecată, se află în imposibilitatea stabilirii întinderii despăgubirilor, care, astfel cum s-a precizat, nu pot depăși ca și cuantum profitul realizat de către societatea căștigătoare </w:t>
      </w:r>
      <w:r>
        <w:rPr>
          <w:rFonts w:ascii="Times New Roman" w:eastAsia="Times New Roman" w:hAnsi="Times New Roman" w:cs="Times New Roman"/>
          <w:noProof/>
          <w:kern w:val="0"/>
          <w:sz w:val="24"/>
          <w:szCs w:val="24"/>
          <w:lang w:val="ro-RO" w:eastAsia="ro-RO"/>
          <w14:ligatures w14:val="none"/>
        </w:rPr>
        <w:t>D</w:t>
      </w:r>
      <w:r w:rsidRPr="001D6B55">
        <w:rPr>
          <w:rFonts w:ascii="Times New Roman" w:eastAsia="Times New Roman" w:hAnsi="Times New Roman" w:cs="Times New Roman"/>
          <w:noProof/>
          <w:kern w:val="0"/>
          <w:sz w:val="24"/>
          <w:szCs w:val="24"/>
          <w:lang w:val="ro-RO" w:eastAsia="ro-RO"/>
          <w14:ligatures w14:val="none"/>
        </w:rPr>
        <w:t xml:space="preserve"> SRL în prestarea serviciilor de transport persoane pe traseul și cursele invocate de către reclamantă.</w:t>
      </w:r>
    </w:p>
    <w:p w14:paraId="57824CBE" w14:textId="0A3CF53C"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Cunoașterea faptei ilicite, a autorului și a altor elemente care concură parțial la determinarea prejudiciului pretins încercat de reclamantă (valoarea tarifului de transport, a capacității maxime de transport persoane în raport de mijlocul de transport cu care a participat la licitație în anul 2013, a frecvenței curselor regulate de transport) nu sunt suficiente în determinarea exactă a întinderii despăgubirii. Cunoașterea de către reclamantă a elementelor anterior menționate - valoarea tarifului de transport, frecvența zilnică a curselor regulate de transport persoane pe traseul cod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și capacitatea maximă de transport a vehiculului - nu permit stabilirea în concret a întinderii despăgubirii, ci doar o estimare a valorii maxime a acesteia, și nu determină începerea cursului prescripției dreptului la acțiune, cum eronat a susținut pârâtul.</w:t>
      </w:r>
    </w:p>
    <w:p w14:paraId="3CC6FBAD" w14:textId="538452E4" w:rsidR="001D6B55" w:rsidRPr="001D6B55" w:rsidRDefault="001D6B55" w:rsidP="001D6B55">
      <w:pPr>
        <w:spacing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 Totodată, Curtea are în vedere că prestarea succesivă a activității de transport persoane nu implică termene distincte de prescripție a dreptului la acțiune, care ar începe să curgă de la data la care fiecare prestație a devint exigibilă, prejudiciul invocat de către reclamantă având caracter unic, constând în câștigul patrimonial nerealizat datorită neatribuirii curselor 1, 4, 5, 6, 8 și 9, consecință a aplicării criteriului de la pct.</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din Anexa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criteriu anulat definitiv de către instanța de contencios administrativ.</w:t>
      </w:r>
    </w:p>
    <w:p w14:paraId="38B1EFD8"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În concluzie, având în vedere că începutului termenul de prescripție pentru cererea de despăgubire curge de la data la care reclamanta a cunoscut sau trebuia să cunoască întinderea pagubei, iar întinderea pagubei nu poate fi determinată datorită argumentelor prezentate, în special datorită prelungirii valabilității programului de tranport interjudețean până la 30.06.2025, Curtea va respinge excepția prescripției dreptului la acțiune.</w:t>
      </w:r>
    </w:p>
    <w:p w14:paraId="1D4AFCB3"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Curtea mai are în vedere și faptul că modalitatea de intepretare a dispozițiilor art.19 alin.1 și 2 din Legea 554/2004 invocată de către ministerul pârât, în situația anulării unui act </w:t>
      </w:r>
      <w:r w:rsidRPr="001D6B55">
        <w:rPr>
          <w:rFonts w:ascii="Times New Roman" w:eastAsia="Times New Roman" w:hAnsi="Times New Roman" w:cs="Times New Roman"/>
          <w:noProof/>
          <w:kern w:val="0"/>
          <w:sz w:val="24"/>
          <w:szCs w:val="24"/>
          <w:lang w:val="ro-RO" w:eastAsia="ro-RO"/>
          <w14:ligatures w14:val="none"/>
        </w:rPr>
        <w:lastRenderedPageBreak/>
        <w:t xml:space="preserve">administrativ cu caracter normativ, tinde la a genera un tratament juridic diferit de cel al persoanelor vătămate prin ordonanțe sau dispoziții din ordonanțe ale guvernului, care pot solicita despăgubiri în limitele unui termen de decădere de un an, calculat de la data publicării deciziei Curții Constituționale în Monitorul Oficial al României, Partea I, deși persoanele vătămate prin acte administrative normative se află în situație similară. </w:t>
      </w:r>
    </w:p>
    <w:p w14:paraId="60CD2097" w14:textId="77777777" w:rsidR="001D6B55" w:rsidRPr="001D6B55" w:rsidRDefault="001D6B55" w:rsidP="001D6B55">
      <w:pPr>
        <w:spacing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Potrivit jurisprudenței Curții Constituționale, principiul egalității în fața legii presupune instituirea unui tratament egal pentru situații care, în funcție de scopul urmărit, nu sunt diferite. De aceea el nu exclude, ci, dimpotrivă, presupune soluții diferite pentru situații diferite (</w:t>
      </w:r>
      <w:r w:rsidRPr="001D6B55">
        <w:rPr>
          <w:rFonts w:ascii="Times New Roman" w:eastAsia="Times New Roman" w:hAnsi="Times New Roman" w:cs="Times New Roman"/>
          <w:i/>
          <w:noProof/>
          <w:kern w:val="0"/>
          <w:sz w:val="24"/>
          <w:szCs w:val="24"/>
          <w:lang w:val="ro-RO" w:eastAsia="ro-RO"/>
          <w14:ligatures w14:val="none"/>
        </w:rPr>
        <w:t>Decizia Plenului Curții Constituționale nr.1 din 8 februarie 1994, publicată în Monitorul Oficial al României, Partea I, nr.69 din 16 februarie 1994</w:t>
      </w:r>
      <w:r w:rsidRPr="001D6B55">
        <w:rPr>
          <w:rFonts w:ascii="Times New Roman" w:eastAsia="Times New Roman" w:hAnsi="Times New Roman" w:cs="Times New Roman"/>
          <w:noProof/>
          <w:kern w:val="0"/>
          <w:sz w:val="24"/>
          <w:szCs w:val="24"/>
          <w:lang w:val="ro-RO" w:eastAsia="ro-RO"/>
          <w14:ligatures w14:val="none"/>
        </w:rPr>
        <w:t>). De asemenea, în ceea ce privește încălcarea egalității în drepturi, în jurisprudența sa, Curtea Constituţională a reținut că este admisibilă diferenţa de tratament juridic pentru situaţii diferite, când aceasta se justifică în mod raţional şi obiectiv (</w:t>
      </w:r>
      <w:r w:rsidRPr="001D6B55">
        <w:rPr>
          <w:rFonts w:ascii="Times New Roman" w:eastAsia="Times New Roman" w:hAnsi="Times New Roman" w:cs="Times New Roman"/>
          <w:i/>
          <w:noProof/>
          <w:kern w:val="0"/>
          <w:sz w:val="24"/>
          <w:szCs w:val="24"/>
          <w:lang w:val="ro-RO" w:eastAsia="ro-RO"/>
          <w14:ligatures w14:val="none"/>
        </w:rPr>
        <w:t>Decizia nr.168 din 10 decembrie 1998, publicată în Monitorul Oficial al României, Partea I, nr.77 din 24 februarie 1999, și Decizia nr.231 din 25 mai 2004, publicată în Monitorul Oficial al României, Partea I, nr.561 din 24 iunie 2004</w:t>
      </w:r>
      <w:r w:rsidRPr="001D6B55">
        <w:rPr>
          <w:rFonts w:ascii="Times New Roman" w:eastAsia="Times New Roman" w:hAnsi="Times New Roman" w:cs="Times New Roman"/>
          <w:noProof/>
          <w:kern w:val="0"/>
          <w:sz w:val="24"/>
          <w:szCs w:val="24"/>
          <w:lang w:val="ro-RO" w:eastAsia="ro-RO"/>
          <w14:ligatures w14:val="none"/>
        </w:rPr>
        <w:t xml:space="preserve">). </w:t>
      </w:r>
    </w:p>
    <w:p w14:paraId="38681839" w14:textId="77777777" w:rsidR="001D6B55" w:rsidRPr="001D6B55" w:rsidRDefault="001D6B55" w:rsidP="001D6B55">
      <w:pPr>
        <w:spacing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 În acelaşi sens este şi jurisprudenţa constantă a Curţii Europene a Drepturilor Omului, care, pe baza art.14 din Convenţie, a statuat că discriminarea înseamnă a trata diferit, fără o justificare obiectivă şi rezonabilă, persoane aflate în situaţii relevant similare. O diferenţă de tratament nu are nicio justificare obiectivă şi rezonabilă, dacă aceasta nu urmăreşte un scop legitim sau dacă nu există un raport rezonabil de proporţionalitate între mijloacele utilizate şi scopul vizat ( </w:t>
      </w:r>
      <w:r w:rsidRPr="001D6B55">
        <w:rPr>
          <w:rFonts w:ascii="Times New Roman" w:eastAsia="Times New Roman" w:hAnsi="Times New Roman" w:cs="Times New Roman"/>
          <w:i/>
          <w:noProof/>
          <w:kern w:val="0"/>
          <w:sz w:val="24"/>
          <w:szCs w:val="24"/>
          <w:lang w:val="ro-RO" w:eastAsia="ro-RO"/>
          <w14:ligatures w14:val="none"/>
        </w:rPr>
        <w:t>Hotărârea din 2 noiembrie 2010, pronunţată în Cauza Şerife Yiğit împotriva Turciei, paragrafele 68 şi 69</w:t>
      </w:r>
      <w:r w:rsidRPr="001D6B55">
        <w:rPr>
          <w:rFonts w:ascii="Times New Roman" w:eastAsia="Times New Roman" w:hAnsi="Times New Roman" w:cs="Times New Roman"/>
          <w:noProof/>
          <w:kern w:val="0"/>
          <w:sz w:val="24"/>
          <w:szCs w:val="24"/>
          <w:lang w:val="ro-RO" w:eastAsia="ro-RO"/>
          <w14:ligatures w14:val="none"/>
        </w:rPr>
        <w:t>).</w:t>
      </w:r>
    </w:p>
    <w:p w14:paraId="0C76149B"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p>
    <w:p w14:paraId="2901463E"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u w:val="single"/>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r>
      <w:r w:rsidRPr="001D6B55">
        <w:rPr>
          <w:rFonts w:ascii="Times New Roman" w:eastAsia="Times New Roman" w:hAnsi="Times New Roman" w:cs="Times New Roman"/>
          <w:noProof/>
          <w:kern w:val="0"/>
          <w:sz w:val="24"/>
          <w:szCs w:val="24"/>
          <w:u w:val="single"/>
          <w:lang w:val="ro-RO" w:eastAsia="ro-RO"/>
          <w14:ligatures w14:val="none"/>
        </w:rPr>
        <w:t>Pe fond, cererea de chemare în judecată are caracter neîntemeiat.</w:t>
      </w:r>
    </w:p>
    <w:p w14:paraId="30F07A63"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Angajarea răspunderii patrimoniale a ministerului pârât poate interveni dacă sunt îndeplinite cumulativ condițiile răspunderii civile patrimoniale, astfel cum au fost preluate și adpatate în materia dreptului administrativ conform art.577 din OUG 57/2019, respectiv existența unei fapte ilicite concretizată prin adoptarea unui act administrativ nelegal, producerea unui prejudiciu prin aplicarea actului administrativ nelegal, legătura de cauzalitate dintre prejudiciu și actul administrativ nelegal și existenţa culpei autorităţii publice indiferent de forma de vinovăție sau gravitatea culpei.</w:t>
      </w:r>
    </w:p>
    <w:p w14:paraId="1493F4D8" w14:textId="77777777"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Condițiile cumulative anterior indicate nu sunt îndeplinite în cauză, neputând fi angajată răspunderea administrativ patrimonială a ministerului pârât, în special datorită neîndeplinirii condițiilor referitoare la prejuduciu și legătura de cauzalitate ce trebuie să existe între acesta și dispoziția anulată din actul administrativ cu caracter normativ.</w:t>
      </w:r>
    </w:p>
    <w:p w14:paraId="0B24C3E2" w14:textId="589942EB" w:rsidR="001D6B55" w:rsidRPr="001D6B55" w:rsidRDefault="001D6B55" w:rsidP="001D6B55">
      <w:pPr>
        <w:spacing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 xml:space="preserve">Despăgubirea solicitată de către societatea reclamantă cu titlu de prejudiciu, repartizată pe două perioade distincte, 28.02.2013-31.12.2024 și 01.01.2025-30.06.2025, are ca și cauză (causa debendi) modalitatea de aplicare a criteriilor de atribuire a licenței de traseu cuprinse în Anexa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/30.11.2011 de către Autoritatea Rutieră Română și Centrul Naţional de Management pentru Societatea Informaţională, care la data de 28.02.2013, în urma şedinţei electronice de atribuire a traseelor din cadrul Programul de transport rutier interjudeţean 2013 - 2019, au atribuit licența de execuție traseu cod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I</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Autogara </w:t>
      </w:r>
      <w:r>
        <w:rPr>
          <w:rFonts w:ascii="Times New Roman" w:eastAsia="Times New Roman" w:hAnsi="Times New Roman" w:cs="Times New Roman"/>
          <w:noProof/>
          <w:kern w:val="0"/>
          <w:sz w:val="24"/>
          <w:szCs w:val="24"/>
          <w:lang w:val="ro-RO" w:eastAsia="ro-RO"/>
          <w14:ligatures w14:val="none"/>
        </w:rPr>
        <w:t>B</w:t>
      </w:r>
      <w:r w:rsidRPr="001D6B55">
        <w:rPr>
          <w:rFonts w:ascii="Times New Roman" w:eastAsia="Times New Roman" w:hAnsi="Times New Roman" w:cs="Times New Roman"/>
          <w:noProof/>
          <w:kern w:val="0"/>
          <w:sz w:val="24"/>
          <w:szCs w:val="24"/>
          <w:lang w:val="ro-RO" w:eastAsia="ro-RO"/>
          <w14:ligatures w14:val="none"/>
        </w:rPr>
        <w:t xml:space="preserve"> SRL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w:t>
      </w:r>
      <w:r w:rsidR="0003534D">
        <w:rPr>
          <w:rFonts w:ascii="Times New Roman" w:eastAsia="Times New Roman" w:hAnsi="Times New Roman" w:cs="Times New Roman"/>
          <w:noProof/>
          <w:kern w:val="0"/>
          <w:sz w:val="24"/>
          <w:szCs w:val="24"/>
          <w:lang w:val="ro-RO" w:eastAsia="ro-RO"/>
          <w14:ligatures w14:val="none"/>
        </w:rPr>
        <w:t>P.</w:t>
      </w:r>
      <w:r w:rsidRPr="001D6B55">
        <w:rPr>
          <w:rFonts w:ascii="Times New Roman" w:eastAsia="Times New Roman" w:hAnsi="Times New Roman" w:cs="Times New Roman"/>
          <w:noProof/>
          <w:kern w:val="0"/>
          <w:sz w:val="24"/>
          <w:szCs w:val="24"/>
          <w:lang w:val="ro-RO" w:eastAsia="ro-RO"/>
          <w14:ligatures w14:val="none"/>
        </w:rPr>
        <w:t xml:space="preserve">, Autogara </w:t>
      </w:r>
      <w:r>
        <w:rPr>
          <w:rFonts w:ascii="Times New Roman" w:eastAsia="Times New Roman" w:hAnsi="Times New Roman" w:cs="Times New Roman"/>
          <w:noProof/>
          <w:kern w:val="0"/>
          <w:sz w:val="24"/>
          <w:szCs w:val="24"/>
          <w:lang w:val="ro-RO" w:eastAsia="ro-RO"/>
          <w14:ligatures w14:val="none"/>
        </w:rPr>
        <w:t>C</w:t>
      </w:r>
      <w:r w:rsidRPr="001D6B55">
        <w:rPr>
          <w:rFonts w:ascii="Times New Roman" w:eastAsia="Times New Roman" w:hAnsi="Times New Roman" w:cs="Times New Roman"/>
          <w:noProof/>
          <w:kern w:val="0"/>
          <w:sz w:val="24"/>
          <w:szCs w:val="24"/>
          <w:lang w:val="ro-RO" w:eastAsia="ro-RO"/>
          <w14:ligatures w14:val="none"/>
        </w:rPr>
        <w:t xml:space="preserve"> SRL, societății </w:t>
      </w:r>
      <w:r>
        <w:rPr>
          <w:rFonts w:ascii="Times New Roman" w:eastAsia="Times New Roman" w:hAnsi="Times New Roman" w:cs="Times New Roman"/>
          <w:noProof/>
          <w:kern w:val="0"/>
          <w:sz w:val="24"/>
          <w:szCs w:val="24"/>
          <w:lang w:val="ro-RO" w:eastAsia="ro-RO"/>
          <w14:ligatures w14:val="none"/>
        </w:rPr>
        <w:t>D</w:t>
      </w:r>
      <w:r w:rsidRPr="001D6B55">
        <w:rPr>
          <w:rFonts w:ascii="Times New Roman" w:eastAsia="Times New Roman" w:hAnsi="Times New Roman" w:cs="Times New Roman"/>
          <w:noProof/>
          <w:kern w:val="0"/>
          <w:sz w:val="24"/>
          <w:szCs w:val="24"/>
          <w:lang w:val="ro-RO" w:eastAsia="ro-RO"/>
          <w14:ligatures w14:val="none"/>
        </w:rPr>
        <w:t xml:space="preserve"> SRL și în detrimentul societății reclamante. Aceasta din urmă a pretins că rezultatul procedurii de atribuire a fost influențată de criteriul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(vechimea neîntreruptă pe traseu), în lipsa acestuia licența i-ar fi fost atribuită.</w:t>
      </w:r>
    </w:p>
    <w:p w14:paraId="1C7B7E89" w14:textId="035ADB1F" w:rsidR="001D6B55" w:rsidRPr="001D6B55" w:rsidRDefault="001D6B55" w:rsidP="001D6B55">
      <w:pPr>
        <w:spacing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Ordinul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emis de către ministerul pârât are natura juridică a actului administrativ cu caracter normativ, reprezentând în concret normele metodologice privind aplicarea prevederilor referitoare la organizarea și efectuarea transporturilor rutiere și a activităților conexe acestora stabilite prin Ordonanța Guvernului nr. 27/2011 privind transporturile rutiere.</w:t>
      </w:r>
      <w:r w:rsidRPr="001D6B55">
        <w:rPr>
          <w:rFonts w:ascii="Times New Roman" w:eastAsia="Times New Roman" w:hAnsi="Times New Roman" w:cs="Times New Roman"/>
          <w:noProof/>
          <w:kern w:val="0"/>
          <w:sz w:val="24"/>
          <w:szCs w:val="24"/>
          <w:lang w:val="ro-RO" w:eastAsia="ro-RO"/>
          <w14:ligatures w14:val="none"/>
        </w:rPr>
        <w:tab/>
      </w:r>
    </w:p>
    <w:p w14:paraId="48B2018B" w14:textId="75BB11E0" w:rsidR="001D6B55" w:rsidRPr="001D6B55" w:rsidRDefault="001D6B55" w:rsidP="001D6B55">
      <w:pPr>
        <w:spacing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lastRenderedPageBreak/>
        <w:t>Transportul rutier contra cost de persoane prin servicii regulate se poate realiza pe baza programului de transport şi a licenţei de traseu eliberată de Autoritatea Rutieră Română - A.R.R., potrivit art.art.53 alin.1 și art.55 alin.1 din anexa la Ordinul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forma în vigoare la data de 28.02.2013, </w:t>
      </w:r>
      <w:r w:rsidRPr="001D6B55">
        <w:rPr>
          <w:rFonts w:ascii="Times New Roman" w:eastAsia="Times New Roman" w:hAnsi="Times New Roman" w:cs="Times New Roman"/>
          <w:b/>
          <w:noProof/>
          <w:kern w:val="0"/>
          <w:sz w:val="24"/>
          <w:szCs w:val="24"/>
          <w:u w:val="single"/>
          <w:lang w:val="ro-RO" w:eastAsia="ro-RO"/>
          <w14:ligatures w14:val="none"/>
        </w:rPr>
        <w:t>atât programul de transport, cât și licența de traseu reprezentând acte administrative subsecvente emise în executarea normelor metodologice</w:t>
      </w:r>
      <w:r w:rsidRPr="001D6B55">
        <w:rPr>
          <w:rFonts w:ascii="Times New Roman" w:eastAsia="Times New Roman" w:hAnsi="Times New Roman" w:cs="Times New Roman"/>
          <w:noProof/>
          <w:kern w:val="0"/>
          <w:sz w:val="24"/>
          <w:szCs w:val="24"/>
          <w:lang w:val="ro-RO" w:eastAsia="ro-RO"/>
          <w14:ligatures w14:val="none"/>
        </w:rPr>
        <w:t xml:space="preserve">. Aceste acte administrative subsecvente specifice programului de transport 2013-2019 și licența de execuție traseu cod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au stat la baza pretinsului prejudiciu suferit de către reclamantă, actele fiind contestate de către societatea reclamantă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la instanța de contencios administrativ, cererea sa de chemare  fiind respinsă definitiv în dosarul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al Curții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(filele 11-21 dosar).</w:t>
      </w:r>
    </w:p>
    <w:p w14:paraId="6FF21F0A" w14:textId="442D0A30" w:rsidR="001D6B55" w:rsidRPr="001D6B55" w:rsidRDefault="001D6B55" w:rsidP="001D6B55">
      <w:pPr>
        <w:spacing w:before="240"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b/>
        <w:t>În litigiul soluționat prin sentința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Curții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-secția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pronunțată în dosarul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societatea reclamantă nu a contestat la momentul procedurii de selecție a ofertelor și a atribuirii licențelor de traseu legalitatea criteriilor de atribuire reglementate în Anexa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Orinul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dimpotrivă societatea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a solicitat să i se recunoască o vechime  mai mare de 8 ani pentru traseul cod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cu acordarea punctajului maxim prevăzut pentru acest criteriu, respectiv 12 pct.</w:t>
      </w:r>
    </w:p>
    <w:p w14:paraId="369DB1E7" w14:textId="01D6CC8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După respingerea definitivă a  cererii de chemare în judecată în dosarul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al Curții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societatea reclamantă a sesizat Curtea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cu cererea de anulare parțială a Ordinului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respectiv a criteriului de atribuire reglementat de art.</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din Anexa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 (vechimea neîntreruptă pe traseu), întrucât ar institui un avantaj de tip monopol în beneficiul operatorului de transport care efectuează deja activitate de transport persoane pe traseul scos la licitație la momentul de referință (dosar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În al doilea ciclu procesual, desfășurat în dosarul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ca urmare a rejudecării cauzei dispuse de către ÎCCJ-SCAF, Curtea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dispus prin Sentința civilă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anularea criteriului de atribuire prevăzut la art.</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din Anexa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Ordinului Ministerului Transporturilor nr.</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/30.11.2011, sentință rămasă definitivă prin nerecurare la data de 14.09.2023 potrivit relațiilor furnizate la dosar de către Curtea de Apel </w:t>
      </w:r>
      <w:r w:rsidR="0003534D">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(fila 67).</w:t>
      </w:r>
    </w:p>
    <w:p w14:paraId="5ABEBAB7" w14:textId="2BADFD66"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Față de situația de fapt și de drept expusă, Curtea constată că societatea reclamantă solicită repararea unui prejudiciu patrimonial ce a nu a fost produs în mod direct de către ministerul pârât, acesta fiind consecința directă a altor două acte administrative subsecvente Ordinului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respectiv programul de transport interjudețean 2013-2019 și licența de execuție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a căror legalitate a fost constatată definitiv de către instanța de contencios administrativ la sesizarea societății reclamante.</w:t>
      </w:r>
    </w:p>
    <w:p w14:paraId="620DE97A" w14:textId="677E7014"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Cererea reclamantei de reparare a pretinsului prejudiciu tinde la a repune în discuție legalitatea procedurii de atribuire a licenței de traseu în baza unui nou motiv de nelegalitate, neinvocat în litigiul în care s-a contestat regularitatea procedurii de atribuire în anul 2014, precum și caracterul definitiv al hotărârii judecătorești pronunțate în dosarul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al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după mai bine de 11 ani.</w:t>
      </w:r>
    </w:p>
    <w:p w14:paraId="4AC2D5D8" w14:textId="71D26A3B"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În acest context Curtea va analiza distinct temeinicia cererii reclamantei de a fi despăgubită, prin prisma efectelor juridice pe care Sentința civilă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le produce de la data definitivării soluției de anulare a criteriului vechimii neîntrerupte pe traseu, pentru trecut (28.02.2013-13.09.2023) și pentru viitor, în limita investirii instanței de către reclamantă ( 14.09.2023-30.06.2025).</w:t>
      </w:r>
    </w:p>
    <w:p w14:paraId="2F92A838"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Ex tunc, nulitatea înlătură din ordinea juridică prevederea legală anulată de la data intrăii sale în vigoare, persoana lezată în drepturile sau interesele sale legitime având vocația </w:t>
      </w:r>
      <w:r w:rsidRPr="001D6B55">
        <w:rPr>
          <w:rFonts w:ascii="Times New Roman" w:eastAsia="Times New Roman" w:hAnsi="Times New Roman" w:cs="Times New Roman"/>
          <w:noProof/>
          <w:kern w:val="0"/>
          <w:sz w:val="24"/>
          <w:szCs w:val="24"/>
          <w:lang w:val="ro-RO" w:eastAsia="ro-RO"/>
          <w14:ligatures w14:val="none"/>
        </w:rPr>
        <w:lastRenderedPageBreak/>
        <w:t>de a fi despăgubită pentru eventualele prejudicii produse de dispoziția anulată de către instanța de contencios administrativ.</w:t>
      </w:r>
    </w:p>
    <w:p w14:paraId="284C43A3"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Însă,  în cazul reclamantei, dreptul său de a fi despăgubită comportă pentru perioada 28.02.2013-13.09.2023 câteva limitări legale, la care a contribuit și reclamanta prin cererile adresate instanței de contencios administrativ, și care înlătură posibilitatea de a-i fi reparat prejudiciul invocat, în concret neexistând un prejudiciu.</w:t>
      </w:r>
    </w:p>
    <w:p w14:paraId="10CB8F25" w14:textId="4E8FE060"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b/>
          <w:noProof/>
          <w:kern w:val="0"/>
          <w:sz w:val="24"/>
          <w:szCs w:val="24"/>
          <w:lang w:val="ro-RO" w:eastAsia="ro-RO"/>
          <w14:ligatures w14:val="none"/>
        </w:rPr>
        <w:t>Prima limitare legală</w:t>
      </w:r>
      <w:r w:rsidRPr="001D6B55">
        <w:rPr>
          <w:rFonts w:ascii="Times New Roman" w:eastAsia="Times New Roman" w:hAnsi="Times New Roman" w:cs="Times New Roman"/>
          <w:noProof/>
          <w:kern w:val="0"/>
          <w:sz w:val="24"/>
          <w:szCs w:val="24"/>
          <w:lang w:val="ro-RO" w:eastAsia="ro-RO"/>
          <w14:ligatures w14:val="none"/>
        </w:rPr>
        <w:t xml:space="preserve"> avută în vedere este cea care derivă din puterea de lucru judecat sub aspectul său pozitiv (art.430 alin.2 coroborat cu art.431 alin.1 C.pr.civ.), hotărârile pronunțate în dosarul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al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(fond și recurs) statuând definitiv asupra regularității programului județean de transport interjudețean 2013-2019 și a atribuirii licenței de execuție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societății </w:t>
      </w:r>
      <w:r>
        <w:rPr>
          <w:rFonts w:ascii="Times New Roman" w:eastAsia="Times New Roman" w:hAnsi="Times New Roman" w:cs="Times New Roman"/>
          <w:noProof/>
          <w:kern w:val="0"/>
          <w:sz w:val="24"/>
          <w:szCs w:val="24"/>
          <w:lang w:val="ro-RO" w:eastAsia="ro-RO"/>
          <w14:ligatures w14:val="none"/>
        </w:rPr>
        <w:t>D</w:t>
      </w:r>
      <w:r w:rsidRPr="001D6B55">
        <w:rPr>
          <w:rFonts w:ascii="Times New Roman" w:eastAsia="Times New Roman" w:hAnsi="Times New Roman" w:cs="Times New Roman"/>
          <w:noProof/>
          <w:kern w:val="0"/>
          <w:sz w:val="24"/>
          <w:szCs w:val="24"/>
          <w:lang w:val="ro-RO" w:eastAsia="ro-RO"/>
          <w14:ligatures w14:val="none"/>
        </w:rPr>
        <w:t xml:space="preserve"> SRL, în considerarea aplicării corecte a tuturor celor 4 criterii de atribuire reglementate prin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inclusiv din perspectiva criteriului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anulat ulterior de către instanța de contencios administrativ. Curtea are în vedere că în acel litigiu societatea reclamantă a solicitat să i se recunoască vechimea continuă pe traseul aferent codului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și acordarea punctajului maxim, adică se i se aplice într-o anumită modalitate criteriul vechimii continue, fără a pune în discuție legalitatea acestui citeriu. Solicitând ca instanța de judecată să constate că trebuie să i se acorde un punctaj  maxim la criteriul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societatea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a fixat limitele judecății (art.9 alin.2 C.pr.civ.) și a celor în care a avut loc soluționarea cauzei (art.22 alin.6, art.397 alin.1 C.pr.civ). </w:t>
      </w:r>
    </w:p>
    <w:p w14:paraId="6C3F4A7E" w14:textId="7428550A"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Prin sentința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-secția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pronunțată în dosarul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cererea de chemare în judecată a societății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a fost respinsă, soluție menținută definitiv după exercitarea căii de atac a recursului, astfel încât societatea se află în imposibilitatea juridică de a repune în discuție legalitatea actelor administrative subsecvente -  </w:t>
      </w:r>
      <w:r w:rsidRPr="001D6B55">
        <w:rPr>
          <w:rFonts w:ascii="Times New Roman" w:eastAsia="Times New Roman" w:hAnsi="Times New Roman" w:cs="Times New Roman"/>
          <w:i/>
          <w:noProof/>
          <w:kern w:val="0"/>
          <w:sz w:val="24"/>
          <w:szCs w:val="24"/>
          <w:lang w:val="ro-RO" w:eastAsia="ro-RO"/>
          <w14:ligatures w14:val="none"/>
        </w:rPr>
        <w:t xml:space="preserve">programul de transport 2013-2019 interjudețean și licența de traseu pentru cod </w:t>
      </w:r>
      <w:r w:rsidR="00560FA9">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 xml:space="preserve"> atribuită societății </w:t>
      </w:r>
      <w:r>
        <w:rPr>
          <w:rFonts w:ascii="Times New Roman" w:eastAsia="Times New Roman" w:hAnsi="Times New Roman" w:cs="Times New Roman"/>
          <w:i/>
          <w:noProof/>
          <w:kern w:val="0"/>
          <w:sz w:val="24"/>
          <w:szCs w:val="24"/>
          <w:lang w:val="ro-RO" w:eastAsia="ro-RO"/>
          <w14:ligatures w14:val="none"/>
        </w:rPr>
        <w:t>D</w:t>
      </w:r>
      <w:r w:rsidRPr="001D6B55">
        <w:rPr>
          <w:rFonts w:ascii="Times New Roman" w:eastAsia="Times New Roman" w:hAnsi="Times New Roman" w:cs="Times New Roman"/>
          <w:i/>
          <w:noProof/>
          <w:kern w:val="0"/>
          <w:sz w:val="24"/>
          <w:szCs w:val="24"/>
          <w:lang w:val="ro-RO" w:eastAsia="ro-RO"/>
          <w14:ligatures w14:val="none"/>
        </w:rPr>
        <w:t xml:space="preserve"> SRL</w:t>
      </w:r>
      <w:r w:rsidRPr="001D6B55">
        <w:rPr>
          <w:rFonts w:ascii="Times New Roman" w:eastAsia="Times New Roman" w:hAnsi="Times New Roman" w:cs="Times New Roman"/>
          <w:noProof/>
          <w:kern w:val="0"/>
          <w:sz w:val="24"/>
          <w:szCs w:val="24"/>
          <w:lang w:val="ro-RO" w:eastAsia="ro-RO"/>
          <w14:ligatures w14:val="none"/>
        </w:rPr>
        <w:t xml:space="preserve"> - pentru motive noi de nelegalitate ce nu au fost invocate în termenul legal în cadrul acțiunii inițiale (art.11 alin.1 și 2 din Legea 554/2004), context în care sentința curții de apel nu mai poate fi înlăturată din ordinea juridică nici prin intermediul unei căii de atac extraordinare de retractare.</w:t>
      </w:r>
    </w:p>
    <w:p w14:paraId="5319ABA0" w14:textId="08B84C69"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Efectul retroactiv al nulității generat începând cu data de 14.09.2023 de sentința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în raport de argumentele anterior prezentate prin prisma efectului pozitiv al autorității de lucru judecat, nu permit societății reclamante să obțină anularea actelor administrative subsecvente emise în aplicarea criteriilor de atribuire reglementate de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și nici acordarea de despăgubiri, repararea prejudiciului fiind condiționată de anularea actului administrativ (art.18 alin.1 și 3, art.19 alin.1 din Legea 554/2004). Or, astfel cum s-a explicat, anularea parțială doar a actului administrativ cu caracter normativ, fără posibilitatea de anulare a actelor administrative subsecvente emise în executarea acestuia în situația reclamantei relevă că aceasta nu se află în situația anulării tuturor actelor administrative care au concurat la producerea prejudicului, puterea de lucru judecat opunându-se posibilității de reparare a prejudiciului pretins produs în modalitatea invocată de către reclamantă.</w:t>
      </w:r>
    </w:p>
    <w:p w14:paraId="1AD9E9AD" w14:textId="7A8807ED"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Actele administrative subsecvente anterior referite, a căror legalitate a fost confirmată de către instanța de contencios administrativ, au intrat în circuitul civil și au produs efecte juridice valabile, actele fiind obligatorii și beneficiind de executorialitate, prestațiile succesive asigurate de către beneficiarul licenței de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neputând fi restituite, respectiv nu poate opera o repunere anterioară fără a aduce atingere securității raporturilor juridice. </w:t>
      </w:r>
    </w:p>
    <w:p w14:paraId="34E64F71"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b/>
          <w:noProof/>
          <w:kern w:val="0"/>
          <w:sz w:val="24"/>
          <w:szCs w:val="24"/>
          <w:lang w:val="ro-RO" w:eastAsia="ro-RO"/>
          <w14:ligatures w14:val="none"/>
        </w:rPr>
        <w:lastRenderedPageBreak/>
        <w:t>Cea de a doua limitare legală</w:t>
      </w:r>
      <w:r w:rsidRPr="001D6B55">
        <w:rPr>
          <w:rFonts w:ascii="Times New Roman" w:eastAsia="Times New Roman" w:hAnsi="Times New Roman" w:cs="Times New Roman"/>
          <w:noProof/>
          <w:kern w:val="0"/>
          <w:sz w:val="24"/>
          <w:szCs w:val="24"/>
          <w:lang w:val="ro-RO" w:eastAsia="ro-RO"/>
          <w14:ligatures w14:val="none"/>
        </w:rPr>
        <w:t xml:space="preserve"> are la bază principiul securității raporturilor juridice și exercitarea contrar bunei credințe a dreptului de a solicita despăgubiri de către societatea reclamantă.</w:t>
      </w:r>
    </w:p>
    <w:p w14:paraId="0282615F"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Având o structură complexă, principiul securităţii juridice exprimă, în esenţă, faptul că cetăţenii trebuie protejaţi contra unui pericol care vine chiar din partea dreptului, contra unei insecurităţi pe care a creat-o dreptul sau pe care acesta riscă s-o creeze. Curtea Europeană a Drepturilor Omului a subliniat în jurisprudenţa sa, de exemplu în cauza Marcks împotriva Belgiei, 1979, importanţa respectării principiului securităţii juridice, considerat ca fiind în mod necesar inerent atât dreptului Convenţiei, cât şi dreptului comunitar. În jurisprudenţa Curţii Europene a Drepturilor Omului, acest principiu este consacrat în mod explicit în legătură cu unul dintre drepturile fundamentale reglementate de Convenţia pentru apărarea drepturilor omului şi a libertăţilor fundamentale, respectiv dreptul la un proces echitabil. În numeroase cauze împotriva României (Brumărescu împotriva României; Rozalia Avram împotriva României) CEDO a statuat că unul dintre elementele fundamentale ale preeminenţei dreptului este principiul securităţii raporturilor juridice, care impune, printre altele, ca soluţia dată în mod definitiv de către tribunale unui litigiu să nu fie repusă în discuţie. Curtea europeană a mai observat că, „în toate sistemele juridice, autoritatea de lucru judecat a unei hotărâri judecătoreşti definitive implică </w:t>
      </w:r>
      <w:r w:rsidRPr="001D6B55">
        <w:rPr>
          <w:rFonts w:ascii="Times New Roman" w:eastAsia="Times New Roman" w:hAnsi="Times New Roman" w:cs="Times New Roman"/>
          <w:i/>
          <w:noProof/>
          <w:kern w:val="0"/>
          <w:sz w:val="24"/>
          <w:szCs w:val="24"/>
          <w:lang w:val="ro-RO" w:eastAsia="ro-RO"/>
          <w14:ligatures w14:val="none"/>
        </w:rPr>
        <w:t>limitări ad personam şi ad rem</w:t>
      </w:r>
      <w:r w:rsidRPr="001D6B55">
        <w:rPr>
          <w:rFonts w:ascii="Times New Roman" w:eastAsia="Times New Roman" w:hAnsi="Times New Roman" w:cs="Times New Roman"/>
          <w:noProof/>
          <w:kern w:val="0"/>
          <w:sz w:val="24"/>
          <w:szCs w:val="24"/>
          <w:lang w:val="ro-RO" w:eastAsia="ro-RO"/>
          <w14:ligatures w14:val="none"/>
        </w:rPr>
        <w:t>” (cauza Rozalia Avram, pct.36)</w:t>
      </w:r>
    </w:p>
    <w:p w14:paraId="5EDE1948"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Privită în acest context, acordarea de despăguibiri pentru perioada cuprinsă între data atribuirii licenței de traseu și data anulării parțiale a actului administrativ cu caracter normativ implică repunerea părților în situația anterioară, datorită efectului retroactiv al nulității, însă prestațiile succesive executate nu mai pot fi repuse în discuție și restituite în activitatea de transport persoane, decât cu încălcarea principiului securității raporturilor juridice.</w:t>
      </w:r>
    </w:p>
    <w:p w14:paraId="097CB99A" w14:textId="3BACA936"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Contrar hotărârii judecătorești definitive, prin care s-a statuat asupra legalității programului de transport și atribuirea licenței de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unui alt operator economic, reclamanta solicită să i se repare un prejudiciu cauzat tocmai de neatribuirea  acestei licențe de traseu, punând în discuție, indirect, în cadrul acțiunii ce are ca obiect acordarea de despăgubiri, legalitatea procedurilor de atribuire a licențelor de traseu derulate în anul 2013, pe baza unui nou motiv de nelegalitate, demersul său judiciar contravenind principiului securității raporturilor juridice. </w:t>
      </w:r>
    </w:p>
    <w:p w14:paraId="10E8F648"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Înfăptuirea justiţiei, în numele legii, are semnificaţia că actul de justiţie izvorăşte din normele legale, iar forţa lui executorie derivă tot din lege. În acest sens, hotărârea judecătorească reprezintă un act de aplicare a legii pentru soluţionarea unui conflict de drepturi sau interese. Hotărârea judecătorească, având autoritate de lucru judecat, răspunde nevoii de securitate juridică, părţile având obligaţia să se supună efectelor obligatorii ale actului jurisdicţional, fără posibilitatea de a mai pune în discuţie ceea ce s-a stabilit deja pe calea judecăţii. În consecinţă, hotărârea judecătorească definitivă şi irevocabilă este situată în sfera actelor de autoritate publică, fiind învestită cu o eficienţă specifică de către ordinea normativă constituţională, iar un efect intrinsec al hotărârii judecătoreşti îl constituie forţa executorie a acesteia, care trebuie respectată şi executată atât de către cetăţeni, cât şi de autorităţile publice. </w:t>
      </w:r>
    </w:p>
    <w:p w14:paraId="543CD783"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 lipsi o hotărâre definitivă de caracterul ei executoriu reprezintă o încălcare a ordinii juridice a statului de drept şi o obstrucţionare a bunei funcţionări a justiţiei, iar principiul securității raporturilor juridice împiedică tocmai acele situații care repun în discuție aspecte soluționate definitiv de către o instanță de judecată, cum este și cererea reclamantei de acordare a despăgubirilor pentru perioada 28.02.2013-13.09.2023.</w:t>
      </w:r>
    </w:p>
    <w:p w14:paraId="3D248EA3"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lastRenderedPageBreak/>
        <w:t xml:space="preserve">Distinct de chestiunea securității raporturilor juridice, Curtea are în vedere și </w:t>
      </w:r>
      <w:r w:rsidRPr="001D6B55">
        <w:rPr>
          <w:rFonts w:ascii="Times New Roman" w:eastAsia="Times New Roman" w:hAnsi="Times New Roman" w:cs="Times New Roman"/>
          <w:b/>
          <w:noProof/>
          <w:kern w:val="0"/>
          <w:sz w:val="24"/>
          <w:szCs w:val="24"/>
          <w:lang w:val="ro-RO" w:eastAsia="ro-RO"/>
          <w14:ligatures w14:val="none"/>
        </w:rPr>
        <w:t>exercitarea contrar bunei credințe a dreptului de a solicita despăgubiri</w:t>
      </w:r>
      <w:r w:rsidRPr="001D6B55">
        <w:rPr>
          <w:rFonts w:ascii="Times New Roman" w:eastAsia="Times New Roman" w:hAnsi="Times New Roman" w:cs="Times New Roman"/>
          <w:noProof/>
          <w:kern w:val="0"/>
          <w:sz w:val="24"/>
          <w:szCs w:val="24"/>
          <w:lang w:val="ro-RO" w:eastAsia="ro-RO"/>
          <w14:ligatures w14:val="none"/>
        </w:rPr>
        <w:t xml:space="preserve"> (abuzul de drept), constatare ce are la bază comportamentul procesual al societății reclamante și modul în care aceasta se raportează la principiul constituțional al egalității în fața legii.</w:t>
      </w:r>
    </w:p>
    <w:p w14:paraId="3E80D915" w14:textId="29DC79F4"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Astfel, Curtea are în vedere faptul că demersul judiciar al societății reclamante de contestare a legalității criteriilor de atribuire stabilite prin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nu a fost concomitent și nu are la bază rezultatul procedurii de atribuire a licențelor de traseu din februarie 2013, cauza de nulitate invocată vizând „</w:t>
      </w:r>
      <w:r w:rsidRPr="001D6B55">
        <w:rPr>
          <w:rFonts w:ascii="Times New Roman" w:eastAsia="Times New Roman" w:hAnsi="Times New Roman" w:cs="Times New Roman"/>
          <w:i/>
          <w:noProof/>
          <w:kern w:val="0"/>
          <w:sz w:val="24"/>
          <w:szCs w:val="24"/>
          <w:lang w:val="ro-RO" w:eastAsia="ro-RO"/>
          <w14:ligatures w14:val="none"/>
        </w:rPr>
        <w:t>instituirea unui avantaj de monopol al operatorului de transport care afectează traseul scos la licitație la data de referință</w:t>
      </w:r>
      <w:r w:rsidRPr="001D6B55">
        <w:rPr>
          <w:rFonts w:ascii="Times New Roman" w:eastAsia="Times New Roman" w:hAnsi="Times New Roman" w:cs="Times New Roman"/>
          <w:noProof/>
          <w:kern w:val="0"/>
          <w:sz w:val="24"/>
          <w:szCs w:val="24"/>
          <w:lang w:val="ro-RO" w:eastAsia="ro-RO"/>
          <w14:ligatures w14:val="none"/>
        </w:rPr>
        <w:t>” prin prisma vechimii neîntrerupte pe traseu. Limitele investirii instanței de contencios administrativ se reflectă ulterior în efectul pozitiv al autorității de lucru judecat, în condițiile art.431 alin.2 C.pr.civ., cauza de nelegalitate a actului administrativ normativ indisolubil răsfrângându-se și asupra cererii accesorii de reparare a prejudiciului, deoarece trebuie să existe o legătură de cauzalitate între modul de aplicare a unui act administrativ nelegal și prejudiciul invocat de către persoana vătămată. Această legătură de cauzalitate nu există în cauza pendinte.</w:t>
      </w:r>
    </w:p>
    <w:p w14:paraId="7014DA9C" w14:textId="689CFAEF"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Deși actele administrative cu caracter normativ care se consideră a fi nelegale pot fi atacate oricând, potrivit art.11 alin.4 din Legea 554/2004, reclamanta a formulat cererea de chemare în judecată în anul 2017, după ce au fost soluționate definitiv litigiile generate în procedura de atribuire a licențelor de traseu din luna februarie 2013, invocând o cauză de nelegalitate preexistentă și care datorită momentului temporal la care a fost invocată nu mai produce nicio consecință juridică față de reclamantă în legătură cu atribuirea licenței de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p>
    <w:p w14:paraId="6B1386A9"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În acest context factual și juridic sunt incidente prevederile art.15 C.civ., potrivit cărora niciun drept nu poate fi exercitat în scopul de a vătăma sau păgubi pe altul </w:t>
      </w:r>
      <w:r w:rsidRPr="001D6B55">
        <w:rPr>
          <w:rFonts w:ascii="Times New Roman" w:eastAsia="Times New Roman" w:hAnsi="Times New Roman" w:cs="Times New Roman"/>
          <w:b/>
          <w:noProof/>
          <w:kern w:val="0"/>
          <w:sz w:val="24"/>
          <w:szCs w:val="24"/>
          <w:u w:val="single"/>
          <w:lang w:val="ro-RO" w:eastAsia="ro-RO"/>
          <w14:ligatures w14:val="none"/>
        </w:rPr>
        <w:t>ori într-un mod excesiv şi nerezonabil, contrar bunei-credinţe</w:t>
      </w:r>
      <w:r w:rsidRPr="001D6B55">
        <w:rPr>
          <w:rFonts w:ascii="Times New Roman" w:eastAsia="Times New Roman" w:hAnsi="Times New Roman" w:cs="Times New Roman"/>
          <w:noProof/>
          <w:kern w:val="0"/>
          <w:sz w:val="24"/>
          <w:szCs w:val="24"/>
          <w:lang w:val="ro-RO" w:eastAsia="ro-RO"/>
          <w14:ligatures w14:val="none"/>
        </w:rPr>
        <w:t>, deoarece reclamanta solicită repararea unui prejudiciu patrimonial pentru perioada cât actul administrativ normativ a produs efecte juridice, deși aceste efecte concretizate în raporturi juridice nu mai pot fi repuse în discuție de către reclamantă, pentru argumentele arătate anterior.</w:t>
      </w:r>
    </w:p>
    <w:p w14:paraId="6721E220" w14:textId="4E9684D8"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Atât timp cât hotărârile pronunțate în dosarul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al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(fond și recurs) au statuat definitiv asupra regularității programului județean de transport interjudețean 2013-2019 și a atribuirii licenței de execuție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societății </w:t>
      </w:r>
      <w:r>
        <w:rPr>
          <w:rFonts w:ascii="Times New Roman" w:eastAsia="Times New Roman" w:hAnsi="Times New Roman" w:cs="Times New Roman"/>
          <w:noProof/>
          <w:kern w:val="0"/>
          <w:sz w:val="24"/>
          <w:szCs w:val="24"/>
          <w:lang w:val="ro-RO" w:eastAsia="ro-RO"/>
          <w14:ligatures w14:val="none"/>
        </w:rPr>
        <w:t>D</w:t>
      </w:r>
      <w:r w:rsidRPr="001D6B55">
        <w:rPr>
          <w:rFonts w:ascii="Times New Roman" w:eastAsia="Times New Roman" w:hAnsi="Times New Roman" w:cs="Times New Roman"/>
          <w:noProof/>
          <w:kern w:val="0"/>
          <w:sz w:val="24"/>
          <w:szCs w:val="24"/>
          <w:lang w:val="ro-RO" w:eastAsia="ro-RO"/>
          <w14:ligatures w14:val="none"/>
        </w:rPr>
        <w:t xml:space="preserve"> SRL, reclamanta, deși a obținut anularea parțială a actului administrativ cu caracter normativ, nu poate repune în discuție legalitatea sentinței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Curții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-secția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exercitarea dreptului la acțiune pentru repararea prejudiciului fiind nerezonabilă și contrar bunei credințe în sensul ipotezei finale a art.15 Cod civil.</w:t>
      </w:r>
    </w:p>
    <w:p w14:paraId="19ECD2A6" w14:textId="3078EFDA"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Totodată, Curtea a constatat că reclamanta înțelege și se raportează într-un mod particular, diferit, la principiul constituțional al egalității în fața legii (art.16 alin.1 din Constituție), întrucât după ce a obținut anularea parțială a actului administrativ cu caracter normativ a solicitat acordarea de despăgubiri pentru un pretins prejudiciu produs de actul anulat în legătură cu licența de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dar în același timp, în calitatea sa de operator de trasnport căruia i s-au atribuit licențe de traseu în baza acelorași criterii de atribuire (inclusiv cel anulat la cererea sa), a continuat să presteze activitatea de transport persoane.</w:t>
      </w:r>
    </w:p>
    <w:p w14:paraId="2D59E8CC" w14:textId="717DF2DA"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Potrivit informațiilor furnizate de către Autoritatea pentru Digitalizarea României (fila 93 dosar ), societatea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a depus oferte în procedura de atribuire a licențelor din 28 </w:t>
      </w:r>
      <w:r w:rsidRPr="001D6B55">
        <w:rPr>
          <w:rFonts w:ascii="Times New Roman" w:eastAsia="Times New Roman" w:hAnsi="Times New Roman" w:cs="Times New Roman"/>
          <w:noProof/>
          <w:kern w:val="0"/>
          <w:sz w:val="24"/>
          <w:szCs w:val="24"/>
          <w:lang w:val="ro-RO" w:eastAsia="ro-RO"/>
          <w14:ligatures w14:val="none"/>
        </w:rPr>
        <w:lastRenderedPageBreak/>
        <w:t xml:space="preserve">februarie 2013 și a obținut punctaj maxim pentru traseele având codurile </w:t>
      </w:r>
      <w:r w:rsidR="00560FA9">
        <w:rPr>
          <w:rFonts w:ascii="Times New Roman" w:eastAsia="Times New Roman" w:hAnsi="Times New Roman" w:cs="Times New Roman"/>
          <w:noProof/>
          <w:kern w:val="0"/>
          <w:sz w:val="24"/>
          <w:szCs w:val="24"/>
          <w:lang w:val="ro-RO" w:eastAsia="ro-RO"/>
          <w14:ligatures w14:val="none"/>
        </w:rPr>
        <w:t>.........1</w:t>
      </w:r>
      <w:r w:rsidRPr="001D6B55">
        <w:rPr>
          <w:rFonts w:ascii="Times New Roman" w:eastAsia="Times New Roman" w:hAnsi="Times New Roman" w:cs="Times New Roman"/>
          <w:noProof/>
          <w:kern w:val="0"/>
          <w:sz w:val="24"/>
          <w:szCs w:val="24"/>
          <w:lang w:val="ro-RO" w:eastAsia="ro-RO"/>
          <w14:ligatures w14:val="none"/>
        </w:rPr>
        <w:t xml:space="preserve">, </w:t>
      </w:r>
      <w:r w:rsidR="00560FA9">
        <w:rPr>
          <w:rFonts w:ascii="Times New Roman" w:eastAsia="Times New Roman" w:hAnsi="Times New Roman" w:cs="Times New Roman"/>
          <w:noProof/>
          <w:kern w:val="0"/>
          <w:sz w:val="24"/>
          <w:szCs w:val="24"/>
          <w:lang w:val="ro-RO" w:eastAsia="ro-RO"/>
          <w14:ligatures w14:val="none"/>
        </w:rPr>
        <w:t>..........2</w:t>
      </w:r>
      <w:r w:rsidRPr="001D6B55">
        <w:rPr>
          <w:rFonts w:ascii="Times New Roman" w:eastAsia="Times New Roman" w:hAnsi="Times New Roman" w:cs="Times New Roman"/>
          <w:noProof/>
          <w:kern w:val="0"/>
          <w:sz w:val="24"/>
          <w:szCs w:val="24"/>
          <w:lang w:val="ro-RO" w:eastAsia="ro-RO"/>
          <w14:ligatures w14:val="none"/>
        </w:rPr>
        <w:t xml:space="preserve"> și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3 (</w:t>
      </w:r>
      <w:r w:rsidRPr="001D6B55">
        <w:rPr>
          <w:rFonts w:ascii="Times New Roman" w:eastAsia="Times New Roman" w:hAnsi="Times New Roman" w:cs="Times New Roman"/>
          <w:i/>
          <w:noProof/>
          <w:kern w:val="0"/>
          <w:sz w:val="24"/>
          <w:szCs w:val="24"/>
          <w:lang w:val="ro-RO" w:eastAsia="ro-RO"/>
          <w14:ligatures w14:val="none"/>
        </w:rPr>
        <w:t>la acest traseu obținând punctaj maxim și alți 11 operatori de transport</w:t>
      </w:r>
      <w:r w:rsidRPr="001D6B55">
        <w:rPr>
          <w:rFonts w:ascii="Times New Roman" w:eastAsia="Times New Roman" w:hAnsi="Times New Roman" w:cs="Times New Roman"/>
          <w:noProof/>
          <w:kern w:val="0"/>
          <w:sz w:val="24"/>
          <w:szCs w:val="24"/>
          <w:lang w:val="ro-RO" w:eastAsia="ro-RO"/>
          <w14:ligatures w14:val="none"/>
        </w:rPr>
        <w:t xml:space="preserve">), precum și a traseului cod </w:t>
      </w:r>
      <w:r w:rsidR="00560FA9">
        <w:rPr>
          <w:rFonts w:ascii="Times New Roman" w:eastAsia="Times New Roman" w:hAnsi="Times New Roman" w:cs="Times New Roman"/>
          <w:noProof/>
          <w:kern w:val="0"/>
          <w:sz w:val="24"/>
          <w:szCs w:val="24"/>
          <w:lang w:val="ro-RO" w:eastAsia="ro-RO"/>
          <w14:ligatures w14:val="none"/>
        </w:rPr>
        <w:t>.......4</w:t>
      </w:r>
      <w:r w:rsidRPr="001D6B55">
        <w:rPr>
          <w:rFonts w:ascii="Times New Roman" w:eastAsia="Times New Roman" w:hAnsi="Times New Roman" w:cs="Times New Roman"/>
          <w:noProof/>
          <w:kern w:val="0"/>
          <w:sz w:val="24"/>
          <w:szCs w:val="24"/>
          <w:lang w:val="ro-RO" w:eastAsia="ro-RO"/>
          <w14:ligatures w14:val="none"/>
        </w:rPr>
        <w:t xml:space="preserve"> (</w:t>
      </w:r>
      <w:r w:rsidRPr="001D6B55">
        <w:rPr>
          <w:rFonts w:ascii="Times New Roman" w:eastAsia="Times New Roman" w:hAnsi="Times New Roman" w:cs="Times New Roman"/>
          <w:i/>
          <w:noProof/>
          <w:kern w:val="0"/>
          <w:sz w:val="24"/>
          <w:szCs w:val="24"/>
          <w:lang w:val="ro-RO" w:eastAsia="ro-RO"/>
          <w14:ligatures w14:val="none"/>
        </w:rPr>
        <w:t>Decizia nr.</w:t>
      </w:r>
      <w:r w:rsidR="00560FA9">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w:t>
      </w:r>
      <w:r w:rsidR="00560FA9">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 xml:space="preserve"> a Curții de Apel </w:t>
      </w:r>
      <w:r w:rsidR="00560FA9">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 xml:space="preserve">-secția </w:t>
      </w:r>
      <w:r w:rsidR="00560FA9">
        <w:rPr>
          <w:rFonts w:ascii="Times New Roman" w:eastAsia="Times New Roman" w:hAnsi="Times New Roman" w:cs="Times New Roman"/>
          <w:i/>
          <w:noProof/>
          <w:kern w:val="0"/>
          <w:sz w:val="24"/>
          <w:szCs w:val="24"/>
          <w:lang w:val="ro-RO" w:eastAsia="ro-RO"/>
          <w14:ligatures w14:val="none"/>
        </w:rPr>
        <w:t>................</w:t>
      </w:r>
      <w:r w:rsidRPr="001D6B55">
        <w:rPr>
          <w:rFonts w:ascii="Times New Roman" w:eastAsia="Times New Roman" w:hAnsi="Times New Roman" w:cs="Times New Roman"/>
          <w:i/>
          <w:noProof/>
          <w:kern w:val="0"/>
          <w:sz w:val="24"/>
          <w:szCs w:val="24"/>
          <w:lang w:val="ro-RO" w:eastAsia="ro-RO"/>
          <w14:ligatures w14:val="none"/>
        </w:rPr>
        <w:t>, filele 69-77 dosar</w:t>
      </w:r>
      <w:r w:rsidRPr="001D6B55">
        <w:rPr>
          <w:rFonts w:ascii="Times New Roman" w:eastAsia="Times New Roman" w:hAnsi="Times New Roman" w:cs="Times New Roman"/>
          <w:noProof/>
          <w:kern w:val="0"/>
          <w:sz w:val="24"/>
          <w:szCs w:val="24"/>
          <w:lang w:val="ro-RO" w:eastAsia="ro-RO"/>
          <w14:ligatures w14:val="none"/>
        </w:rPr>
        <w:t>) în baza acelorași criterii de atribuire, inclusiv criteriul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cărui legalitate a contestat-o ulterior. </w:t>
      </w:r>
    </w:p>
    <w:p w14:paraId="6D44A051"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Deși a obținut anularea unui criteriu de atribuire – </w:t>
      </w:r>
      <w:r w:rsidRPr="001D6B55">
        <w:rPr>
          <w:rFonts w:ascii="Times New Roman" w:eastAsia="Times New Roman" w:hAnsi="Times New Roman" w:cs="Times New Roman"/>
          <w:i/>
          <w:noProof/>
          <w:kern w:val="0"/>
          <w:sz w:val="24"/>
          <w:szCs w:val="24"/>
          <w:lang w:val="ro-RO" w:eastAsia="ro-RO"/>
          <w14:ligatures w14:val="none"/>
        </w:rPr>
        <w:t>vechimea neîntreruptă pe traseu</w:t>
      </w:r>
      <w:r w:rsidRPr="001D6B55">
        <w:rPr>
          <w:rFonts w:ascii="Times New Roman" w:eastAsia="Times New Roman" w:hAnsi="Times New Roman" w:cs="Times New Roman"/>
          <w:noProof/>
          <w:kern w:val="0"/>
          <w:sz w:val="24"/>
          <w:szCs w:val="24"/>
          <w:lang w:val="ro-RO" w:eastAsia="ro-RO"/>
          <w14:ligatures w14:val="none"/>
        </w:rPr>
        <w:t xml:space="preserve"> – reclamanta nu a oferit Curții o explicație rezonabilă cu privire la modalitatea în care a fost prejudiciată de aplicarea actului administrativ cu caracter normativ în condițiile în care prin aplicarea celorași criterii de atribuire i s-au atribuit licențe de execuție traseu, aceasta continunând să presteze contra cost serviciul regulat de transport persoane. Or, egalitatea în fața legii, fără privilegii și fără discriminări, ca principiu constituțional, obliga reclamanta la o conduită conformă legii, în spiritul demersului său judiciar, în virtutea dispoziției anulate pe de o parte neputând pretinde existența unui prejudiciu, iar pe de altă parte să pretindă legitimitatea atribuirii licenței de traseu și prestării serviciului de transport persoane.</w:t>
      </w:r>
    </w:p>
    <w:p w14:paraId="7CC724D4" w14:textId="77777777" w:rsidR="001D6B55" w:rsidRPr="001D6B55" w:rsidRDefault="001D6B55" w:rsidP="001D6B55">
      <w:pPr>
        <w:spacing w:before="240" w:after="0" w:line="240" w:lineRule="auto"/>
        <w:ind w:firstLine="708"/>
        <w:jc w:val="both"/>
        <w:rPr>
          <w:rFonts w:ascii="Times New Roman" w:eastAsia="Times New Roman" w:hAnsi="Times New Roman" w:cs="Times New Roman"/>
          <w:b/>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Egalitatea în fața legii, ca principiu constituțional, exclude tratamentul diferit solicitat de reclamantă prin raportare la aceeași situație juridică – anularea parțială a actului administrativ normativ - și confirmă deopotriva raționamentul Curții cu privire la exercitarea </w:t>
      </w:r>
      <w:r w:rsidRPr="001D6B55">
        <w:rPr>
          <w:rFonts w:ascii="Times New Roman" w:eastAsia="Times New Roman" w:hAnsi="Times New Roman" w:cs="Times New Roman"/>
          <w:b/>
          <w:noProof/>
          <w:kern w:val="0"/>
          <w:sz w:val="24"/>
          <w:szCs w:val="24"/>
          <w:lang w:val="ro-RO" w:eastAsia="ro-RO"/>
          <w14:ligatures w14:val="none"/>
        </w:rPr>
        <w:t>contrar bunei credințe a dreptului de a fi despăgubită de către autoritatea publică pentru actul administrativ nelegal.</w:t>
      </w:r>
    </w:p>
    <w:p w14:paraId="7EDCDE4F" w14:textId="3124A0F2"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Pentru perioada ulterioară datei de 14.09.2023, data rămânerii definitive a Sentinței civile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pronunțată de Curtea de Apel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Curtea nu a identificat o aplicare a citeriilor de evaluare stabilite în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 Ordinului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față de societatea reclamantă, aceasta pretinzând, însă fără a argumenta în concret în explicațiile oferite (filele 8-10, fila 100), că despăgubirile au fost provocate de prelungirea succesivă a valabilității programului de transport 2013-2019 și a licențelor de execuție traseu. În concret, daunele au fost solicitate ca urmare a anulării criteriului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aplicat în licitația de atribuire din data de 28.02.2013.</w:t>
      </w:r>
    </w:p>
    <w:p w14:paraId="7A49824B"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Ca o primă observație, Curtea subliniază faptul că argumentele de ordin factual și juridic avute în vedere pentru perioada 28.02.2013-13.09.2023 își mențin valabilitatea și aplicabilitatea și pentru daunele solicitate ulterior datei de 14.09.2023, întrucât cauza cererii de chemare în judecată (causa debendi) definită de către reclamantă este aceeași.</w:t>
      </w:r>
    </w:p>
    <w:p w14:paraId="7118725A" w14:textId="43F8131C"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Distinct de argumentele anterior arătate, Curtea are în vedere faptul că valabilitatea Programului de transport interjudețean 2013-2019, în care au fost atribuite cursele aferente traseului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s-a prelungit inițial pentru o perioadă de 4 ani, respectiv până la data de 30 iunie 2023, prin Ordinul emis de pârât sub nr.776/2019, și ulterior, succesiv, până la 31.12.2023 prin Ordinul nr.1268/2023, până la 30.06.2024 prin Ordinul 2300/2023, până la 31.12.2024 prin Ordinul nr.1129/2024 și până la 30.06.2025 prin OUG 141/2024, valabilitatea licențelor de traseu pentru transport persoane fiind prelungită la cerere de către Autoritatea Rutieră Română.</w:t>
      </w:r>
    </w:p>
    <w:p w14:paraId="51E7D151" w14:textId="144B453C"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Prelungirea pe cale administrativă a valabilității programului de transport interjudețean și a licențelor de traseu nu reprezintă o modalitate de aplicare a dispoziției legale anulate (criteriul de atribuire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din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ordinele emise de pârât și ordonanța de urgență adoptată de guvern fiind acte juridice cu obiect distinct. </w:t>
      </w:r>
    </w:p>
    <w:p w14:paraId="4555FC8C" w14:textId="46BB72B4"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lastRenderedPageBreak/>
        <w:t>De altfel, acest aspect rezultă din prevederile art.55 alin.1 și art.53 din normele metodologice aprobate prin Ordinul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formele în vigoare în perioada vizată de despăgubiri, programul de transport interjudeţean întocmindu-se de către Autoritatea Rutieră Română - A.R.R. în baza programului de transport anterior, această autoritate având și competența de emitere a licențelor de traseu după etapa licitației.</w:t>
      </w:r>
    </w:p>
    <w:p w14:paraId="0EC664D3" w14:textId="4230DCDC"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Astfel cum deja s-a explicitat, programul de transport interjudețean întocmit și publicat de către A.R.R. și licența de execuție traseu au natura juridică a actelor administrative, fiind acte subsecvente prin care în concret s-au aplicat normele metodologice aprobate prin Ordinul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de către ministerul pârât. În lipsa acestor acte administrative și a operațiunilor administrative ce le însoțesc criteriile de evaluare stabilite prin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 nu pot fi aplicate în concret,  astfel încât să producă consecințe juridice asupra situației reclamantei.</w:t>
      </w:r>
    </w:p>
    <w:p w14:paraId="6C169D95" w14:textId="77777777" w:rsidR="001D6B55" w:rsidRPr="001D6B55" w:rsidRDefault="001D6B55" w:rsidP="001D6B55">
      <w:pPr>
        <w:spacing w:before="240" w:after="0" w:line="240" w:lineRule="auto"/>
        <w:ind w:firstLine="708"/>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Prin urmare, contrar afirmației sale referitoare la </w:t>
      </w:r>
      <w:r w:rsidRPr="001D6B55">
        <w:rPr>
          <w:rFonts w:ascii="Times New Roman" w:eastAsia="Times New Roman" w:hAnsi="Times New Roman" w:cs="Times New Roman"/>
          <w:i/>
          <w:noProof/>
          <w:kern w:val="0"/>
          <w:sz w:val="24"/>
          <w:szCs w:val="24"/>
          <w:lang w:val="ro-RO" w:eastAsia="ro-RO"/>
          <w14:ligatures w14:val="none"/>
        </w:rPr>
        <w:t>causa debendi</w:t>
      </w:r>
      <w:r w:rsidRPr="001D6B55">
        <w:rPr>
          <w:rFonts w:ascii="Times New Roman" w:eastAsia="Times New Roman" w:hAnsi="Times New Roman" w:cs="Times New Roman"/>
          <w:noProof/>
          <w:kern w:val="0"/>
          <w:sz w:val="24"/>
          <w:szCs w:val="24"/>
          <w:lang w:val="ro-RO" w:eastAsia="ro-RO"/>
          <w14:ligatures w14:val="none"/>
        </w:rPr>
        <w:t>, societatea reclamantă solicită repararea unui prejudiciu generat de acte administrative distincte, respectiv:</w:t>
      </w:r>
    </w:p>
    <w:p w14:paraId="3AA86067" w14:textId="6A142E15" w:rsidR="001D6B55" w:rsidRPr="001D6B55" w:rsidRDefault="001D6B55" w:rsidP="001D6B55">
      <w:pPr>
        <w:numPr>
          <w:ilvl w:val="0"/>
          <w:numId w:val="1"/>
        </w:numPr>
        <w:spacing w:before="240"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programul de transport interjudețean 2013-2019 prin care s-a stabilit traseul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p>
    <w:p w14:paraId="6887323F" w14:textId="514048BE" w:rsidR="001D6B55" w:rsidRPr="001D6B55" w:rsidRDefault="001D6B55" w:rsidP="001D6B55">
      <w:pPr>
        <w:numPr>
          <w:ilvl w:val="0"/>
          <w:numId w:val="1"/>
        </w:numPr>
        <w:spacing w:before="240"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licența de execuție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p>
    <w:p w14:paraId="259F8B22" w14:textId="77777777" w:rsidR="001D6B55" w:rsidRPr="001D6B55" w:rsidRDefault="001D6B55" w:rsidP="001D6B55">
      <w:pPr>
        <w:numPr>
          <w:ilvl w:val="0"/>
          <w:numId w:val="1"/>
        </w:numPr>
        <w:spacing w:before="240"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ordinele de ministru, respectiv ordonanța de urgență adoptată de guvern, prin care succesiv s-a prelungit valabilitatea programului de transport interjudețean 2013-2019;</w:t>
      </w:r>
    </w:p>
    <w:p w14:paraId="74A94E92" w14:textId="4D38051C" w:rsidR="001D6B55" w:rsidRPr="001D6B55" w:rsidRDefault="001D6B55" w:rsidP="001D6B55">
      <w:pPr>
        <w:numPr>
          <w:ilvl w:val="0"/>
          <w:numId w:val="1"/>
        </w:numPr>
        <w:spacing w:before="240" w:after="0" w:line="240" w:lineRule="auto"/>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actul administrativ emis de A.R.R. în vederea prelungirii valabilității licenței de traseu cod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p>
    <w:p w14:paraId="1E383239" w14:textId="30915760" w:rsidR="001D6B55" w:rsidRPr="001D6B55" w:rsidRDefault="001D6B55" w:rsidP="001D6B55">
      <w:pPr>
        <w:spacing w:before="240"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însă niciunul din aceste acte administrative nu a fost anulat de către instanța de contencios administrativ sau declarat neconstituțional în cazul ordonanței de urgență, context în care Curtea constată că reclamanta nu dovedește calitatea de persoană vătămată în accepțiunea art.1 alin.1, art.8 alin.1 și art.19 alin.1 din Legea 554/2004. Așadar, simpla anulare a criteriului de evaluare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din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pârâtului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/2011 nu are aptitudinea juridică de a justifica producerea unui prejudiciu în patrimoniul reclamantei, cum insidios a susținut aceasta în perioada 14.09.2023-30.06.2025.</w:t>
      </w:r>
    </w:p>
    <w:p w14:paraId="6CEB7FDC" w14:textId="5191C5F2" w:rsidR="001D6B55" w:rsidRPr="001D6B55" w:rsidRDefault="001D6B55" w:rsidP="001D6B55">
      <w:pPr>
        <w:spacing w:before="240"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În concluzie, față de argumentele prezentate, Curtea constată în acord cu apărările ministerului pârât că anularea criteriului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din Anexa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la Ordinul nr.</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/2011 constituie doar îndeplinirea unei condiții de admisibilitate a exercitării cererii de chemare în judecată pentru despăgubiri, conform art.19 alin.1 din Legea 554/2004, însă societatea reclamantă nu a dovedit că între anularea citeriului de evaluare și despăgubirile solicitate există o legătură de interdependență indisolubilă, nefiind îndeplinite în cauză condițiile cumulative referitoare la prejudiciu și legătura de cauzalitate ce trebuie să existe între dispoziția anulată din actul administrativ normativ și prejudiciul invocat. </w:t>
      </w:r>
    </w:p>
    <w:p w14:paraId="2194FBE2" w14:textId="77777777" w:rsidR="001D6B55" w:rsidRPr="001D6B55" w:rsidRDefault="001D6B55" w:rsidP="001D6B55">
      <w:pPr>
        <w:spacing w:before="240"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Pe cale de consecință, cererea de chemare în judecată va fi respinsă pe fond ca neîntemeiată.</w:t>
      </w:r>
    </w:p>
    <w:p w14:paraId="6B8FC260"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Pentru aceste motive,</w:t>
      </w:r>
      <w:r w:rsidRPr="001D6B55">
        <w:rPr>
          <w:rFonts w:ascii="Times New Roman" w:eastAsia="Times New Roman" w:hAnsi="Times New Roman" w:cs="Times New Roman"/>
          <w:noProof/>
          <w:kern w:val="0"/>
          <w:sz w:val="24"/>
          <w:szCs w:val="24"/>
          <w:lang w:val="ro-RO" w:eastAsia="ro-RO"/>
          <w14:ligatures w14:val="none"/>
        </w:rPr>
        <w:br/>
        <w:t>În numele legii</w:t>
      </w:r>
    </w:p>
    <w:p w14:paraId="0520BC56"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bookmarkStart w:id="1" w:name="ce_face_curtea"/>
      <w:r w:rsidRPr="001D6B55">
        <w:rPr>
          <w:rFonts w:ascii="Times New Roman" w:eastAsia="Times New Roman" w:hAnsi="Times New Roman" w:cs="Times New Roman"/>
          <w:noProof/>
          <w:kern w:val="0"/>
          <w:sz w:val="24"/>
          <w:szCs w:val="24"/>
          <w:lang w:val="ro-RO" w:eastAsia="ro-RO"/>
          <w14:ligatures w14:val="none"/>
        </w:rPr>
        <w:t>Hotărăşte</w:t>
      </w:r>
      <w:bookmarkEnd w:id="1"/>
      <w:r w:rsidRPr="001D6B55">
        <w:rPr>
          <w:rFonts w:ascii="Times New Roman" w:eastAsia="Times New Roman" w:hAnsi="Times New Roman" w:cs="Times New Roman"/>
          <w:noProof/>
          <w:kern w:val="0"/>
          <w:sz w:val="24"/>
          <w:szCs w:val="24"/>
          <w:lang w:val="ro-RO" w:eastAsia="ro-RO"/>
          <w14:ligatures w14:val="none"/>
        </w:rPr>
        <w:t>:</w:t>
      </w:r>
    </w:p>
    <w:p w14:paraId="53E5F29A" w14:textId="77777777" w:rsidR="001D6B55" w:rsidRPr="001D6B55" w:rsidRDefault="001D6B55" w:rsidP="001D6B55">
      <w:pPr>
        <w:spacing w:after="0" w:line="240" w:lineRule="auto"/>
        <w:rPr>
          <w:rFonts w:ascii="Times New Roman" w:eastAsia="Times New Roman" w:hAnsi="Times New Roman" w:cs="Times New Roman"/>
          <w:noProof/>
          <w:kern w:val="0"/>
          <w:sz w:val="24"/>
          <w:szCs w:val="24"/>
          <w:lang w:val="ro-RO" w:eastAsia="ro-RO"/>
          <w14:ligatures w14:val="none"/>
        </w:rPr>
      </w:pPr>
    </w:p>
    <w:p w14:paraId="3798E319" w14:textId="77777777" w:rsidR="001D6B55" w:rsidRPr="001D6B55" w:rsidRDefault="001D6B55" w:rsidP="001D6B55">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lastRenderedPageBreak/>
        <w:t>Respinge ca neîntemeiată excepţia prescripţiei dreptului material la acţiune invocată de către pârât.</w:t>
      </w:r>
    </w:p>
    <w:p w14:paraId="7F4D1829" w14:textId="717DF985" w:rsidR="001D6B55" w:rsidRPr="001D6B55" w:rsidRDefault="001D6B55" w:rsidP="001D6B55">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Respinge ca neîntemeiată cererea de chemare în judecată formulată de către reclamanta </w:t>
      </w:r>
      <w:r>
        <w:rPr>
          <w:rFonts w:ascii="Times New Roman" w:eastAsia="Times New Roman" w:hAnsi="Times New Roman" w:cs="Times New Roman"/>
          <w:noProof/>
          <w:kern w:val="0"/>
          <w:sz w:val="24"/>
          <w:szCs w:val="24"/>
          <w:lang w:val="ro-RO" w:eastAsia="ro-RO"/>
          <w14:ligatures w14:val="none"/>
        </w:rPr>
        <w:t>A</w:t>
      </w:r>
      <w:r w:rsidRPr="001D6B55">
        <w:rPr>
          <w:rFonts w:ascii="Times New Roman" w:eastAsia="Times New Roman" w:hAnsi="Times New Roman" w:cs="Times New Roman"/>
          <w:noProof/>
          <w:kern w:val="0"/>
          <w:sz w:val="24"/>
          <w:szCs w:val="24"/>
          <w:lang w:val="ro-RO" w:eastAsia="ro-RO"/>
          <w14:ligatures w14:val="none"/>
        </w:rPr>
        <w:t xml:space="preserve"> SRL, identificată prin CUI RO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înregistrată în registrul comerţului sub nr. </w:t>
      </w:r>
      <w:r w:rsidR="00560FA9">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/1992, cu sediul ales pentru comunicarea actelor de procedură la societatea civilă de avocaţi </w:t>
      </w:r>
      <w:r w:rsidR="00560FA9">
        <w:rPr>
          <w:rFonts w:ascii="Times New Roman" w:eastAsia="Times New Roman" w:hAnsi="Times New Roman" w:cs="Times New Roman"/>
          <w:noProof/>
          <w:kern w:val="0"/>
          <w:sz w:val="24"/>
          <w:szCs w:val="24"/>
          <w:lang w:val="ro-RO" w:eastAsia="ro-RO"/>
          <w14:ligatures w14:val="none"/>
        </w:rPr>
        <w:t>E</w:t>
      </w:r>
      <w:r w:rsidRPr="001D6B55">
        <w:rPr>
          <w:rFonts w:ascii="Times New Roman" w:eastAsia="Times New Roman" w:hAnsi="Times New Roman" w:cs="Times New Roman"/>
          <w:noProof/>
          <w:kern w:val="0"/>
          <w:sz w:val="24"/>
          <w:szCs w:val="24"/>
          <w:lang w:val="ro-RO" w:eastAsia="ro-RO"/>
          <w14:ligatures w14:val="none"/>
        </w:rPr>
        <w:t xml:space="preserve">, cu sediul în </w:t>
      </w:r>
      <w:r w:rsidR="004E7E58">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xml:space="preserve">, în contradictoriu cu pârâtul Ministerul Transporturilor şi Infrastructurii, cu sediul în </w:t>
      </w:r>
      <w:r w:rsidR="004E7E58">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p>
    <w:p w14:paraId="4BA4D42E" w14:textId="5375D1E1" w:rsidR="001D6B55" w:rsidRPr="001D6B55" w:rsidRDefault="001D6B55" w:rsidP="001D6B55">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Cu drept de recurs în termen de 15 zile de la comunicare, ce se va depune, sub sancţiunea nulităţii, la Curtea de Apel </w:t>
      </w:r>
      <w:r w:rsidR="004E7E58">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w:t>
      </w:r>
    </w:p>
    <w:p w14:paraId="606BE723" w14:textId="77777777" w:rsidR="004E7E58" w:rsidRDefault="001D6B55" w:rsidP="004E7E58">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r w:rsidRPr="001D6B55">
        <w:rPr>
          <w:rFonts w:ascii="Times New Roman" w:eastAsia="Times New Roman" w:hAnsi="Times New Roman" w:cs="Times New Roman"/>
          <w:noProof/>
          <w:kern w:val="0"/>
          <w:sz w:val="24"/>
          <w:szCs w:val="24"/>
          <w:lang w:val="ro-RO" w:eastAsia="ro-RO"/>
          <w14:ligatures w14:val="none"/>
        </w:rPr>
        <w:t xml:space="preserve">Pronunţată la </w:t>
      </w:r>
      <w:r w:rsidR="004E7E58">
        <w:rPr>
          <w:rFonts w:ascii="Times New Roman" w:eastAsia="Times New Roman" w:hAnsi="Times New Roman" w:cs="Times New Roman"/>
          <w:noProof/>
          <w:kern w:val="0"/>
          <w:sz w:val="24"/>
          <w:szCs w:val="24"/>
          <w:lang w:val="ro-RO" w:eastAsia="ro-RO"/>
          <w14:ligatures w14:val="none"/>
        </w:rPr>
        <w:t>............</w:t>
      </w:r>
      <w:r w:rsidRPr="001D6B55">
        <w:rPr>
          <w:rFonts w:ascii="Times New Roman" w:eastAsia="Times New Roman" w:hAnsi="Times New Roman" w:cs="Times New Roman"/>
          <w:noProof/>
          <w:kern w:val="0"/>
          <w:sz w:val="24"/>
          <w:szCs w:val="24"/>
          <w:lang w:val="ro-RO" w:eastAsia="ro-RO"/>
          <w14:ligatures w14:val="none"/>
        </w:rPr>
        <w:t>, prin punerea soluţiei la dispoziţia părţilor prin intermediul grefei instanţei.</w:t>
      </w:r>
    </w:p>
    <w:p w14:paraId="5B11A785" w14:textId="77777777" w:rsidR="004E7E58" w:rsidRDefault="004E7E58" w:rsidP="004E7E58">
      <w:pPr>
        <w:spacing w:after="0" w:line="240" w:lineRule="auto"/>
        <w:ind w:firstLine="709"/>
        <w:jc w:val="both"/>
        <w:rPr>
          <w:rFonts w:ascii="Times New Roman" w:eastAsia="Times New Roman" w:hAnsi="Times New Roman" w:cs="Times New Roman"/>
          <w:noProof/>
          <w:kern w:val="0"/>
          <w:sz w:val="24"/>
          <w:szCs w:val="24"/>
          <w:lang w:val="ro-RO" w:eastAsia="ro-RO"/>
          <w14:ligatures w14:val="none"/>
        </w:rPr>
      </w:pPr>
    </w:p>
    <w:p w14:paraId="37801E19" w14:textId="67E69D8F" w:rsidR="001D6B55" w:rsidRDefault="004E7E58" w:rsidP="004E7E58">
      <w:pPr>
        <w:spacing w:after="0" w:line="240" w:lineRule="auto"/>
        <w:ind w:firstLine="709"/>
        <w:jc w:val="center"/>
        <w:rPr>
          <w:rFonts w:ascii="Times New Roman" w:eastAsia="Times New Roman" w:hAnsi="Times New Roman" w:cs="Times New Roman"/>
          <w:noProof/>
          <w:kern w:val="0"/>
          <w:sz w:val="24"/>
          <w:szCs w:val="24"/>
          <w:lang w:val="ro-RO" w:eastAsia="ro-RO"/>
          <w14:ligatures w14:val="none"/>
        </w:rPr>
      </w:pPr>
      <w:r>
        <w:rPr>
          <w:rFonts w:ascii="Times New Roman" w:eastAsia="Times New Roman" w:hAnsi="Times New Roman" w:cs="Times New Roman"/>
          <w:noProof/>
          <w:kern w:val="0"/>
          <w:sz w:val="24"/>
          <w:szCs w:val="24"/>
          <w:lang w:val="ro-RO" w:eastAsia="ro-RO"/>
          <w14:ligatures w14:val="none"/>
        </w:rPr>
        <w:t>Președinte</w:t>
      </w:r>
    </w:p>
    <w:p w14:paraId="0AFCEF30" w14:textId="5E4DEAEA" w:rsidR="004E7E58" w:rsidRDefault="004E7E58" w:rsidP="004E7E58">
      <w:pPr>
        <w:spacing w:after="0" w:line="240" w:lineRule="auto"/>
        <w:ind w:firstLine="709"/>
        <w:jc w:val="center"/>
        <w:rPr>
          <w:rFonts w:ascii="Times New Roman" w:eastAsia="Times New Roman" w:hAnsi="Times New Roman" w:cs="Times New Roman"/>
          <w:noProof/>
          <w:kern w:val="0"/>
          <w:sz w:val="24"/>
          <w:szCs w:val="24"/>
          <w:lang w:val="ro-RO" w:eastAsia="ro-RO"/>
          <w14:ligatures w14:val="none"/>
        </w:rPr>
      </w:pPr>
      <w:r>
        <w:rPr>
          <w:rFonts w:ascii="Times New Roman" w:eastAsia="Times New Roman" w:hAnsi="Times New Roman" w:cs="Times New Roman"/>
          <w:noProof/>
          <w:kern w:val="0"/>
          <w:sz w:val="24"/>
          <w:szCs w:val="24"/>
          <w:lang w:val="ro-RO" w:eastAsia="ro-RO"/>
          <w14:ligatures w14:val="none"/>
        </w:rPr>
        <w:t>A0010</w:t>
      </w:r>
    </w:p>
    <w:p w14:paraId="41FA9314" w14:textId="77777777" w:rsidR="004E7E58" w:rsidRDefault="004E7E58" w:rsidP="004E7E58">
      <w:pPr>
        <w:spacing w:after="0" w:line="240" w:lineRule="auto"/>
        <w:ind w:firstLine="709"/>
        <w:jc w:val="center"/>
        <w:rPr>
          <w:rFonts w:ascii="Times New Roman" w:eastAsia="Times New Roman" w:hAnsi="Times New Roman" w:cs="Times New Roman"/>
          <w:noProof/>
          <w:kern w:val="0"/>
          <w:sz w:val="24"/>
          <w:szCs w:val="24"/>
          <w:lang w:val="ro-RO" w:eastAsia="ro-RO"/>
          <w14:ligatures w14:val="none"/>
        </w:rPr>
      </w:pPr>
    </w:p>
    <w:p w14:paraId="5ACD9728" w14:textId="0ED1FB86" w:rsidR="004E7E58" w:rsidRDefault="004E7E58" w:rsidP="004E7E58">
      <w:pPr>
        <w:spacing w:after="0" w:line="240" w:lineRule="auto"/>
        <w:ind w:firstLine="709"/>
        <w:jc w:val="center"/>
        <w:rPr>
          <w:rFonts w:ascii="Times New Roman" w:eastAsia="Times New Roman" w:hAnsi="Times New Roman" w:cs="Times New Roman"/>
          <w:noProof/>
          <w:kern w:val="0"/>
          <w:sz w:val="24"/>
          <w:szCs w:val="24"/>
          <w:lang w:val="ro-RO" w:eastAsia="ro-RO"/>
          <w14:ligatures w14:val="none"/>
        </w:rPr>
      </w:pPr>
      <w:r>
        <w:rPr>
          <w:rFonts w:ascii="Times New Roman" w:eastAsia="Times New Roman" w:hAnsi="Times New Roman" w:cs="Times New Roman"/>
          <w:noProof/>
          <w:kern w:val="0"/>
          <w:sz w:val="24"/>
          <w:szCs w:val="24"/>
          <w:lang w:val="ro-RO" w:eastAsia="ro-RO"/>
          <w14:ligatures w14:val="none"/>
        </w:rPr>
        <w:t>Grefier</w:t>
      </w:r>
    </w:p>
    <w:p w14:paraId="422EC753" w14:textId="5059535C" w:rsidR="004E7E58" w:rsidRDefault="004E7E58" w:rsidP="004E7E58">
      <w:pPr>
        <w:spacing w:after="0" w:line="240" w:lineRule="auto"/>
        <w:ind w:firstLine="709"/>
        <w:jc w:val="center"/>
        <w:rPr>
          <w:rFonts w:ascii="Times New Roman" w:eastAsia="Times New Roman" w:hAnsi="Times New Roman" w:cs="Times New Roman"/>
          <w:noProof/>
          <w:kern w:val="0"/>
          <w:sz w:val="24"/>
          <w:szCs w:val="24"/>
          <w:lang w:val="ro-RO" w:eastAsia="ro-RO"/>
          <w14:ligatures w14:val="none"/>
        </w:rPr>
      </w:pPr>
      <w:r>
        <w:rPr>
          <w:rFonts w:ascii="Times New Roman" w:eastAsia="Times New Roman" w:hAnsi="Times New Roman" w:cs="Times New Roman"/>
          <w:noProof/>
          <w:kern w:val="0"/>
          <w:sz w:val="24"/>
          <w:szCs w:val="24"/>
          <w:lang w:val="ro-RO" w:eastAsia="ro-RO"/>
          <w14:ligatures w14:val="none"/>
        </w:rPr>
        <w:t>..........</w:t>
      </w:r>
    </w:p>
    <w:p w14:paraId="5DA43AE8" w14:textId="77777777" w:rsidR="004E7E58" w:rsidRPr="001D6B55" w:rsidRDefault="004E7E58" w:rsidP="004E7E58">
      <w:pPr>
        <w:spacing w:after="0" w:line="240" w:lineRule="auto"/>
        <w:ind w:firstLine="709"/>
        <w:jc w:val="center"/>
        <w:rPr>
          <w:rFonts w:ascii="Times New Roman" w:eastAsia="Times New Roman" w:hAnsi="Times New Roman" w:cs="Times New Roman"/>
          <w:noProof/>
          <w:kern w:val="0"/>
          <w:sz w:val="24"/>
          <w:szCs w:val="24"/>
          <w:lang w:val="ro-RO" w:eastAsia="ro-RO"/>
          <w14:ligatures w14:val="none"/>
        </w:rPr>
      </w:pPr>
    </w:p>
    <w:p w14:paraId="490F67C5" w14:textId="77777777" w:rsidR="001D6B55" w:rsidRPr="001D6B55" w:rsidRDefault="001D6B55" w:rsidP="001D6B55">
      <w:pPr>
        <w:spacing w:after="0" w:line="240" w:lineRule="auto"/>
        <w:rPr>
          <w:rFonts w:ascii="Times New Roman" w:eastAsia="Times New Roman" w:hAnsi="Times New Roman" w:cs="Times New Roman"/>
          <w:i/>
          <w:noProof/>
          <w:kern w:val="0"/>
          <w:sz w:val="20"/>
          <w:szCs w:val="20"/>
          <w:lang w:val="ro-RO" w:eastAsia="ro-RO"/>
          <w14:ligatures w14:val="none"/>
        </w:rPr>
      </w:pPr>
      <w:bookmarkStart w:id="2" w:name="_Hlk173400645"/>
    </w:p>
    <w:p w14:paraId="6F0CBD5E" w14:textId="77777777" w:rsidR="001D6B55" w:rsidRPr="001D6B55" w:rsidRDefault="001D6B55" w:rsidP="001D6B55">
      <w:pPr>
        <w:spacing w:after="0" w:line="240" w:lineRule="auto"/>
        <w:rPr>
          <w:rFonts w:ascii="Times New Roman" w:eastAsia="Times New Roman" w:hAnsi="Times New Roman" w:cs="Times New Roman"/>
          <w:i/>
          <w:noProof/>
          <w:kern w:val="0"/>
          <w:sz w:val="20"/>
          <w:szCs w:val="20"/>
          <w:lang w:val="ro-RO" w:eastAsia="ro-RO"/>
          <w14:ligatures w14:val="none"/>
        </w:rPr>
      </w:pPr>
    </w:p>
    <w:p w14:paraId="56C99FF4" w14:textId="437C2C33" w:rsidR="001D6B55" w:rsidRPr="001D6B55" w:rsidRDefault="001D6B55" w:rsidP="001D6B55">
      <w:pPr>
        <w:spacing w:after="0" w:line="240" w:lineRule="auto"/>
        <w:rPr>
          <w:rFonts w:ascii="Times New Roman" w:eastAsia="Times New Roman" w:hAnsi="Times New Roman" w:cs="Times New Roman"/>
          <w:i/>
          <w:noProof/>
          <w:kern w:val="0"/>
          <w:sz w:val="20"/>
          <w:szCs w:val="20"/>
          <w:lang w:val="ro-RO" w:eastAsia="ro-RO"/>
          <w14:ligatures w14:val="none"/>
        </w:rPr>
      </w:pPr>
      <w:r w:rsidRPr="001D6B55">
        <w:rPr>
          <w:rFonts w:ascii="Times New Roman" w:eastAsia="Times New Roman" w:hAnsi="Times New Roman" w:cs="Times New Roman"/>
          <w:i/>
          <w:noProof/>
          <w:kern w:val="0"/>
          <w:sz w:val="20"/>
          <w:szCs w:val="20"/>
          <w:lang w:val="ro-RO" w:eastAsia="ro-RO"/>
          <w14:ligatures w14:val="none"/>
        </w:rPr>
        <w:t xml:space="preserve">Red. </w:t>
      </w:r>
      <w:r w:rsidR="004E7E58">
        <w:rPr>
          <w:rFonts w:ascii="Times New Roman" w:eastAsia="Times New Roman" w:hAnsi="Times New Roman" w:cs="Times New Roman"/>
          <w:i/>
          <w:noProof/>
          <w:kern w:val="0"/>
          <w:sz w:val="20"/>
          <w:szCs w:val="20"/>
          <w:lang w:val="ro-RO" w:eastAsia="ro-RO"/>
          <w14:ligatures w14:val="none"/>
        </w:rPr>
        <w:t>A0010</w:t>
      </w:r>
      <w:r w:rsidRPr="001D6B55">
        <w:rPr>
          <w:rFonts w:ascii="Times New Roman" w:eastAsia="Times New Roman" w:hAnsi="Times New Roman" w:cs="Times New Roman"/>
          <w:i/>
          <w:noProof/>
          <w:kern w:val="0"/>
          <w:sz w:val="20"/>
          <w:szCs w:val="20"/>
          <w:lang w:val="ro-RO" w:eastAsia="ro-RO"/>
          <w14:ligatures w14:val="none"/>
        </w:rPr>
        <w:t>/2 ex. /</w:t>
      </w:r>
      <w:r w:rsidR="004E7E58">
        <w:rPr>
          <w:rFonts w:ascii="Times New Roman" w:eastAsia="Times New Roman" w:hAnsi="Times New Roman" w:cs="Times New Roman"/>
          <w:i/>
          <w:noProof/>
          <w:kern w:val="0"/>
          <w:sz w:val="20"/>
          <w:szCs w:val="20"/>
          <w:lang w:val="ro-RO" w:eastAsia="ro-RO"/>
          <w14:ligatures w14:val="none"/>
        </w:rPr>
        <w:t>.........</w:t>
      </w:r>
    </w:p>
    <w:p w14:paraId="100A478F" w14:textId="77777777" w:rsidR="001D6B55" w:rsidRPr="001D6B55" w:rsidRDefault="001D6B55" w:rsidP="001D6B55">
      <w:pPr>
        <w:spacing w:after="0" w:line="240" w:lineRule="auto"/>
        <w:rPr>
          <w:rFonts w:ascii="Times New Roman" w:eastAsia="Times New Roman" w:hAnsi="Times New Roman" w:cs="Times New Roman"/>
          <w:i/>
          <w:noProof/>
          <w:kern w:val="0"/>
          <w:sz w:val="20"/>
          <w:szCs w:val="20"/>
          <w:lang w:val="ro-RO" w:eastAsia="ro-RO"/>
          <w14:ligatures w14:val="none"/>
        </w:rPr>
      </w:pPr>
      <w:r w:rsidRPr="001D6B55">
        <w:rPr>
          <w:rFonts w:ascii="Times New Roman" w:eastAsia="Times New Roman" w:hAnsi="Times New Roman" w:cs="Times New Roman"/>
          <w:i/>
          <w:noProof/>
          <w:kern w:val="0"/>
          <w:sz w:val="20"/>
          <w:szCs w:val="20"/>
          <w:lang w:val="ro-RO" w:eastAsia="ro-RO"/>
          <w14:ligatures w14:val="none"/>
        </w:rPr>
        <w:t>E. 2 com. /</w:t>
      </w:r>
    </w:p>
    <w:bookmarkEnd w:id="2"/>
    <w:p w14:paraId="7567EC59"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2EE30366" w14:textId="77777777" w:rsidR="001D6B55" w:rsidRPr="001D6B55" w:rsidRDefault="001D6B55" w:rsidP="001D6B55">
      <w:pPr>
        <w:spacing w:after="0" w:line="240" w:lineRule="auto"/>
        <w:jc w:val="center"/>
        <w:rPr>
          <w:rFonts w:ascii="Times New Roman" w:eastAsia="Times New Roman" w:hAnsi="Times New Roman" w:cs="Times New Roman"/>
          <w:noProof/>
          <w:kern w:val="0"/>
          <w:sz w:val="24"/>
          <w:szCs w:val="24"/>
          <w:lang w:val="ro-RO" w:eastAsia="ro-RO"/>
          <w14:ligatures w14:val="none"/>
        </w:rPr>
      </w:pPr>
    </w:p>
    <w:p w14:paraId="62D5F49D" w14:textId="77777777" w:rsidR="000C1B57" w:rsidRPr="001D6B55" w:rsidRDefault="000C1B57">
      <w:pPr>
        <w:rPr>
          <w:lang w:val="ro-RO"/>
        </w:rPr>
      </w:pPr>
    </w:p>
    <w:sectPr w:rsidR="000C1B57" w:rsidRPr="001D6B5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2A536B"/>
    <w:multiLevelType w:val="hybridMultilevel"/>
    <w:tmpl w:val="E5ACB794"/>
    <w:lvl w:ilvl="0" w:tplc="009CA0EC">
      <w:start w:val="3"/>
      <w:numFmt w:val="bullet"/>
      <w:lvlText w:val="-"/>
      <w:lvlJc w:val="left"/>
      <w:pPr>
        <w:ind w:left="1068" w:hanging="360"/>
      </w:pPr>
      <w:rPr>
        <w:rFonts w:ascii="Times New Roman" w:eastAsia="Times New Roman" w:hAnsi="Times New Roman" w:cs="Times New Roman" w:hint="default"/>
      </w:rPr>
    </w:lvl>
    <w:lvl w:ilvl="1" w:tplc="04180003">
      <w:start w:val="1"/>
      <w:numFmt w:val="bullet"/>
      <w:lvlText w:val="o"/>
      <w:lvlJc w:val="left"/>
      <w:pPr>
        <w:ind w:left="1788" w:hanging="360"/>
      </w:pPr>
      <w:rPr>
        <w:rFonts w:ascii="Courier New" w:hAnsi="Courier New" w:cs="Courier New" w:hint="default"/>
      </w:rPr>
    </w:lvl>
    <w:lvl w:ilvl="2" w:tplc="04180005">
      <w:start w:val="1"/>
      <w:numFmt w:val="bullet"/>
      <w:lvlText w:val=""/>
      <w:lvlJc w:val="left"/>
      <w:pPr>
        <w:ind w:left="2508" w:hanging="360"/>
      </w:pPr>
      <w:rPr>
        <w:rFonts w:ascii="Wingdings" w:hAnsi="Wingdings" w:hint="default"/>
      </w:rPr>
    </w:lvl>
    <w:lvl w:ilvl="3" w:tplc="04180001">
      <w:start w:val="1"/>
      <w:numFmt w:val="bullet"/>
      <w:lvlText w:val=""/>
      <w:lvlJc w:val="left"/>
      <w:pPr>
        <w:ind w:left="3228" w:hanging="360"/>
      </w:pPr>
      <w:rPr>
        <w:rFonts w:ascii="Symbol" w:hAnsi="Symbol" w:hint="default"/>
      </w:rPr>
    </w:lvl>
    <w:lvl w:ilvl="4" w:tplc="04180003">
      <w:start w:val="1"/>
      <w:numFmt w:val="bullet"/>
      <w:lvlText w:val="o"/>
      <w:lvlJc w:val="left"/>
      <w:pPr>
        <w:ind w:left="3948" w:hanging="360"/>
      </w:pPr>
      <w:rPr>
        <w:rFonts w:ascii="Courier New" w:hAnsi="Courier New" w:cs="Courier New" w:hint="default"/>
      </w:rPr>
    </w:lvl>
    <w:lvl w:ilvl="5" w:tplc="04180005">
      <w:start w:val="1"/>
      <w:numFmt w:val="bullet"/>
      <w:lvlText w:val=""/>
      <w:lvlJc w:val="left"/>
      <w:pPr>
        <w:ind w:left="4668" w:hanging="360"/>
      </w:pPr>
      <w:rPr>
        <w:rFonts w:ascii="Wingdings" w:hAnsi="Wingdings" w:hint="default"/>
      </w:rPr>
    </w:lvl>
    <w:lvl w:ilvl="6" w:tplc="04180001">
      <w:start w:val="1"/>
      <w:numFmt w:val="bullet"/>
      <w:lvlText w:val=""/>
      <w:lvlJc w:val="left"/>
      <w:pPr>
        <w:ind w:left="5388" w:hanging="360"/>
      </w:pPr>
      <w:rPr>
        <w:rFonts w:ascii="Symbol" w:hAnsi="Symbol" w:hint="default"/>
      </w:rPr>
    </w:lvl>
    <w:lvl w:ilvl="7" w:tplc="04180003">
      <w:start w:val="1"/>
      <w:numFmt w:val="bullet"/>
      <w:lvlText w:val="o"/>
      <w:lvlJc w:val="left"/>
      <w:pPr>
        <w:ind w:left="6108" w:hanging="360"/>
      </w:pPr>
      <w:rPr>
        <w:rFonts w:ascii="Courier New" w:hAnsi="Courier New" w:cs="Courier New" w:hint="default"/>
      </w:rPr>
    </w:lvl>
    <w:lvl w:ilvl="8" w:tplc="04180005">
      <w:start w:val="1"/>
      <w:numFmt w:val="bullet"/>
      <w:lvlText w:val=""/>
      <w:lvlJc w:val="left"/>
      <w:pPr>
        <w:ind w:left="6828" w:hanging="360"/>
      </w:pPr>
      <w:rPr>
        <w:rFonts w:ascii="Wingdings" w:hAnsi="Wingdings" w:hint="default"/>
      </w:rPr>
    </w:lvl>
  </w:abstractNum>
  <w:num w:numId="1" w16cid:durableId="1254402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78C7"/>
    <w:rsid w:val="0003534D"/>
    <w:rsid w:val="00085EB6"/>
    <w:rsid w:val="000C1B57"/>
    <w:rsid w:val="000D553B"/>
    <w:rsid w:val="00104E31"/>
    <w:rsid w:val="001578C7"/>
    <w:rsid w:val="001A5039"/>
    <w:rsid w:val="001D6B55"/>
    <w:rsid w:val="0041047C"/>
    <w:rsid w:val="00446AF8"/>
    <w:rsid w:val="004E7E58"/>
    <w:rsid w:val="00560FA9"/>
    <w:rsid w:val="00687179"/>
    <w:rsid w:val="00B65F2B"/>
    <w:rsid w:val="00CB09BF"/>
    <w:rsid w:val="00D07D59"/>
    <w:rsid w:val="00DB692B"/>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6569EA"/>
  <w15:chartTrackingRefBased/>
  <w15:docId w15:val="{37DDA17A-6D0E-4D95-BFEB-4BECECE66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1578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1578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1578C7"/>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1578C7"/>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1578C7"/>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1578C7"/>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1578C7"/>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1578C7"/>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1578C7"/>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1578C7"/>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1578C7"/>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1578C7"/>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1578C7"/>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1578C7"/>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1578C7"/>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1578C7"/>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1578C7"/>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1578C7"/>
    <w:rPr>
      <w:rFonts w:eastAsiaTheme="majorEastAsia" w:cstheme="majorBidi"/>
      <w:color w:val="272727" w:themeColor="text1" w:themeTint="D8"/>
    </w:rPr>
  </w:style>
  <w:style w:type="paragraph" w:styleId="Titlu">
    <w:name w:val="Title"/>
    <w:basedOn w:val="Normal"/>
    <w:next w:val="Normal"/>
    <w:link w:val="TitluCaracter"/>
    <w:uiPriority w:val="10"/>
    <w:qFormat/>
    <w:rsid w:val="001578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1578C7"/>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1578C7"/>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1578C7"/>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1578C7"/>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1578C7"/>
    <w:rPr>
      <w:i/>
      <w:iCs/>
      <w:color w:val="404040" w:themeColor="text1" w:themeTint="BF"/>
    </w:rPr>
  </w:style>
  <w:style w:type="paragraph" w:styleId="Listparagraf">
    <w:name w:val="List Paragraph"/>
    <w:basedOn w:val="Normal"/>
    <w:uiPriority w:val="34"/>
    <w:qFormat/>
    <w:rsid w:val="001578C7"/>
    <w:pPr>
      <w:ind w:left="720"/>
      <w:contextualSpacing/>
    </w:pPr>
  </w:style>
  <w:style w:type="character" w:styleId="Accentuareintens">
    <w:name w:val="Intense Emphasis"/>
    <w:basedOn w:val="Fontdeparagrafimplicit"/>
    <w:uiPriority w:val="21"/>
    <w:qFormat/>
    <w:rsid w:val="001578C7"/>
    <w:rPr>
      <w:i/>
      <w:iCs/>
      <w:color w:val="2F5496" w:themeColor="accent1" w:themeShade="BF"/>
    </w:rPr>
  </w:style>
  <w:style w:type="paragraph" w:styleId="Citatintens">
    <w:name w:val="Intense Quote"/>
    <w:basedOn w:val="Normal"/>
    <w:next w:val="Normal"/>
    <w:link w:val="CitatintensCaracter"/>
    <w:uiPriority w:val="30"/>
    <w:qFormat/>
    <w:rsid w:val="001578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1578C7"/>
    <w:rPr>
      <w:i/>
      <w:iCs/>
      <w:color w:val="2F5496" w:themeColor="accent1" w:themeShade="BF"/>
    </w:rPr>
  </w:style>
  <w:style w:type="character" w:styleId="Referireintens">
    <w:name w:val="Intense Reference"/>
    <w:basedOn w:val="Fontdeparagrafimplicit"/>
    <w:uiPriority w:val="32"/>
    <w:qFormat/>
    <w:rsid w:val="001578C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14</Pages>
  <Words>7617</Words>
  <Characters>44180</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51694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2026-09-04T07:48:00Z</dcterms:created>
  <dcterms:modified xsi:type="dcterms:W3CDTF">2026-09-04T07:49:00Z</dcterms:modified>
  <cp:category/>
  <dc:identifier/>
  <cp:contentStatus/>
  <dc:language/>
  <cp:version/>
</cp:coreProperties>
</file>