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FFC6F" w14:textId="07EC59D0" w:rsidR="004D279A" w:rsidRDefault="0040274E">
      <w:pPr>
        <w:rPr>
          <w:rStyle w:val="Fontdeparagrafimplicit1"/>
          <w:rFonts w:ascii="Garamond" w:hAnsi="Garamond"/>
          <w:color w:val="BFBFBF"/>
          <w:sz w:val="20"/>
        </w:rPr>
      </w:pPr>
      <w:r>
        <w:rPr>
          <w:rStyle w:val="Fontdeparagrafimplicit1"/>
          <w:rFonts w:ascii="Garamond" w:hAnsi="Garamond"/>
          <w:color w:val="BFBFBF"/>
          <w:sz w:val="20"/>
        </w:rPr>
        <w:t xml:space="preserve"> </w:t>
      </w:r>
    </w:p>
    <w:p w14:paraId="10F3E9BF" w14:textId="19AAD19C" w:rsidR="004D279A" w:rsidRDefault="0040274E">
      <w:pPr>
        <w:rPr>
          <w:rStyle w:val="Fontdeparagrafimplicit1"/>
          <w:rFonts w:ascii="Garamond" w:hAnsi="Garamond"/>
        </w:rPr>
      </w:pPr>
      <w:r>
        <w:rPr>
          <w:rStyle w:val="Fontdeparagrafimplicit1"/>
          <w:rFonts w:ascii="Garamond" w:hAnsi="Garamond"/>
        </w:rPr>
        <w:t xml:space="preserve"> </w:t>
      </w:r>
    </w:p>
    <w:p w14:paraId="785AF96F" w14:textId="77777777" w:rsidR="004D279A" w:rsidRDefault="0040274E">
      <w:pPr>
        <w:jc w:val="center"/>
      </w:pPr>
      <w:r>
        <w:t>R O M Â N I A</w:t>
      </w:r>
    </w:p>
    <w:p w14:paraId="5520083D" w14:textId="199E9DF9" w:rsidR="004D279A" w:rsidRDefault="0040274E">
      <w:pPr>
        <w:jc w:val="center"/>
      </w:pPr>
      <w:r>
        <w:t xml:space="preserve">CURTEA DE APEL </w:t>
      </w:r>
      <w:r w:rsidR="00794792">
        <w:t xml:space="preserve">                    </w:t>
      </w:r>
    </w:p>
    <w:p w14:paraId="48E9022C" w14:textId="1A1277C4" w:rsidR="004D279A" w:rsidRDefault="0040274E">
      <w:pPr>
        <w:jc w:val="center"/>
      </w:pPr>
      <w:r>
        <w:t xml:space="preserve">SECŢIA </w:t>
      </w:r>
      <w:r w:rsidR="00794792">
        <w:t xml:space="preserve"> </w:t>
      </w:r>
    </w:p>
    <w:p w14:paraId="2E052F0C" w14:textId="77777777" w:rsidR="004D279A" w:rsidRDefault="004D279A">
      <w:pPr>
        <w:jc w:val="center"/>
      </w:pPr>
    </w:p>
    <w:p w14:paraId="17EAA9C4" w14:textId="0159BBBF" w:rsidR="004D279A" w:rsidRDefault="0040274E">
      <w:pPr>
        <w:rPr>
          <w:rStyle w:val="Fontdeparagrafimplicit1"/>
          <w:b/>
        </w:rPr>
      </w:pPr>
      <w:r>
        <w:rPr>
          <w:rStyle w:val="Fontdeparagrafimplicit1"/>
          <w:b/>
        </w:rPr>
        <w:t xml:space="preserve">Dosar nr. </w:t>
      </w:r>
      <w:r w:rsidR="00794792">
        <w:rPr>
          <w:rStyle w:val="Fontdeparagrafimplicit1"/>
          <w:b/>
        </w:rPr>
        <w:t xml:space="preserve">1 </w:t>
      </w:r>
    </w:p>
    <w:p w14:paraId="207F85D8" w14:textId="70E88A16" w:rsidR="004D279A" w:rsidRDefault="0040274E">
      <w:pPr>
        <w:jc w:val="center"/>
        <w:rPr>
          <w:rStyle w:val="Fontdeparagrafimplicit1"/>
          <w:b/>
          <w:i/>
        </w:rPr>
      </w:pPr>
      <w:r>
        <w:rPr>
          <w:rStyle w:val="Fontdeparagrafimplicit1"/>
          <w:b/>
          <w:i/>
        </w:rPr>
        <w:t xml:space="preserve">DECIZIA CIVILĂ NR. </w:t>
      </w:r>
      <w:r w:rsidR="00794792">
        <w:rPr>
          <w:rStyle w:val="Fontdeparagrafimplicit1"/>
          <w:b/>
          <w:i/>
        </w:rPr>
        <w:t>19</w:t>
      </w:r>
    </w:p>
    <w:p w14:paraId="573E6770" w14:textId="25624A0D" w:rsidR="004D279A" w:rsidRDefault="0040274E">
      <w:pPr>
        <w:jc w:val="center"/>
      </w:pPr>
      <w:r>
        <w:t xml:space="preserve">Şedinţa publică din data de </w:t>
      </w:r>
      <w:r w:rsidR="00794792">
        <w:t xml:space="preserve"> </w:t>
      </w:r>
    </w:p>
    <w:p w14:paraId="101327D4" w14:textId="77777777" w:rsidR="004D279A" w:rsidRDefault="0040274E">
      <w:pPr>
        <w:jc w:val="center"/>
      </w:pPr>
      <w:r>
        <w:t>Curtea constituită din:</w:t>
      </w:r>
    </w:p>
    <w:p w14:paraId="49EBB852" w14:textId="178440A3" w:rsidR="004D279A" w:rsidRDefault="0040274E">
      <w:pPr>
        <w:jc w:val="center"/>
      </w:pPr>
      <w:r>
        <w:t xml:space="preserve">PREŞEDINTE  - </w:t>
      </w:r>
      <w:r w:rsidR="00794792">
        <w:t xml:space="preserve">A0008  </w:t>
      </w:r>
    </w:p>
    <w:p w14:paraId="730B067D" w14:textId="40C31D92" w:rsidR="004D279A" w:rsidRDefault="0040274E">
      <w:pPr>
        <w:jc w:val="center"/>
      </w:pPr>
      <w:r>
        <w:t xml:space="preserve">JUDECĂTOR – </w:t>
      </w:r>
      <w:r w:rsidR="00794792">
        <w:t xml:space="preserve">               </w:t>
      </w:r>
    </w:p>
    <w:p w14:paraId="0904EE69" w14:textId="2E10EDF9" w:rsidR="004D279A" w:rsidRDefault="0040274E">
      <w:pPr>
        <w:jc w:val="center"/>
      </w:pPr>
      <w:r>
        <w:t xml:space="preserve">JUDECĂTOR – </w:t>
      </w:r>
      <w:r w:rsidR="00794792">
        <w:t xml:space="preserve">               </w:t>
      </w:r>
      <w:r>
        <w:t xml:space="preserve"> </w:t>
      </w:r>
    </w:p>
    <w:p w14:paraId="1D3AF582" w14:textId="7FF1A0F3" w:rsidR="004D279A" w:rsidRDefault="0040274E">
      <w:pPr>
        <w:jc w:val="center"/>
      </w:pPr>
      <w:r>
        <w:t xml:space="preserve">GREFIER  -  </w:t>
      </w:r>
      <w:r w:rsidR="00794792">
        <w:t xml:space="preserve">               </w:t>
      </w:r>
    </w:p>
    <w:p w14:paraId="79E93B03" w14:textId="77777777" w:rsidR="004D279A" w:rsidRDefault="004D279A"/>
    <w:p w14:paraId="0389EA8A" w14:textId="07EEA41B" w:rsidR="004D279A" w:rsidRDefault="0040274E">
      <w:pPr>
        <w:ind w:firstLine="708"/>
        <w:jc w:val="both"/>
      </w:pPr>
      <w:r>
        <w:t xml:space="preserve">Pe rol se află pronunţarea recursului formulat de recurenta-pârâtă DIRECŢIA GENERALĂ REGIONALĂ A FINANŢELOR PUBLICE </w:t>
      </w:r>
      <w:r w:rsidR="00794792">
        <w:t xml:space="preserve">              </w:t>
      </w:r>
      <w:r>
        <w:t xml:space="preserve">  în reprezentarea ADMINISTRAŢIEI JUDEŢENE A FINANŢELOR PUBLICE </w:t>
      </w:r>
      <w:r w:rsidR="00794792">
        <w:t xml:space="preserve">              </w:t>
      </w:r>
      <w:r>
        <w:t xml:space="preserve">  împotriva sentinţei civile nr. </w:t>
      </w:r>
      <w:r w:rsidR="00794792">
        <w:t xml:space="preserve">2 </w:t>
      </w:r>
      <w:r>
        <w:t xml:space="preserve"> pronunţată de Tribunalul </w:t>
      </w:r>
      <w:r w:rsidR="00794792">
        <w:t xml:space="preserve">              </w:t>
      </w:r>
      <w:r>
        <w:t xml:space="preserve">– Secţia </w:t>
      </w:r>
      <w:r w:rsidR="00794792">
        <w:t xml:space="preserve"> </w:t>
      </w:r>
      <w:r>
        <w:t xml:space="preserve"> în dosarul nr. </w:t>
      </w:r>
      <w:r w:rsidR="00794792">
        <w:t xml:space="preserve">1 </w:t>
      </w:r>
      <w:r>
        <w:t xml:space="preserve"> în contradictoriu cu intimatul-reclamant </w:t>
      </w:r>
      <w:r w:rsidR="00794792">
        <w:t xml:space="preserve">3 </w:t>
      </w:r>
      <w:r>
        <w:t xml:space="preserve"> şi intimata-chemată în garanţie ADMINISTRAŢIA FONDULUI PENTRU MEDIU, având ca obiect „</w:t>
      </w:r>
      <w:r>
        <w:rPr>
          <w:rStyle w:val="Fontdeparagrafimplicit1"/>
          <w:i/>
        </w:rPr>
        <w:t>anulare act administrativ</w:t>
      </w:r>
      <w:r>
        <w:t>”.</w:t>
      </w:r>
    </w:p>
    <w:p w14:paraId="5CF75AC4" w14:textId="1BF4048A" w:rsidR="004D279A" w:rsidRDefault="0040274E">
      <w:pPr>
        <w:ind w:firstLine="708"/>
        <w:jc w:val="both"/>
      </w:pPr>
      <w:r>
        <w:t xml:space="preserve">Dezbaterile au avut loc în şedinţa publică din data de </w:t>
      </w:r>
      <w:r w:rsidR="00794792">
        <w:t xml:space="preserve"> </w:t>
      </w:r>
      <w:r>
        <w:t xml:space="preserve"> şi au fost consemnate în încheierea de şedinţă de la acea dată, care face parte integrantă din prezenta deciziei, când Curtea, având nevoie de timp pentru a delibera, a amânat pronunţarea la data de </w:t>
      </w:r>
      <w:r w:rsidR="00794792">
        <w:t xml:space="preserve"> </w:t>
      </w:r>
      <w:r>
        <w:t xml:space="preserve">, respectiv </w:t>
      </w:r>
      <w:r w:rsidR="00794792">
        <w:t xml:space="preserve"> </w:t>
      </w:r>
      <w:r>
        <w:t xml:space="preserve"> şi a hotărât următoarele:</w:t>
      </w:r>
    </w:p>
    <w:p w14:paraId="1861F89B" w14:textId="77777777" w:rsidR="004D279A" w:rsidRDefault="004D279A">
      <w:pPr>
        <w:ind w:firstLine="708"/>
        <w:jc w:val="both"/>
      </w:pPr>
    </w:p>
    <w:p w14:paraId="018B1F44" w14:textId="77777777" w:rsidR="004D279A" w:rsidRDefault="0040274E">
      <w:pPr>
        <w:ind w:firstLine="708"/>
        <w:jc w:val="center"/>
      </w:pPr>
      <w:r>
        <w:t>C U R T E A,</w:t>
      </w:r>
    </w:p>
    <w:p w14:paraId="513B15B8" w14:textId="77777777" w:rsidR="004D279A" w:rsidRDefault="004D279A">
      <w:pPr>
        <w:ind w:firstLine="708"/>
        <w:jc w:val="center"/>
      </w:pPr>
    </w:p>
    <w:p w14:paraId="62BD1F84" w14:textId="77777777" w:rsidR="004D279A" w:rsidRDefault="0040274E">
      <w:pPr>
        <w:pStyle w:val="Listparagraf1"/>
        <w:numPr>
          <w:ilvl w:val="0"/>
          <w:numId w:val="1"/>
        </w:numPr>
        <w:ind w:right="-709"/>
        <w:jc w:val="both"/>
        <w:rPr>
          <w:rStyle w:val="Fontdeparagrafimplicit1"/>
          <w:b/>
        </w:rPr>
      </w:pPr>
      <w:r>
        <w:rPr>
          <w:rStyle w:val="Fontdeparagrafimplicit1"/>
          <w:b/>
        </w:rPr>
        <w:t>Circumstanţele cauzei</w:t>
      </w:r>
    </w:p>
    <w:p w14:paraId="0C6EF0EF" w14:textId="77777777" w:rsidR="004D279A" w:rsidRDefault="0040274E">
      <w:pPr>
        <w:pStyle w:val="Listparagraf1"/>
        <w:numPr>
          <w:ilvl w:val="1"/>
          <w:numId w:val="1"/>
        </w:numPr>
        <w:ind w:right="-709"/>
        <w:jc w:val="both"/>
        <w:rPr>
          <w:rStyle w:val="Fontdeparagrafimplicit1"/>
          <w:u w:val="single"/>
        </w:rPr>
      </w:pPr>
      <w:r>
        <w:rPr>
          <w:rStyle w:val="Fontdeparagrafimplicit1"/>
          <w:u w:val="single"/>
        </w:rPr>
        <w:t>Acţiunea formulată</w:t>
      </w:r>
    </w:p>
    <w:p w14:paraId="171DBC78" w14:textId="714A5CEA" w:rsidR="004D279A" w:rsidRDefault="0040274E">
      <w:pPr>
        <w:ind w:firstLine="708"/>
        <w:jc w:val="both"/>
      </w:pPr>
      <w:r>
        <w:t xml:space="preserve">Prin cererea înregistrată la data de </w:t>
      </w:r>
      <w:r w:rsidR="00794792">
        <w:t xml:space="preserve"> </w:t>
      </w:r>
      <w:r>
        <w:t xml:space="preserve">, pe rolul Tribunalului </w:t>
      </w:r>
      <w:r w:rsidR="00794792">
        <w:t xml:space="preserve">              </w:t>
      </w:r>
      <w:r>
        <w:t xml:space="preserve">, sub nr. </w:t>
      </w:r>
      <w:r w:rsidR="00794792">
        <w:t xml:space="preserve">1 </w:t>
      </w:r>
      <w:r>
        <w:t xml:space="preserve">, reclamantul </w:t>
      </w:r>
      <w:r w:rsidR="00794792">
        <w:t xml:space="preserve">3 </w:t>
      </w:r>
      <w:r>
        <w:t xml:space="preserve"> a chemat –o în judecată pe pârâta ADMINISTRATIA FINANTELOR PUBLICE </w:t>
      </w:r>
      <w:r w:rsidR="00794792">
        <w:t xml:space="preserve">              </w:t>
      </w:r>
      <w:r>
        <w:t xml:space="preserve"> PRIN SERVICIUL ORASENESC </w:t>
      </w:r>
      <w:r w:rsidR="00794792">
        <w:t xml:space="preserve">                   </w:t>
      </w:r>
      <w:r>
        <w:t xml:space="preserve"> PRIN DGRFP A MUN. </w:t>
      </w:r>
      <w:r w:rsidR="00794792">
        <w:t xml:space="preserve">                    </w:t>
      </w:r>
      <w:r>
        <w:t xml:space="preserve">, pentru ca prin hotărârea ce o va pronunţa să dispună anularea actului administrativ Decizia de calcul nr. </w:t>
      </w:r>
      <w:r w:rsidR="00794792">
        <w:t xml:space="preserve">                   </w:t>
      </w:r>
      <w:r>
        <w:t xml:space="preserve">/04.12.2014 în baza căruia s-a achitat taxa de timbru de mediu pentru autovehicule, restituirea sumei în cuantum de 7028 lei înscrisă în Decizia de calcul, achitată că chitanţa seria </w:t>
      </w:r>
      <w:r w:rsidR="00794792">
        <w:t xml:space="preserve">                   </w:t>
      </w:r>
      <w:r>
        <w:t xml:space="preserve"> nr. </w:t>
      </w:r>
      <w:r w:rsidR="00794792">
        <w:t xml:space="preserve">                   </w:t>
      </w:r>
      <w:r>
        <w:t xml:space="preserve">, plus rata dobânzii de la momentul perceperii taxei până în momentul restituirii ei; obligarea pârâtei la plata cheltuielilor de judecată constând în onorariu de avocat şi taxă de timbru. </w:t>
      </w:r>
    </w:p>
    <w:p w14:paraId="6AD4118C" w14:textId="77777777" w:rsidR="004D279A" w:rsidRDefault="0040274E">
      <w:pPr>
        <w:pStyle w:val="Listparagraf1"/>
        <w:numPr>
          <w:ilvl w:val="1"/>
          <w:numId w:val="1"/>
        </w:numPr>
        <w:ind w:right="-709"/>
        <w:jc w:val="both"/>
        <w:rPr>
          <w:rStyle w:val="Fontdeparagrafimplicit1"/>
          <w:u w:val="single"/>
        </w:rPr>
      </w:pPr>
      <w:r>
        <w:rPr>
          <w:rStyle w:val="Fontdeparagrafimplicit1"/>
          <w:u w:val="single"/>
        </w:rPr>
        <w:t>Sentinţa civilă pronunţată în cauză</w:t>
      </w:r>
    </w:p>
    <w:p w14:paraId="64B20C69" w14:textId="4E4AFF32" w:rsidR="004D279A" w:rsidRDefault="0040274E">
      <w:pPr>
        <w:ind w:firstLine="708"/>
        <w:jc w:val="both"/>
      </w:pPr>
      <w:r>
        <w:t xml:space="preserve">Prin sentinţa civilă nr. </w:t>
      </w:r>
      <w:r w:rsidR="00794792">
        <w:t xml:space="preserve">2 </w:t>
      </w:r>
      <w:r>
        <w:t xml:space="preserve">, pronunţată de Tribunalul </w:t>
      </w:r>
      <w:r w:rsidR="00794792">
        <w:t xml:space="preserve">              </w:t>
      </w:r>
      <w:r>
        <w:t xml:space="preserve"> – Secţia civilă, în dosarul nr. </w:t>
      </w:r>
      <w:r w:rsidR="00794792">
        <w:t xml:space="preserve">1 </w:t>
      </w:r>
      <w:r>
        <w:t>, s-au dispus următoarele:</w:t>
      </w:r>
    </w:p>
    <w:p w14:paraId="1D930F5C" w14:textId="456E4FC9" w:rsidR="004D279A" w:rsidRDefault="0040274E">
      <w:pPr>
        <w:numPr>
          <w:ilvl w:val="0"/>
          <w:numId w:val="2"/>
        </w:numPr>
        <w:jc w:val="both"/>
      </w:pPr>
      <w:r>
        <w:t xml:space="preserve">s-a admis acţiunea formulată de către reclamantul </w:t>
      </w:r>
      <w:r w:rsidR="00794792">
        <w:t xml:space="preserve">3 </w:t>
      </w:r>
      <w:r>
        <w:t xml:space="preserve">, în contradictoriu cu pârâta ADMINISTRATIA FINANTELOR PUBLICE </w:t>
      </w:r>
      <w:r w:rsidR="00794792">
        <w:t xml:space="preserve">              </w:t>
      </w:r>
      <w:r>
        <w:t xml:space="preserve"> PRIN SERVICIUL ORASENESC </w:t>
      </w:r>
      <w:r w:rsidR="00794792">
        <w:t xml:space="preserve">                   </w:t>
      </w:r>
      <w:r>
        <w:t xml:space="preserve"> PRIN DGRFP A MUN. </w:t>
      </w:r>
      <w:r w:rsidR="00794792">
        <w:t xml:space="preserve">                    </w:t>
      </w:r>
      <w:r>
        <w:t xml:space="preserve"> şi cu chemata în garanţie ADMINISTRAŢIA FONDULUI PENTRU MEDIU;</w:t>
      </w:r>
    </w:p>
    <w:p w14:paraId="2DC0EF86" w14:textId="19B025C4" w:rsidR="004D279A" w:rsidRDefault="0040274E">
      <w:pPr>
        <w:numPr>
          <w:ilvl w:val="0"/>
          <w:numId w:val="2"/>
        </w:numPr>
        <w:jc w:val="both"/>
      </w:pPr>
      <w:r>
        <w:t>a anulat decizia de calcul nr.</w:t>
      </w:r>
      <w:r w:rsidR="00794792">
        <w:t xml:space="preserve">                   </w:t>
      </w:r>
      <w:r>
        <w:t>/04.12.2014;</w:t>
      </w:r>
    </w:p>
    <w:p w14:paraId="5DB1BCDF" w14:textId="77777777" w:rsidR="004D279A" w:rsidRDefault="0040274E">
      <w:pPr>
        <w:numPr>
          <w:ilvl w:val="0"/>
          <w:numId w:val="2"/>
        </w:numPr>
        <w:jc w:val="both"/>
      </w:pPr>
      <w:r>
        <w:t>a obligat pârâta să restituie reclamantului suma de 7.028 lei precum şi dobânda fiscală aferentă începând cu data de 19.12.2014 până la data plăţii efective;</w:t>
      </w:r>
    </w:p>
    <w:p w14:paraId="06A7A503" w14:textId="77777777" w:rsidR="004D279A" w:rsidRDefault="0040274E">
      <w:pPr>
        <w:numPr>
          <w:ilvl w:val="0"/>
          <w:numId w:val="2"/>
        </w:numPr>
        <w:jc w:val="both"/>
      </w:pPr>
      <w:r>
        <w:t>a obligat pârâta la plata către reclamant a sumei de 300 lei reprezentând cheltuieli de judecată;</w:t>
      </w:r>
    </w:p>
    <w:p w14:paraId="68720A14" w14:textId="77777777" w:rsidR="004D279A" w:rsidRDefault="0040274E">
      <w:pPr>
        <w:numPr>
          <w:ilvl w:val="0"/>
          <w:numId w:val="2"/>
        </w:numPr>
        <w:jc w:val="both"/>
      </w:pPr>
      <w:r>
        <w:t>a admis cererea de chemare in garanţie şi a obligat chemata in garanţie la plata către parata a sumelor ce fac obiectul acţiunii principale.</w:t>
      </w:r>
    </w:p>
    <w:p w14:paraId="79F97EA0" w14:textId="77777777" w:rsidR="004D279A" w:rsidRDefault="004D279A">
      <w:pPr>
        <w:ind w:left="1068"/>
        <w:jc w:val="both"/>
      </w:pPr>
    </w:p>
    <w:p w14:paraId="737BA666" w14:textId="77777777" w:rsidR="004D279A" w:rsidRDefault="0040274E">
      <w:pPr>
        <w:pStyle w:val="Listparagraf1"/>
        <w:numPr>
          <w:ilvl w:val="0"/>
          <w:numId w:val="1"/>
        </w:numPr>
        <w:ind w:right="-709"/>
        <w:jc w:val="both"/>
        <w:rPr>
          <w:rStyle w:val="Fontdeparagrafimplicit1"/>
          <w:b/>
        </w:rPr>
      </w:pPr>
      <w:r>
        <w:rPr>
          <w:rStyle w:val="Fontdeparagrafimplicit1"/>
          <w:b/>
        </w:rPr>
        <w:t>Calea de atac formulată</w:t>
      </w:r>
    </w:p>
    <w:p w14:paraId="69AB9502" w14:textId="0B5A4922" w:rsidR="004D279A" w:rsidRDefault="0040274E">
      <w:pPr>
        <w:ind w:right="-11" w:firstLine="708"/>
        <w:jc w:val="both"/>
      </w:pPr>
      <w:r>
        <w:lastRenderedPageBreak/>
        <w:t xml:space="preserve">Direcţia Generala Regională a Finanţelor Publice </w:t>
      </w:r>
      <w:r w:rsidR="00794792">
        <w:t xml:space="preserve">                    </w:t>
      </w:r>
      <w:r>
        <w:t xml:space="preserve"> in reprezentarea Administraţiei Judeţene a Finanţelor Publice </w:t>
      </w:r>
      <w:r w:rsidR="00794792">
        <w:t xml:space="preserve">              </w:t>
      </w:r>
      <w:r>
        <w:t xml:space="preserve">, a formulat în contradictoriu cu </w:t>
      </w:r>
      <w:r w:rsidR="00794792">
        <w:t xml:space="preserve">3 </w:t>
      </w:r>
      <w:r>
        <w:t xml:space="preserve"> recurs împotriva Sentinţei civile nr. </w:t>
      </w:r>
      <w:r w:rsidR="00794792">
        <w:t>2</w:t>
      </w:r>
      <w:r>
        <w:t xml:space="preserve"> pronunţata de Tribunalul </w:t>
      </w:r>
      <w:r w:rsidR="00794792">
        <w:t xml:space="preserve">              </w:t>
      </w:r>
      <w:r>
        <w:t xml:space="preserve"> in dosarul nr. </w:t>
      </w:r>
      <w:r w:rsidR="00794792">
        <w:t xml:space="preserve">1 </w:t>
      </w:r>
      <w:r>
        <w:t>.</w:t>
      </w:r>
    </w:p>
    <w:p w14:paraId="7680549A" w14:textId="77777777" w:rsidR="004D279A" w:rsidRDefault="0040274E">
      <w:pPr>
        <w:ind w:right="-11" w:firstLine="708"/>
        <w:jc w:val="both"/>
      </w:pPr>
      <w:r>
        <w:t>A considerat că Sentinţa civila a fost data cu incalcarea sau aplicarea greşita a normelor de drept material conform art. 488 alin. 8 Cod procedura civila</w:t>
      </w:r>
    </w:p>
    <w:p w14:paraId="343A80D9" w14:textId="77777777" w:rsidR="004D279A" w:rsidRDefault="0040274E">
      <w:pPr>
        <w:ind w:right="-11" w:firstLine="708"/>
        <w:jc w:val="both"/>
      </w:pPr>
      <w:r>
        <w:t>Pe fondul cauzei, a arătat că rolul organului fiscal a fost doar de diligenţă, prin efectul legii, în a calcula şi a încasa la cererea contribuabilului o taxă ce i-a fost acestuia expres solicitată de alt minister în favoarea Administraţiei Fondului pentru Mediu şi care plată reprezenta o condiţie obligatorie a fi îndeplinită în vederea înmatriculării autovehiculului. Taxa acordată prin sentinţa criticată a fost pretinsă în temeiul O.U.G. nr. 9/2013, în vigoare la momentul achitării, s-a făcut venit la Fond</w:t>
      </w:r>
      <w:r>
        <w:t>ul de Mediu iar prin instituţia recurentă s-a derulat doar operaţiunea ce constituie „instrumentum probationis”, în vederea înmatriculărilor auto, instituţia oferind gratuit, prin efectul legii, individualizarea cuantumului taxei de timbru de mediu şi încasarea acesteia. Se creează astfel prezumţia că implicarea organelor fiscale s-a făcut în beneficiul colectării cu uşurinţă a taxei, atât din punctul de vedere al contribuabililor, cât şi al destinatarului fondului special constituit.</w:t>
      </w:r>
    </w:p>
    <w:p w14:paraId="436DC3B2" w14:textId="77777777" w:rsidR="004D279A" w:rsidRDefault="0040274E">
      <w:pPr>
        <w:ind w:right="-11" w:firstLine="708"/>
        <w:jc w:val="both"/>
      </w:pPr>
      <w:r>
        <w:t>Coroborând toate acestea cu noile dispoziţii aplicabile în speţă O.U.G. 52/2017, se impune ca soluţie legală şi neprejudiciatoare pentru Statul Român respingerea cerererilor formulate de plătitorii unor astfel de taxe ca inadmisibile şi orientarea acestora spre a apela la procedurile speciale elaborate în acest sens. Conform ultimei proceduri de restituire,contribuabilii care au achitat :</w:t>
      </w:r>
    </w:p>
    <w:p w14:paraId="64F96CB6" w14:textId="77777777" w:rsidR="004D279A" w:rsidRDefault="0040274E">
      <w:pPr>
        <w:ind w:right="-11" w:firstLine="708"/>
        <w:jc w:val="both"/>
      </w:pPr>
      <w:r>
        <w:t>- taxa specială pentru autoturisme si autovehicule, prevăzută la art. 214A1 - 214A3 din Legea nr. 571/2003 privind Codul fiscal, cu modificările şi completările ulterioare,</w:t>
      </w:r>
    </w:p>
    <w:p w14:paraId="4FCC7548" w14:textId="77777777" w:rsidR="004D279A" w:rsidRDefault="0040274E">
      <w:pPr>
        <w:ind w:right="-11" w:firstLine="708"/>
        <w:jc w:val="both"/>
      </w:pPr>
      <w:r>
        <w:t>-taxa pe poluare pentru autovehicule, prevăzută de Ordonanţa de urgenţă a Guvernului nr. 50/2008 pentru instituirea taxei pe poluare pentru autovehicule, aprobată prin Legea nr. 140/2011,</w:t>
      </w:r>
    </w:p>
    <w:p w14:paraId="71BC2BF6" w14:textId="77777777" w:rsidR="004D279A" w:rsidRDefault="0040274E">
      <w:pPr>
        <w:ind w:right="-11" w:firstLine="708"/>
        <w:jc w:val="both"/>
      </w:pPr>
      <w:r>
        <w:t>-taxa pentru emisiile poluante provenite de la autovehicule, prevăzută de Legea nr. 9/2012 privind taxa pentru emisiile poluante provenite de la autovehicule, cu modificările ulterioare, şi</w:t>
      </w:r>
    </w:p>
    <w:p w14:paraId="5AEF7048" w14:textId="77777777" w:rsidR="004D279A" w:rsidRDefault="0040274E">
      <w:pPr>
        <w:ind w:right="-11" w:firstLine="708"/>
        <w:jc w:val="both"/>
      </w:pPr>
      <w:r>
        <w:t>-timbrul de mediu pentru autovehicule, prevăzut de Ordonanţa de urgenţă a Guvernului nr. 9/2013 privind timbrul de mediu pentru autovehicule, aprobată cu modificări şi completări prin Legea nr. 37/2014, cu modificările şi completările ulterioare, şi care nu au beneficiat de restituire până la intrarea în vigoare a prezentei ordonanţe de urgenţă pot solicita restituirea acestora, precum şi a dobânzilor datorate pentru perioada cuprinsă între data perceperii şi data restituirii, prin cerere adresată organului</w:t>
      </w:r>
      <w:r>
        <w:t xml:space="preserve"> fiscal central competent. Nivelul dobânzii este cel prevăzut la art. 174 alin. (5) din Legea nr. 207/2015 privind Codul de procedură fiscală, cu modificările şi completările ulterioare.</w:t>
      </w:r>
    </w:p>
    <w:p w14:paraId="2EB353FF" w14:textId="77777777" w:rsidR="004D279A" w:rsidRDefault="0040274E">
      <w:pPr>
        <w:ind w:right="-11" w:firstLine="708"/>
        <w:jc w:val="both"/>
      </w:pPr>
      <w:r>
        <w:t>Dreptul contribuabililor prevăzuţi la alin. (1) de a cere restituirea se naşte la data intrării în vigoare a prezentei ordonanţe de urgenţă, indiferent de momentul la care s-a perceput taxa, iar prin derogare de ia prevederile art. 219 din Legea nr. 207/2015, cu modificările şi completările ulterioare, cererile de restituire se depun, sub sancţiunea decăderii, până la data de 31 august 2018. Textul integral a) O.U.G. Nr. 52/2017 din 4 august 2017, privind restituirea sumelor reprezentând taxa specială pentr</w:t>
      </w:r>
      <w:r>
        <w:t>u autoturisme şi autovehicule, taxa pe poluare pentru autovehicule, taxa pentru emisiile poluante provenite de la autovehicule şi timbrul de mediu pentru autovehicule, a fost publicat în Monitorul Oficial NR. 644 din 7 august 2017.</w:t>
      </w:r>
    </w:p>
    <w:p w14:paraId="30AA2F4F" w14:textId="0F42C402" w:rsidR="004D279A" w:rsidRDefault="0040274E">
      <w:pPr>
        <w:ind w:right="-11" w:firstLine="708"/>
        <w:jc w:val="both"/>
      </w:pPr>
      <w:r>
        <w:t xml:space="preserve">În ceea ce priveşte obligarea la restituirea taxei judiciare în sumă de 300 lei cu titlu de cheltuieli de judecată, a solicitat să se constate că - în mod greşit - tribunalul a considerat că este obligaţia pârâtei Administraţia Judeţeană a Finanţelor Publice </w:t>
      </w:r>
      <w:r w:rsidR="00794792">
        <w:t xml:space="preserve">              </w:t>
      </w:r>
      <w:r>
        <w:t xml:space="preserve"> la restituirea taxei de timbru, deoarece sus-numita este îndreptăţită - ca urmare a admiterii acţiunii sale - la restituirea taxei de timbru în sumă de 300 lei, astfel cum prevede art. 45 alin. 1 lit. f) din OUG nr. 80/2013 privind taxele judiciare de timbru, completată şi modificată. Însă, prevederile alineatului 5 al art. 45 a! aceluiaşi act normativ stabilesc că: "Cererea de restituire soluţionată </w:t>
      </w:r>
      <w:r>
        <w:lastRenderedPageBreak/>
        <w:t>de instanţa de judecată va fi depusă în vederea restituirii la unitatea administrativ- terito</w:t>
      </w:r>
      <w:r>
        <w:t>rială la care a fost achitată taxa. ”</w:t>
      </w:r>
    </w:p>
    <w:p w14:paraId="0BE5C318" w14:textId="1FEC2B67" w:rsidR="004D279A" w:rsidRDefault="0040274E">
      <w:pPr>
        <w:ind w:right="-11" w:firstLine="708"/>
        <w:jc w:val="both"/>
      </w:pPr>
      <w:r>
        <w:t xml:space="preserve">Aşadar, soluţia pronunţată de Tribunalul </w:t>
      </w:r>
      <w:r w:rsidR="00794792">
        <w:t xml:space="preserve">              </w:t>
      </w:r>
      <w:r>
        <w:t xml:space="preserve"> - Secţia </w:t>
      </w:r>
      <w:r w:rsidR="00794792">
        <w:t xml:space="preserve"> </w:t>
      </w:r>
      <w:r>
        <w:t xml:space="preserve"> cu privire la restituirea taxei judiciare de timbru se bazează pe o încălcare a dispoziţiilor legale aplicabile, în condiţiile în care leguitorul a prevăzut că cererea de restiuire va fi depusă în vederea restituirii la unitatea administrativ- teritorială la care a fost achitată taxa, respectiv la primăria către care a fost virată respectiva taxă de timbru.</w:t>
      </w:r>
    </w:p>
    <w:p w14:paraId="087A1796" w14:textId="77777777" w:rsidR="004D279A" w:rsidRDefault="0040274E">
      <w:pPr>
        <w:ind w:right="-11" w:firstLine="708"/>
        <w:jc w:val="both"/>
      </w:pPr>
      <w:r>
        <w:t>Având în vedere toate aceste aspecte arătate mai sus, a arătat că instanţa de fond a apreciat în mod greşit prevederile legale, motiv pentru care a solicitat admiterea prezentului recurs astfel cum a fost formulat şi motivat, schimbarea hotărârii atacate, în sensul respingerii în totalitate a acţiunii, cu înlăturarea obligaţiei stabilită în sarcina instituţiei noastre cu privire la plata cheltuielilor de judecată acordate la fond.</w:t>
      </w:r>
    </w:p>
    <w:p w14:paraId="4EE77AE1" w14:textId="77777777" w:rsidR="004D279A" w:rsidRDefault="004D279A">
      <w:pPr>
        <w:ind w:right="-11" w:firstLine="708"/>
        <w:jc w:val="both"/>
      </w:pPr>
    </w:p>
    <w:p w14:paraId="2161FC15" w14:textId="77777777" w:rsidR="004D279A" w:rsidRDefault="0040274E">
      <w:pPr>
        <w:pStyle w:val="Listparagraf1"/>
        <w:numPr>
          <w:ilvl w:val="0"/>
          <w:numId w:val="1"/>
        </w:numPr>
        <w:ind w:right="-709"/>
        <w:jc w:val="both"/>
        <w:rPr>
          <w:rStyle w:val="Fontdeparagrafimplicit1"/>
          <w:b/>
        </w:rPr>
      </w:pPr>
      <w:r>
        <w:rPr>
          <w:rStyle w:val="Fontdeparagrafimplicit1"/>
          <w:b/>
        </w:rPr>
        <w:t>Poziţia procesuală a părţii adverse</w:t>
      </w:r>
    </w:p>
    <w:p w14:paraId="47106C26" w14:textId="77777777" w:rsidR="004D279A" w:rsidRDefault="0040274E">
      <w:pPr>
        <w:ind w:right="-11" w:firstLine="708"/>
        <w:jc w:val="both"/>
      </w:pPr>
      <w:r>
        <w:t>Pârâtul nu a formulat întâmpinare şi nici nu şi-a exprimat opinia în alt mod cu privire la calea de atac formulată.</w:t>
      </w:r>
    </w:p>
    <w:p w14:paraId="5C11C253" w14:textId="77777777" w:rsidR="004D279A" w:rsidRDefault="0040274E">
      <w:pPr>
        <w:numPr>
          <w:ilvl w:val="0"/>
          <w:numId w:val="1"/>
        </w:numPr>
        <w:ind w:right="-11"/>
        <w:jc w:val="both"/>
        <w:rPr>
          <w:rStyle w:val="Fontdeparagrafimplicit1"/>
          <w:b/>
        </w:rPr>
      </w:pPr>
      <w:r>
        <w:rPr>
          <w:rStyle w:val="Fontdeparagrafimplicit1"/>
          <w:b/>
        </w:rPr>
        <w:t>Alte aspecte procesuale</w:t>
      </w:r>
    </w:p>
    <w:p w14:paraId="3058BFCC" w14:textId="77777777" w:rsidR="004D279A" w:rsidRDefault="0040274E">
      <w:pPr>
        <w:ind w:right="-11" w:firstLine="708"/>
        <w:jc w:val="both"/>
      </w:pPr>
      <w:r>
        <w:t>În soluţionarea căii de atac în privinţa căreia a fost legal învestită, Curtea nu a administrat probe noi.</w:t>
      </w:r>
    </w:p>
    <w:p w14:paraId="57C2C030" w14:textId="77777777" w:rsidR="004D279A" w:rsidRDefault="0040274E">
      <w:pPr>
        <w:pStyle w:val="Listparagraf1"/>
        <w:numPr>
          <w:ilvl w:val="0"/>
          <w:numId w:val="1"/>
        </w:numPr>
        <w:ind w:right="-709"/>
        <w:jc w:val="both"/>
        <w:rPr>
          <w:rStyle w:val="Fontdeparagrafimplicit1"/>
          <w:b/>
        </w:rPr>
      </w:pPr>
      <w:r>
        <w:rPr>
          <w:rStyle w:val="Fontdeparagrafimplicit1"/>
          <w:b/>
        </w:rPr>
        <w:t>Analiza instanţei de recurs</w:t>
      </w:r>
    </w:p>
    <w:p w14:paraId="6553CB6D" w14:textId="77777777" w:rsidR="004D279A" w:rsidRDefault="0040274E">
      <w:pPr>
        <w:ind w:firstLine="708"/>
        <w:jc w:val="both"/>
      </w:pPr>
      <w:r>
        <w:t>Analizând recursul prin prisma criticilor formulate şi în conformitate cu dispoziţiile art. 496 din Codul de procedură civilă, Curtea constată că acesta este fondat.</w:t>
      </w:r>
    </w:p>
    <w:p w14:paraId="5AAFF434" w14:textId="77777777" w:rsidR="004D279A" w:rsidRDefault="0040274E">
      <w:pPr>
        <w:ind w:firstLine="708"/>
        <w:jc w:val="both"/>
      </w:pPr>
      <w:r>
        <w:t xml:space="preserve">5.1. În concordanţă cu dispoziţiile art. 248 alin. (1) din Codul de procedură civilă, instanţa de fond s-a pronunţat mai întâi asupra excepţiei de fond a lipsei calităţii procesuale pasive, respingând-o în mod întemeiat. </w:t>
      </w:r>
    </w:p>
    <w:p w14:paraId="2B386667" w14:textId="77777777" w:rsidR="004D279A" w:rsidRDefault="0040274E">
      <w:pPr>
        <w:ind w:firstLine="708"/>
        <w:jc w:val="both"/>
      </w:pPr>
      <w:r>
        <w:t xml:space="preserve">Conform dispoziţiilor art. 36 din Codul de procedură civilă, calitatea procesuală rezultă din identitatea dintre părţi şi subiectele raportului juridic litigios, astfel cum acesta este dedus judecăţii. </w:t>
      </w:r>
    </w:p>
    <w:p w14:paraId="2DBD4C65" w14:textId="1C708370" w:rsidR="004D279A" w:rsidRDefault="0040274E">
      <w:pPr>
        <w:ind w:firstLine="708"/>
        <w:jc w:val="both"/>
      </w:pPr>
      <w:r>
        <w:t xml:space="preserve">Curtea constată că recurenta-pârâtă Administraţia Judeţeană a Finanţelor Publice </w:t>
      </w:r>
      <w:r w:rsidR="00794792">
        <w:t xml:space="preserve">              </w:t>
      </w:r>
      <w:r>
        <w:t xml:space="preserve"> este o autoritate publică, în sensul art. 2 alin. (1) lit. b) din legea nr. 554/2004, care a perceput taxa şi a emis actele administrativ-fiscale pentru perceperea acesteia, neavând relevanţă în privinţa răspunderii sale modul de utilizare ulterioară a sumelor de bani în stabilirea calităţii procesuale.</w:t>
      </w:r>
    </w:p>
    <w:p w14:paraId="52288366" w14:textId="51DA030A" w:rsidR="004D279A" w:rsidRDefault="0040274E">
      <w:pPr>
        <w:ind w:firstLine="708"/>
        <w:jc w:val="both"/>
      </w:pPr>
      <w:r>
        <w:t>În temeiul prevederilor art. 2 din Ordinul Ministerului Finanţelor Publice nr. 1899/2004, restituirea sumelor plătite ca si obligaţii fiscale, precum cele solicitate de reclamantă în prezenta cauză, se efectuează la cererea contribuabilului, în termen de 45 de zile de la data depunerii si înregistrării cererii acestuia la organul fiscal căruia îi revine competenta de administrare a creanţelor bugetare, potrivit art. 33 din O.G. nr. 92/2003, în speţă acesta fiind Administraţia ...</w:t>
      </w:r>
      <w:r>
        <w:t xml:space="preserve"> Finanţelor Publice </w:t>
      </w:r>
      <w:r w:rsidR="00794792">
        <w:t xml:space="preserve">                    </w:t>
      </w:r>
      <w:r>
        <w:t>.</w:t>
      </w:r>
    </w:p>
    <w:p w14:paraId="7745CF8C" w14:textId="68B3E089" w:rsidR="004D279A" w:rsidRDefault="0040274E">
      <w:pPr>
        <w:ind w:firstLine="708"/>
        <w:jc w:val="both"/>
        <w:rPr>
          <w:rStyle w:val="Fontdeparagrafimplicit1"/>
          <w:color w:val="000000"/>
        </w:rPr>
      </w:pPr>
      <w:r>
        <w:t xml:space="preserve">5.2. Totuşi, cu privire la fondul cauzei, raţionamentul expus în sentinţa atacată este viciat. Timbrul de mediu a cărui restituire a fost solicitată a fost achitat în vederea înmatriculării </w:t>
      </w:r>
      <w:r>
        <w:rPr>
          <w:rStyle w:val="Fontdeparagrafimplicit1"/>
          <w:color w:val="000000"/>
        </w:rPr>
        <w:t xml:space="preserve">unui autoturism dobândit în proprietate în anul 2012, de către reclamantul </w:t>
      </w:r>
      <w:r w:rsidR="00794792">
        <w:rPr>
          <w:rStyle w:val="Fontdeparagrafimplicit1"/>
          <w:color w:val="000000"/>
        </w:rPr>
        <w:t xml:space="preserve">3 </w:t>
      </w:r>
      <w:r>
        <w:rPr>
          <w:rStyle w:val="Fontdeparagrafimplicit1"/>
          <w:color w:val="000000"/>
        </w:rPr>
        <w:t xml:space="preserve"> de la </w:t>
      </w:r>
      <w:r w:rsidR="00794792">
        <w:rPr>
          <w:rStyle w:val="Fontdeparagrafimplicit1"/>
          <w:color w:val="000000"/>
        </w:rPr>
        <w:t xml:space="preserve">           </w:t>
      </w:r>
      <w:r>
        <w:rPr>
          <w:rStyle w:val="Fontdeparagrafimplicit1"/>
          <w:color w:val="000000"/>
        </w:rPr>
        <w:t xml:space="preserve"> SRL, astfel cum rezultă din contractul de vânzare-cumpărare pentru un vehicul folosit din 11.11.2012 – fila 8 din dosarul de fond.</w:t>
      </w:r>
    </w:p>
    <w:p w14:paraId="4C38127D" w14:textId="55257DD7" w:rsidR="004D279A" w:rsidRDefault="0040274E">
      <w:pPr>
        <w:ind w:firstLine="708"/>
        <w:jc w:val="both"/>
        <w:rPr>
          <w:rStyle w:val="Fontdeparagrafimplicit1"/>
        </w:rPr>
      </w:pPr>
      <w:r>
        <w:rPr>
          <w:rStyle w:val="Fontdeparagrafimplicit1"/>
          <w:color w:val="000000"/>
        </w:rPr>
        <w:t xml:space="preserve">Din cartea de identitate a vehiculului (fila 11 din dosarul de fond), reiese că autoturismul cu numărul de identificare </w:t>
      </w:r>
      <w:r w:rsidR="00794792">
        <w:rPr>
          <w:rStyle w:val="Fontdeparagrafimplicit1"/>
          <w:color w:val="000000"/>
        </w:rPr>
        <w:t xml:space="preserve">         </w:t>
      </w:r>
      <w:r>
        <w:rPr>
          <w:rStyle w:val="Fontdeparagrafimplicit1"/>
          <w:color w:val="000000"/>
        </w:rPr>
        <w:t xml:space="preserve"> a fost prima oară înmatriculat în România la data de 06.08.2007. Intimatul – reclamant nu a depus la dosar nicio dovadă din care să reiasă că prima înmatriculare a autovehiculului a fost într-un stat membru UE.</w:t>
      </w:r>
    </w:p>
    <w:p w14:paraId="1E2A1D27" w14:textId="77777777" w:rsidR="004D279A" w:rsidRDefault="0040274E">
      <w:pPr>
        <w:tabs>
          <w:tab w:val="left" w:pos="993"/>
        </w:tabs>
        <w:ind w:firstLine="709"/>
        <w:jc w:val="both"/>
        <w:rPr>
          <w:rStyle w:val="Fontdeparagrafimplicit1"/>
          <w:color w:val="000000"/>
        </w:rPr>
      </w:pPr>
      <w:r>
        <w:rPr>
          <w:rStyle w:val="Fontdeparagrafimplicit1"/>
          <w:color w:val="000000"/>
        </w:rPr>
        <w:t>Prin urmare, nu rezultă din dosar că timbrul de mediu ar fi fost achitat cu ocazia înscrierii în evidenţele autorităţii competente a dobândirii dreptului de proprietate asupra unui autovehicul de către primul proprietar din România. Dimpotrivă, din actele de la dosar se deduce că această taxă a fost achitată pentru înscrierea în evidenţele autorităţii competente a dobândirii dreptului de proprietate asupra unui autovehicul înmatriculat anterior în România și a cărui înmatriculare anterioară într-un stat mem</w:t>
      </w:r>
      <w:r>
        <w:rPr>
          <w:rStyle w:val="Fontdeparagrafimplicit1"/>
          <w:color w:val="000000"/>
        </w:rPr>
        <w:t>bru UE nu a fost probată.</w:t>
      </w:r>
    </w:p>
    <w:p w14:paraId="50AD2F8B" w14:textId="77777777" w:rsidR="004D279A" w:rsidRDefault="0040274E">
      <w:pPr>
        <w:tabs>
          <w:tab w:val="left" w:pos="993"/>
        </w:tabs>
        <w:ind w:firstLine="709"/>
        <w:jc w:val="both"/>
        <w:rPr>
          <w:rStyle w:val="Fontdeparagrafimplicit1"/>
          <w:color w:val="000000"/>
        </w:rPr>
      </w:pPr>
      <w:r>
        <w:rPr>
          <w:rStyle w:val="Fontdeparagrafimplicit1"/>
          <w:color w:val="000000"/>
        </w:rPr>
        <w:lastRenderedPageBreak/>
        <w:t xml:space="preserve">Solicitarea de restituire a sumei achitate cu titlu de timbru de mediu a fost întemeiată pe incompatibilitatea O.U.G. nr. 9/2013 cu art. 110 din </w:t>
      </w:r>
      <w:r>
        <w:t>Tratatul privind funcționarea Uniunii Europene (TFUE), incompatibilitate constatată prin Hotărârea Curții de Justiție a Uniunii Europene din data de 14 aprilie 2015, din cauza Manea, C-76/14.</w:t>
      </w:r>
    </w:p>
    <w:p w14:paraId="1F05C130" w14:textId="77777777" w:rsidR="004D279A" w:rsidRDefault="0040274E">
      <w:pPr>
        <w:tabs>
          <w:tab w:val="left" w:pos="993"/>
        </w:tabs>
        <w:ind w:firstLine="709"/>
        <w:jc w:val="both"/>
      </w:pPr>
      <w:r>
        <w:t>Potrivit art.</w:t>
      </w:r>
      <w:r>
        <w:rPr>
          <w:rStyle w:val="Fontdeparagrafimplicit1"/>
          <w:color w:val="000000"/>
        </w:rPr>
        <w:t xml:space="preserve">110 din </w:t>
      </w:r>
      <w:r>
        <w:t>TFUE, nici un stat membru nu aplică, direct sau indirect, produselor altor state membre impozite interne de orice natură mai mari decât cele care se aplică, direct sau indirect, produselor naționale similare. Potrivit jurisprudenței Curții de Justiție a Uniunii Europene, dispoziția din Tratat menționată are drept obiectiv asigurarea liberei circulații a mărfurilor între statele membre în condiții normale de concurență, vizând eliminarea oricărei forme de protecție care poate decurge din aplicarea un</w:t>
      </w:r>
      <w:r>
        <w:t>or impozite interne, în special a celor care sunt discriminatorii față de produse care provin din alte state membre; primul paragraf al articolului 110 TFUE interzice fiecărui stat membru să aplice produselor celorlalte state membre impozite interne mai mari decât cele care se aplică produselor naționale similare și vizează garantarea neutralității impozitelor interne față de concurența dintre produsele care se află deja pe piața internă și produsele importate (Hotărârea Comisia/Danemarca, C-47/88; Hotărâre</w:t>
      </w:r>
      <w:r>
        <w:t>a X, C-437/12).</w:t>
      </w:r>
    </w:p>
    <w:p w14:paraId="3AD1122C" w14:textId="77777777" w:rsidR="004D279A" w:rsidRDefault="0040274E">
      <w:pPr>
        <w:tabs>
          <w:tab w:val="left" w:pos="993"/>
        </w:tabs>
        <w:ind w:firstLine="709"/>
        <w:jc w:val="both"/>
      </w:pPr>
      <w:r>
        <w:t xml:space="preserve">Curtea constată că situația dedusă judecății are un caracter pur intern, nefiind dovedit în cauză că timbrul de mediu ar fi fost plătit cu ocazia primei înmatriculări în România a unui autoturism înmatriculat anterior într-o altă țară din Uniunea Europeană, ci cu ocazia unei a doua înmatriculări în România. Astfel cum s-a arătat anterior, din actele dosarului nu reiese că autoturismul ar fi fost vreodată înmatriculat în alt stat membru al Uniunii Europene. </w:t>
      </w:r>
    </w:p>
    <w:p w14:paraId="01B3039F" w14:textId="77777777" w:rsidR="004D279A" w:rsidRDefault="0040274E">
      <w:pPr>
        <w:tabs>
          <w:tab w:val="left" w:pos="993"/>
        </w:tabs>
        <w:ind w:firstLine="709"/>
        <w:jc w:val="both"/>
      </w:pPr>
      <w:r>
        <w:t>În conformitate cu jurisprudența Curții de Justiție a Uniunii Europene în materia taxelor aplicate produselor rulate provenite din alte state membre, „produsele altor state membre”, în sensul articolului 110 TFUE, sunt autovehiculele puse în vânzare în alte state membre decât statul membru</w:t>
      </w:r>
      <w:r>
        <w:rPr>
          <w:rStyle w:val="Fontdeparagrafimplicit1"/>
          <w:i/>
        </w:rPr>
        <w:t xml:space="preserve"> </w:t>
      </w:r>
      <w:r>
        <w:t>vizat și care pot, în cazul cumpărării de către un rezident al acestui din urmă stat, să fie importate și puse în circulație în acest stat, în timp ce autovehiculele similare naționale. Totodată. „produse naționale” în înţelesul aceluiaşi text normativ UE, sunt autovehiculele rulate de același tip, cu aceleași caracteristici și aceeași uzură care sunt puse în vânzare în acest stat membru</w:t>
      </w:r>
      <w:r>
        <w:rPr>
          <w:rStyle w:val="Fontdeparagrafimplicit1"/>
          <w:i/>
        </w:rPr>
        <w:t xml:space="preserve"> </w:t>
      </w:r>
      <w:r>
        <w:t>(Hotărârea Manea, C-76/14, EU:C:2015:216, punctul 31, Hotărârea Budișan, C-586/14, EU:C:2016:421, punctul 24).</w:t>
      </w:r>
    </w:p>
    <w:p w14:paraId="4B9E91E0" w14:textId="77777777" w:rsidR="004D279A" w:rsidRDefault="0040274E">
      <w:pPr>
        <w:tabs>
          <w:tab w:val="left" w:pos="993"/>
        </w:tabs>
        <w:ind w:firstLine="709"/>
        <w:jc w:val="both"/>
        <w:rPr>
          <w:rStyle w:val="Fontdeparagrafimplicit1"/>
          <w:color w:val="000000"/>
        </w:rPr>
      </w:pPr>
      <w:r>
        <w:rPr>
          <w:rStyle w:val="Fontdeparagrafimplicit1"/>
          <w:color w:val="000000"/>
        </w:rPr>
        <w:t xml:space="preserve">Atât Hotărârea pronunţată în cauza Budișan, C-586/14, EU:C:2016:421, cât și Hotărârea pronunţată în cauza Manea, C-76/14, EU:C:2015:216; Hotărârea pronunţată în cauza </w:t>
      </w:r>
      <w:r>
        <w:rPr>
          <w:rStyle w:val="Fontdeparagrafimplicit1"/>
          <w:b/>
          <w:color w:val="000000"/>
        </w:rPr>
        <w:t>X</w:t>
      </w:r>
      <w:r>
        <w:rPr>
          <w:rStyle w:val="Fontdeparagrafimplicit1"/>
          <w:color w:val="000000"/>
        </w:rPr>
        <w:t xml:space="preserve">, C-437/12, EU:C:2013:857, cât și art. 110 din TFUE se referă la interzicerea aplicării produselor altor state membre de impozite interne mai mari decât cele aplicate produselor naționale similare, nu la interzicerea impozitării produselor naționale similare. </w:t>
      </w:r>
    </w:p>
    <w:p w14:paraId="1D4F112D" w14:textId="77777777" w:rsidR="004D279A" w:rsidRDefault="0040274E">
      <w:pPr>
        <w:tabs>
          <w:tab w:val="left" w:pos="993"/>
        </w:tabs>
        <w:ind w:firstLine="709"/>
        <w:jc w:val="both"/>
        <w:rPr>
          <w:rStyle w:val="Fontdeparagrafimplicit1"/>
          <w:color w:val="000000"/>
        </w:rPr>
      </w:pPr>
      <w:r>
        <w:rPr>
          <w:rStyle w:val="Fontdeparagrafimplicit1"/>
          <w:color w:val="000000"/>
        </w:rPr>
        <w:t>Or, revenea intimatului-reclamant obligaţia de a dovedi, conform dispoziţiilor art. 129 alin. (1) din Codul de procedură civilă, faptul că autovehiculul ar fi fost cumpărat dintr-un stat membru, în care ar fi avut loc şi prima înmatriculare.</w:t>
      </w:r>
    </w:p>
    <w:p w14:paraId="7D52AACF" w14:textId="77777777" w:rsidR="004D279A" w:rsidRDefault="0040274E">
      <w:pPr>
        <w:tabs>
          <w:tab w:val="left" w:pos="993"/>
        </w:tabs>
        <w:ind w:firstLine="709"/>
        <w:jc w:val="both"/>
      </w:pPr>
      <w:r>
        <w:t>În lipsa acestei probe, contrar celor reținute de prima instanță, situația dedusă judecății nu relevă un caracter discriminatoriu al taxei impuse în considerarea înmatriculării în România a unui autoturism anterior înmatriculat și vândut într-o altă țară din Uniunea Europeană, ci priveşte o taxă plătită cu ocazia unei a doua înmatriculări în România, pentru un autovehicul pus în vânzare în România, mai precis o taxă aplicată unui produs național.</w:t>
      </w:r>
    </w:p>
    <w:p w14:paraId="676FC1A1" w14:textId="77777777" w:rsidR="004D279A" w:rsidRDefault="0040274E">
      <w:pPr>
        <w:tabs>
          <w:tab w:val="left" w:pos="993"/>
        </w:tabs>
        <w:ind w:firstLine="709"/>
        <w:jc w:val="both"/>
      </w:pPr>
      <w:r>
        <w:t xml:space="preserve">În consecință, Curtea concluzionează în sensul că prima instanță nu a făcut în cauză o corectă interpretare și aplicare a art. 110 din TFUE, fiind întemeiate criticile de nelegalitate subsumate motivului de casare prevăzut de art. 488 alin. (1) pct. 8 din Codul de procedură civilă și referitoare la soluția dată capătului principal de cerere privind restituirea sumei achitate cu titlu de timbru de mediu. </w:t>
      </w:r>
    </w:p>
    <w:p w14:paraId="45643633" w14:textId="77777777" w:rsidR="004D279A" w:rsidRDefault="0040274E">
      <w:pPr>
        <w:tabs>
          <w:tab w:val="left" w:pos="993"/>
        </w:tabs>
        <w:ind w:firstLine="709"/>
        <w:jc w:val="both"/>
      </w:pPr>
      <w:r>
        <w:t xml:space="preserve">Caracterul neîntemeiat al capătului principal de cerere impunea respingerea ca neîntemeiate și a capetelor accesorii de cerere referitoare la plata actualizării cu indicele de inflație, plata dobânzii fiscale și plata cheltuielilor de judecată, fără a se analiza fondul acestor din urmă capete de cerere. </w:t>
      </w:r>
    </w:p>
    <w:p w14:paraId="30800DE8" w14:textId="77777777" w:rsidR="004D279A" w:rsidRDefault="0040274E">
      <w:pPr>
        <w:ind w:firstLine="709"/>
        <w:jc w:val="both"/>
      </w:pPr>
      <w:r>
        <w:rPr>
          <w:rStyle w:val="Fontdeparagrafimplicit1"/>
          <w:color w:val="000000"/>
        </w:rPr>
        <w:t xml:space="preserve">În lumina tuturor celor menţionate anterior, în temeiul </w:t>
      </w:r>
      <w:r>
        <w:t xml:space="preserve">art. 496 alin. (1) și art. 494 raportat la art. 477 alin. (1) din Codul de procedură civilă, Curtea va admite recursul formulat, </w:t>
      </w:r>
      <w:r>
        <w:lastRenderedPageBreak/>
        <w:t>va casa sentinţa recurată şi, rejudecând, va respinge ca neîntemeiată atât cererea principală cât și cererea de chemare în garanție, soluția dată acestei din urmă cereri fiind dependentă de partea din hotărâre care a fost atacată.</w:t>
      </w:r>
    </w:p>
    <w:p w14:paraId="3BA24CC8" w14:textId="77777777" w:rsidR="004D279A" w:rsidRDefault="0040274E">
      <w:pPr>
        <w:ind w:firstLine="708"/>
        <w:jc w:val="both"/>
      </w:pPr>
      <w:r>
        <w:t xml:space="preserve">                       </w:t>
      </w:r>
    </w:p>
    <w:p w14:paraId="5C6863C7" w14:textId="77777777" w:rsidR="004D279A" w:rsidRDefault="004D279A">
      <w:pPr>
        <w:jc w:val="both"/>
      </w:pPr>
    </w:p>
    <w:p w14:paraId="2BC8C24E" w14:textId="77777777" w:rsidR="004D279A" w:rsidRDefault="0040274E">
      <w:pPr>
        <w:ind w:firstLine="708"/>
        <w:jc w:val="center"/>
      </w:pPr>
      <w:r>
        <w:t>PENTRU ACESTE MOTIVE</w:t>
      </w:r>
    </w:p>
    <w:p w14:paraId="4FD2EB39" w14:textId="77777777" w:rsidR="004D279A" w:rsidRDefault="0040274E">
      <w:pPr>
        <w:ind w:firstLine="708"/>
        <w:jc w:val="center"/>
      </w:pPr>
      <w:r>
        <w:t>ÎN NUMELE LEGII,</w:t>
      </w:r>
    </w:p>
    <w:p w14:paraId="6996CF15" w14:textId="77777777" w:rsidR="004D279A" w:rsidRDefault="0040274E">
      <w:pPr>
        <w:ind w:firstLine="708"/>
        <w:jc w:val="center"/>
      </w:pPr>
      <w:r>
        <w:t>DECIDE:</w:t>
      </w:r>
    </w:p>
    <w:p w14:paraId="59934F9D" w14:textId="77777777" w:rsidR="004D279A" w:rsidRDefault="004D279A">
      <w:pPr>
        <w:ind w:firstLine="708"/>
        <w:jc w:val="center"/>
      </w:pPr>
    </w:p>
    <w:p w14:paraId="036224F6" w14:textId="2DB3C7EA" w:rsidR="004D279A" w:rsidRDefault="0040274E">
      <w:pPr>
        <w:ind w:firstLine="708"/>
        <w:jc w:val="both"/>
      </w:pPr>
      <w:r>
        <w:t xml:space="preserve">Admite recursul formulat de recurenta-pârâtă DIRECŢIA GENERALĂ REGIONALĂ A FINANŢELOR PUBLICE </w:t>
      </w:r>
      <w:r w:rsidR="00794792">
        <w:t xml:space="preserve">              </w:t>
      </w:r>
      <w:r>
        <w:t xml:space="preserve">  în reprezentarea ADMINISTRAŢIEI JUDEŢENE A FINANŢELOR PUBLICE </w:t>
      </w:r>
      <w:r w:rsidR="00794792">
        <w:t xml:space="preserve">              </w:t>
      </w:r>
      <w:r>
        <w:t xml:space="preserve">, cu sediul în </w:t>
      </w:r>
      <w:r w:rsidR="00794792">
        <w:t xml:space="preserve">                    </w:t>
      </w:r>
      <w:r>
        <w:t xml:space="preserve">, Str. </w:t>
      </w:r>
      <w:r w:rsidR="00794792">
        <w:t xml:space="preserve"> </w:t>
      </w:r>
      <w:r>
        <w:t xml:space="preserve"> nr. </w:t>
      </w:r>
      <w:r w:rsidR="00794792">
        <w:t xml:space="preserve"> </w:t>
      </w:r>
      <w:r>
        <w:t xml:space="preserve">, </w:t>
      </w:r>
      <w:r w:rsidR="00794792">
        <w:t xml:space="preserve">                   </w:t>
      </w:r>
      <w:r>
        <w:t xml:space="preserve">,  împotriva sentinţei civile nr. </w:t>
      </w:r>
      <w:r w:rsidR="00794792">
        <w:t xml:space="preserve">2 </w:t>
      </w:r>
      <w:r>
        <w:t xml:space="preserve"> pronunţată de Tribunalul </w:t>
      </w:r>
      <w:r w:rsidR="00794792">
        <w:t xml:space="preserve">              </w:t>
      </w:r>
      <w:r>
        <w:t xml:space="preserve">– Secţia </w:t>
      </w:r>
      <w:r w:rsidR="00794792">
        <w:t xml:space="preserve"> </w:t>
      </w:r>
      <w:r>
        <w:t xml:space="preserve"> în dosarul nr. </w:t>
      </w:r>
      <w:r w:rsidR="00794792">
        <w:t xml:space="preserve">1 </w:t>
      </w:r>
      <w:r>
        <w:t xml:space="preserve"> în contradictoriu cu intimatul-reclamant </w:t>
      </w:r>
      <w:r w:rsidR="00794792">
        <w:t xml:space="preserve">3 </w:t>
      </w:r>
      <w:r>
        <w:t xml:space="preserve">, cu sediul ales în </w:t>
      </w:r>
      <w:r w:rsidR="00794792">
        <w:t xml:space="preserve">                    </w:t>
      </w:r>
      <w:r>
        <w:t xml:space="preserve">, </w:t>
      </w:r>
      <w:r w:rsidR="00794792">
        <w:t xml:space="preserve"> </w:t>
      </w:r>
      <w:r>
        <w:t xml:space="preserve"> nr. </w:t>
      </w:r>
      <w:r w:rsidR="00794792">
        <w:t xml:space="preserve"> </w:t>
      </w:r>
      <w:r>
        <w:t xml:space="preserve">, </w:t>
      </w:r>
      <w:r w:rsidR="00794792">
        <w:t xml:space="preserve"> </w:t>
      </w:r>
      <w:r>
        <w:t xml:space="preserve">, et. </w:t>
      </w:r>
      <w:r w:rsidR="00794792">
        <w:t xml:space="preserve"> </w:t>
      </w:r>
      <w:r>
        <w:t xml:space="preserve">, cam. </w:t>
      </w:r>
      <w:r w:rsidR="00794792">
        <w:t xml:space="preserve"> </w:t>
      </w:r>
      <w:r>
        <w:t xml:space="preserve">- </w:t>
      </w:r>
      <w:r w:rsidR="00794792">
        <w:t xml:space="preserve"> </w:t>
      </w:r>
      <w:r>
        <w:t xml:space="preserve">, </w:t>
      </w:r>
      <w:r w:rsidR="00794792">
        <w:t xml:space="preserve"> </w:t>
      </w:r>
      <w:r>
        <w:t xml:space="preserve"> şi intimata-chemată în garanţie ADMINISTRAŢIA FONDULUI PENTRU MEDIU, cu sediul în </w:t>
      </w:r>
      <w:r w:rsidR="00794792">
        <w:t xml:space="preserve">                    </w:t>
      </w:r>
      <w:r>
        <w:t xml:space="preserve">, </w:t>
      </w:r>
      <w:r w:rsidR="00794792">
        <w:t xml:space="preserve"> </w:t>
      </w:r>
      <w:r>
        <w:t xml:space="preserve"> nr. </w:t>
      </w:r>
      <w:r w:rsidR="00794792">
        <w:t xml:space="preserve"> </w:t>
      </w:r>
      <w:r>
        <w:t xml:space="preserve">, </w:t>
      </w:r>
      <w:r w:rsidR="00794792">
        <w:t xml:space="preserve"> </w:t>
      </w:r>
      <w:r>
        <w:t xml:space="preserve">, </w:t>
      </w:r>
      <w:r w:rsidR="00794792">
        <w:t xml:space="preserve"> </w:t>
      </w:r>
      <w:r>
        <w:t>.</w:t>
      </w:r>
    </w:p>
    <w:p w14:paraId="6730AC8F" w14:textId="77777777" w:rsidR="004D279A" w:rsidRDefault="0040274E">
      <w:pPr>
        <w:ind w:firstLine="708"/>
      </w:pPr>
      <w:r>
        <w:t xml:space="preserve">Casează în tot sentinţa civilă atacată şi, în consecinţă: </w:t>
      </w:r>
    </w:p>
    <w:p w14:paraId="5158D6D2" w14:textId="77777777" w:rsidR="004D279A" w:rsidRDefault="0040274E">
      <w:pPr>
        <w:ind w:firstLine="708"/>
      </w:pPr>
      <w:r>
        <w:t>Respinge acţiunea ca neîntemeiată.</w:t>
      </w:r>
    </w:p>
    <w:p w14:paraId="58360D34" w14:textId="77777777" w:rsidR="004D279A" w:rsidRDefault="0040274E">
      <w:pPr>
        <w:ind w:firstLine="708"/>
      </w:pPr>
      <w:r>
        <w:t>Definitivă.</w:t>
      </w:r>
    </w:p>
    <w:p w14:paraId="2CA578B5" w14:textId="2A4D1B12" w:rsidR="004D279A" w:rsidRDefault="0040274E">
      <w:pPr>
        <w:ind w:firstLine="708"/>
      </w:pPr>
      <w:r>
        <w:t xml:space="preserve">Pronunţată astăzi, </w:t>
      </w:r>
      <w:r w:rsidR="00794792">
        <w:t xml:space="preserve"> </w:t>
      </w:r>
      <w:r>
        <w:t>, prin punerea soluţiei la dispoziţia părţilor prin mijlocirea grefei.</w:t>
      </w:r>
    </w:p>
    <w:p w14:paraId="6314720C" w14:textId="77777777" w:rsidR="004D279A" w:rsidRDefault="004D279A">
      <w:pPr>
        <w:ind w:firstLine="708"/>
      </w:pPr>
    </w:p>
    <w:p w14:paraId="22681C57" w14:textId="77777777" w:rsidR="004D279A" w:rsidRDefault="0040274E">
      <w:pPr>
        <w:jc w:val="both"/>
        <w:rPr>
          <w:rStyle w:val="Fontdeparagrafimplicit1"/>
          <w:b/>
        </w:rPr>
      </w:pPr>
      <w:r>
        <w:rPr>
          <w:rStyle w:val="Fontdeparagrafimplicit1"/>
          <w:b/>
        </w:rPr>
        <w:t xml:space="preserve">       Preşedinte,</w:t>
      </w:r>
      <w:r>
        <w:rPr>
          <w:rStyle w:val="Fontdeparagrafimplicit1"/>
          <w:b/>
        </w:rPr>
        <w:tab/>
      </w:r>
      <w:r>
        <w:rPr>
          <w:rStyle w:val="Fontdeparagrafimplicit1"/>
          <w:b/>
        </w:rPr>
        <w:tab/>
      </w:r>
      <w:r>
        <w:rPr>
          <w:rStyle w:val="Fontdeparagrafimplicit1"/>
          <w:b/>
        </w:rPr>
        <w:tab/>
      </w:r>
      <w:r>
        <w:rPr>
          <w:rStyle w:val="Fontdeparagrafimplicit1"/>
          <w:b/>
        </w:rPr>
        <w:tab/>
        <w:t xml:space="preserve"> Judecător,</w:t>
      </w:r>
      <w:r>
        <w:rPr>
          <w:rStyle w:val="Fontdeparagrafimplicit1"/>
          <w:b/>
        </w:rPr>
        <w:tab/>
      </w:r>
      <w:r>
        <w:rPr>
          <w:rStyle w:val="Fontdeparagrafimplicit1"/>
          <w:b/>
        </w:rPr>
        <w:tab/>
      </w:r>
      <w:r>
        <w:rPr>
          <w:rStyle w:val="Fontdeparagrafimplicit1"/>
          <w:b/>
        </w:rPr>
        <w:tab/>
        <w:t xml:space="preserve">        Judecător, </w:t>
      </w:r>
    </w:p>
    <w:p w14:paraId="0F13F140" w14:textId="131A1B26" w:rsidR="004D279A" w:rsidRDefault="0040274E">
      <w:pPr>
        <w:jc w:val="both"/>
        <w:rPr>
          <w:rStyle w:val="Fontdeparagrafimplicit1"/>
          <w:b/>
        </w:rPr>
      </w:pPr>
      <w:r>
        <w:rPr>
          <w:rStyle w:val="Fontdeparagrafimplicit1"/>
          <w:b/>
        </w:rPr>
        <w:t xml:space="preserve">  </w:t>
      </w:r>
      <w:r w:rsidR="00794792">
        <w:rPr>
          <w:rStyle w:val="Fontdeparagrafimplicit1"/>
          <w:b/>
        </w:rPr>
        <w:t xml:space="preserve">A0008  </w:t>
      </w:r>
      <w:r>
        <w:rPr>
          <w:rStyle w:val="Fontdeparagrafimplicit1"/>
          <w:b/>
        </w:rPr>
        <w:tab/>
        <w:t xml:space="preserve">       </w:t>
      </w:r>
      <w:r w:rsidR="00794792">
        <w:rPr>
          <w:rStyle w:val="Fontdeparagrafimplicit1"/>
          <w:b/>
        </w:rPr>
        <w:t xml:space="preserve">               </w:t>
      </w:r>
      <w:r>
        <w:rPr>
          <w:rStyle w:val="Fontdeparagrafimplicit1"/>
          <w:b/>
        </w:rPr>
        <w:t xml:space="preserve"> </w:t>
      </w:r>
      <w:r>
        <w:rPr>
          <w:rStyle w:val="Fontdeparagrafimplicit1"/>
          <w:b/>
        </w:rPr>
        <w:tab/>
      </w:r>
      <w:r>
        <w:rPr>
          <w:rStyle w:val="Fontdeparagrafimplicit1"/>
          <w:b/>
        </w:rPr>
        <w:tab/>
      </w:r>
      <w:r w:rsidR="00794792">
        <w:rPr>
          <w:rStyle w:val="Fontdeparagrafimplicit1"/>
          <w:b/>
        </w:rPr>
        <w:t xml:space="preserve">               </w:t>
      </w:r>
    </w:p>
    <w:p w14:paraId="0B1AEE35" w14:textId="77777777" w:rsidR="004D279A" w:rsidRDefault="004D279A">
      <w:pPr>
        <w:jc w:val="both"/>
        <w:rPr>
          <w:rStyle w:val="Fontdeparagrafimplicit1"/>
          <w:b/>
        </w:rPr>
      </w:pPr>
    </w:p>
    <w:p w14:paraId="23312572" w14:textId="77777777" w:rsidR="004D279A" w:rsidRDefault="0040274E">
      <w:pPr>
        <w:jc w:val="both"/>
        <w:rPr>
          <w:rStyle w:val="Fontdeparagrafimplicit1"/>
          <w:b/>
        </w:rPr>
      </w:pPr>
      <w:r>
        <w:rPr>
          <w:rStyle w:val="Fontdeparagrafimplicit1"/>
          <w:b/>
        </w:rPr>
        <w:t xml:space="preserve">                                         </w:t>
      </w:r>
    </w:p>
    <w:p w14:paraId="2F76571D" w14:textId="77777777" w:rsidR="004D279A" w:rsidRDefault="0040274E">
      <w:pPr>
        <w:jc w:val="both"/>
        <w:rPr>
          <w:rStyle w:val="Fontdeparagrafimplicit1"/>
          <w:b/>
        </w:rPr>
      </w:pPr>
      <w:r>
        <w:rPr>
          <w:rStyle w:val="Fontdeparagrafimplicit1"/>
          <w:b/>
        </w:rPr>
        <w:t xml:space="preserve">                                                                               </w:t>
      </w:r>
      <w:r>
        <w:rPr>
          <w:rStyle w:val="Fontdeparagrafimplicit1"/>
          <w:b/>
        </w:rPr>
        <w:tab/>
        <w:t xml:space="preserve">                Grefier,</w:t>
      </w:r>
    </w:p>
    <w:p w14:paraId="69F8BF10" w14:textId="0BADAAF3" w:rsidR="004D279A" w:rsidRDefault="0040274E">
      <w:pPr>
        <w:jc w:val="both"/>
        <w:rPr>
          <w:rStyle w:val="Fontdeparagrafimplicit1"/>
          <w:b/>
        </w:rPr>
      </w:pP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r>
      <w:r>
        <w:rPr>
          <w:rStyle w:val="Fontdeparagrafimplicit1"/>
          <w:b/>
        </w:rPr>
        <w:tab/>
        <w:t xml:space="preserve">                        </w:t>
      </w:r>
      <w:r w:rsidR="00794792">
        <w:rPr>
          <w:rStyle w:val="Fontdeparagrafimplicit1"/>
          <w:b/>
        </w:rPr>
        <w:t xml:space="preserve">               </w:t>
      </w:r>
    </w:p>
    <w:p w14:paraId="06C6A640" w14:textId="77777777" w:rsidR="004D279A" w:rsidRDefault="004D279A">
      <w:pPr>
        <w:jc w:val="both"/>
        <w:rPr>
          <w:rStyle w:val="Fontdeparagrafimplicit1"/>
        </w:rPr>
      </w:pPr>
    </w:p>
    <w:p w14:paraId="0DE4AC23" w14:textId="77777777" w:rsidR="004D279A" w:rsidRDefault="004D279A">
      <w:pPr>
        <w:jc w:val="both"/>
        <w:rPr>
          <w:rStyle w:val="Fontdeparagrafimplicit1"/>
        </w:rPr>
      </w:pPr>
    </w:p>
    <w:p w14:paraId="18AC67C0" w14:textId="77777777" w:rsidR="004D279A" w:rsidRDefault="004D279A">
      <w:pPr>
        <w:jc w:val="both"/>
        <w:rPr>
          <w:rStyle w:val="Fontdeparagrafimplicit1"/>
        </w:rPr>
      </w:pPr>
    </w:p>
    <w:p w14:paraId="2914EA99" w14:textId="77777777" w:rsidR="004D279A" w:rsidRDefault="004D279A">
      <w:pPr>
        <w:jc w:val="center"/>
        <w:rPr>
          <w:rStyle w:val="Fontdeparagrafimplicit1"/>
        </w:rPr>
      </w:pPr>
    </w:p>
    <w:p w14:paraId="2278ABC0" w14:textId="77777777" w:rsidR="004D279A" w:rsidRDefault="004D279A">
      <w:pPr>
        <w:rPr>
          <w:rStyle w:val="Fontdeparagrafimplicit1"/>
        </w:rPr>
      </w:pPr>
    </w:p>
    <w:p w14:paraId="0A61B91F" w14:textId="6457F3F1" w:rsidR="004D279A" w:rsidRDefault="0040274E">
      <w:pPr>
        <w:jc w:val="both"/>
        <w:rPr>
          <w:rStyle w:val="Fontdeparagrafimplicit1"/>
          <w:sz w:val="16"/>
        </w:rPr>
      </w:pPr>
      <w:r>
        <w:rPr>
          <w:rStyle w:val="Fontdeparagrafimplicit1"/>
          <w:sz w:val="16"/>
        </w:rPr>
        <w:t xml:space="preserve">Red. jud. </w:t>
      </w:r>
      <w:r w:rsidR="00794792">
        <w:rPr>
          <w:rStyle w:val="Fontdeparagrafimplicit1"/>
          <w:sz w:val="16"/>
        </w:rPr>
        <w:t>A0008</w:t>
      </w:r>
      <w:r>
        <w:rPr>
          <w:rStyle w:val="Fontdeparagrafimplicit1"/>
          <w:sz w:val="16"/>
        </w:rPr>
        <w:t>/</w:t>
      </w:r>
      <w:r w:rsidR="00794792">
        <w:rPr>
          <w:rStyle w:val="Fontdeparagrafimplicit1"/>
          <w:sz w:val="16"/>
        </w:rPr>
        <w:t xml:space="preserve"> </w:t>
      </w:r>
      <w:r>
        <w:rPr>
          <w:rStyle w:val="Fontdeparagrafimplicit1"/>
          <w:sz w:val="16"/>
        </w:rPr>
        <w:t>/2 ex.</w:t>
      </w:r>
    </w:p>
    <w:p w14:paraId="6207A1F7" w14:textId="5A579BD7" w:rsidR="004D279A" w:rsidRDefault="0040274E">
      <w:pPr>
        <w:jc w:val="both"/>
        <w:rPr>
          <w:rStyle w:val="Fontdeparagrafimplicit1"/>
          <w:sz w:val="16"/>
        </w:rPr>
      </w:pPr>
      <w:r>
        <w:rPr>
          <w:rStyle w:val="Fontdeparagrafimplicit1"/>
          <w:sz w:val="16"/>
        </w:rPr>
        <w:t xml:space="preserve">Jud. fond: </w:t>
      </w:r>
      <w:r w:rsidR="00794792">
        <w:rPr>
          <w:rStyle w:val="Fontdeparagrafimplicit1"/>
          <w:sz w:val="16"/>
        </w:rPr>
        <w:t xml:space="preserve"> </w:t>
      </w:r>
      <w:r>
        <w:rPr>
          <w:rStyle w:val="Fontdeparagrafimplicit1"/>
          <w:sz w:val="16"/>
        </w:rPr>
        <w:t xml:space="preserve"> (</w:t>
      </w:r>
      <w:r w:rsidR="00794792">
        <w:rPr>
          <w:rStyle w:val="Fontdeparagrafimplicit1"/>
          <w:sz w:val="16"/>
        </w:rPr>
        <w:t xml:space="preserve"> </w:t>
      </w:r>
      <w:r>
        <w:rPr>
          <w:rStyle w:val="Fontdeparagrafimplicit1"/>
          <w:sz w:val="16"/>
        </w:rPr>
        <w:t xml:space="preserve">. </w:t>
      </w:r>
      <w:r w:rsidR="00794792">
        <w:rPr>
          <w:rStyle w:val="Fontdeparagrafimplicit1"/>
          <w:sz w:val="16"/>
        </w:rPr>
        <w:t xml:space="preserve">              </w:t>
      </w:r>
      <w:r>
        <w:rPr>
          <w:rStyle w:val="Fontdeparagrafimplicit1"/>
          <w:sz w:val="16"/>
        </w:rPr>
        <w:t xml:space="preserve"> – Secţia </w:t>
      </w:r>
      <w:r w:rsidR="00794792">
        <w:rPr>
          <w:rStyle w:val="Fontdeparagrafimplicit1"/>
          <w:sz w:val="16"/>
        </w:rPr>
        <w:t xml:space="preserve"> </w:t>
      </w:r>
      <w:r>
        <w:rPr>
          <w:rStyle w:val="Fontdeparagrafimplicit1"/>
          <w:sz w:val="16"/>
        </w:rPr>
        <w:t>)</w:t>
      </w:r>
    </w:p>
    <w:p w14:paraId="59DD7A6A" w14:textId="77777777" w:rsidR="004D279A" w:rsidRDefault="004D279A">
      <w:pPr>
        <w:rPr>
          <w:rStyle w:val="Fontdeparagrafimplicit1"/>
          <w:rFonts w:ascii="Garamond" w:hAnsi="Garamond"/>
          <w:sz w:val="16"/>
        </w:rPr>
      </w:pPr>
    </w:p>
    <w:sectPr w:rsidR="004D279A">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480448"/>
    <w:multiLevelType w:val="hybridMultilevel"/>
    <w:tmpl w:val="126C1568"/>
    <w:lvl w:ilvl="0" w:tplc="EB5CA9EC">
      <w:start w:val="5"/>
      <w:numFmt w:val="bullet"/>
      <w:lvlText w:val="-"/>
      <w:lvlJc w:val="left"/>
      <w:pPr>
        <w:ind w:left="1068" w:hanging="360"/>
      </w:pPr>
      <w:rPr>
        <w:rFonts w:ascii="Times New Roman" w:hAnsi="Times New Roman"/>
      </w:rPr>
    </w:lvl>
    <w:lvl w:ilvl="1" w:tplc="351A73B4">
      <w:start w:val="1"/>
      <w:numFmt w:val="bullet"/>
      <w:lvlText w:val="o"/>
      <w:lvlJc w:val="left"/>
      <w:pPr>
        <w:ind w:left="1788" w:hanging="360"/>
      </w:pPr>
      <w:rPr>
        <w:rFonts w:ascii="Courier New" w:hAnsi="Courier New"/>
      </w:rPr>
    </w:lvl>
    <w:lvl w:ilvl="2" w:tplc="5776B626">
      <w:start w:val="1"/>
      <w:numFmt w:val="bullet"/>
      <w:lvlText w:val=""/>
      <w:lvlJc w:val="left"/>
      <w:pPr>
        <w:ind w:left="2508" w:hanging="360"/>
      </w:pPr>
      <w:rPr>
        <w:rFonts w:ascii="Wingdings" w:hAnsi="Wingdings"/>
      </w:rPr>
    </w:lvl>
    <w:lvl w:ilvl="3" w:tplc="7FE4CE0C">
      <w:start w:val="1"/>
      <w:numFmt w:val="bullet"/>
      <w:lvlText w:val=""/>
      <w:lvlJc w:val="left"/>
      <w:pPr>
        <w:ind w:left="3228" w:hanging="360"/>
      </w:pPr>
      <w:rPr>
        <w:rFonts w:ascii="Symbol" w:hAnsi="Symbol"/>
      </w:rPr>
    </w:lvl>
    <w:lvl w:ilvl="4" w:tplc="38B6FECC">
      <w:start w:val="1"/>
      <w:numFmt w:val="bullet"/>
      <w:lvlText w:val="o"/>
      <w:lvlJc w:val="left"/>
      <w:pPr>
        <w:ind w:left="3948" w:hanging="360"/>
      </w:pPr>
      <w:rPr>
        <w:rFonts w:ascii="Courier New" w:hAnsi="Courier New"/>
      </w:rPr>
    </w:lvl>
    <w:lvl w:ilvl="5" w:tplc="65DE92A8">
      <w:start w:val="1"/>
      <w:numFmt w:val="bullet"/>
      <w:lvlText w:val=""/>
      <w:lvlJc w:val="left"/>
      <w:pPr>
        <w:ind w:left="4668" w:hanging="360"/>
      </w:pPr>
      <w:rPr>
        <w:rFonts w:ascii="Wingdings" w:hAnsi="Wingdings"/>
      </w:rPr>
    </w:lvl>
    <w:lvl w:ilvl="6" w:tplc="C3E0DFC6">
      <w:start w:val="1"/>
      <w:numFmt w:val="bullet"/>
      <w:lvlText w:val=""/>
      <w:lvlJc w:val="left"/>
      <w:pPr>
        <w:ind w:left="5388" w:hanging="360"/>
      </w:pPr>
      <w:rPr>
        <w:rFonts w:ascii="Symbol" w:hAnsi="Symbol"/>
      </w:rPr>
    </w:lvl>
    <w:lvl w:ilvl="7" w:tplc="350A2BFC">
      <w:start w:val="1"/>
      <w:numFmt w:val="bullet"/>
      <w:lvlText w:val="o"/>
      <w:lvlJc w:val="left"/>
      <w:pPr>
        <w:ind w:left="6108" w:hanging="360"/>
      </w:pPr>
      <w:rPr>
        <w:rFonts w:ascii="Courier New" w:hAnsi="Courier New"/>
      </w:rPr>
    </w:lvl>
    <w:lvl w:ilvl="8" w:tplc="DB88846A">
      <w:start w:val="1"/>
      <w:numFmt w:val="bullet"/>
      <w:lvlText w:val=""/>
      <w:lvlJc w:val="left"/>
      <w:pPr>
        <w:ind w:left="6828" w:hanging="360"/>
      </w:pPr>
      <w:rPr>
        <w:rFonts w:ascii="Wingdings" w:hAnsi="Wingdings"/>
      </w:rPr>
    </w:lvl>
  </w:abstractNum>
  <w:abstractNum w:abstractNumId="1" w15:restartNumberingAfterBreak="0">
    <w:nsid w:val="69A65FFC"/>
    <w:multiLevelType w:val="multilevel"/>
    <w:tmpl w:val="1C3817C6"/>
    <w:lvl w:ilvl="0">
      <w:start w:val="1"/>
      <w:numFmt w:val="decimal"/>
      <w:lvlText w:val="%1."/>
      <w:lvlJc w:val="left"/>
      <w:pPr>
        <w:ind w:left="786" w:hanging="360"/>
      </w:pPr>
    </w:lvl>
    <w:lvl w:ilvl="1">
      <w:start w:val="1"/>
      <w:numFmt w:val="decimal"/>
      <w:isLgl/>
      <w:lvlText w:val="%1.%2."/>
      <w:lvlJc w:val="left"/>
      <w:pPr>
        <w:ind w:left="1146" w:hanging="360"/>
      </w:pPr>
    </w:lvl>
    <w:lvl w:ilvl="2">
      <w:start w:val="1"/>
      <w:numFmt w:val="decimal"/>
      <w:isLgl/>
      <w:lvlText w:val="%1.%2.%3."/>
      <w:lvlJc w:val="left"/>
      <w:pPr>
        <w:ind w:left="1866" w:hanging="720"/>
      </w:pPr>
    </w:lvl>
    <w:lvl w:ilvl="3">
      <w:start w:val="1"/>
      <w:numFmt w:val="decimal"/>
      <w:isLgl/>
      <w:lvlText w:val="%1.%2.%3.%4."/>
      <w:lvlJc w:val="left"/>
      <w:pPr>
        <w:ind w:left="2226" w:hanging="720"/>
      </w:pPr>
    </w:lvl>
    <w:lvl w:ilvl="4">
      <w:start w:val="1"/>
      <w:numFmt w:val="decimal"/>
      <w:isLgl/>
      <w:lvlText w:val="%1.%2.%3.%4.%5."/>
      <w:lvlJc w:val="left"/>
      <w:pPr>
        <w:ind w:left="2946" w:hanging="1080"/>
      </w:pPr>
    </w:lvl>
    <w:lvl w:ilvl="5">
      <w:start w:val="1"/>
      <w:numFmt w:val="decimal"/>
      <w:isLgl/>
      <w:lvlText w:val="%1.%2.%3.%4.%5.%6."/>
      <w:lvlJc w:val="left"/>
      <w:pPr>
        <w:ind w:left="3306" w:hanging="1080"/>
      </w:pPr>
    </w:lvl>
    <w:lvl w:ilvl="6">
      <w:start w:val="1"/>
      <w:numFmt w:val="decimal"/>
      <w:isLgl/>
      <w:lvlText w:val="%1.%2.%3.%4.%5.%6.%7."/>
      <w:lvlJc w:val="left"/>
      <w:pPr>
        <w:ind w:left="4026" w:hanging="1440"/>
      </w:pPr>
    </w:lvl>
    <w:lvl w:ilvl="7">
      <w:start w:val="1"/>
      <w:numFmt w:val="decimal"/>
      <w:isLgl/>
      <w:lvlText w:val="%1.%2.%3.%4.%5.%6.%7.%8."/>
      <w:lvlJc w:val="left"/>
      <w:pPr>
        <w:ind w:left="4386" w:hanging="1440"/>
      </w:pPr>
    </w:lvl>
    <w:lvl w:ilvl="8">
      <w:start w:val="1"/>
      <w:numFmt w:val="decimal"/>
      <w:isLgl/>
      <w:lvlText w:val="%1.%2.%3.%4.%5.%6.%7.%8.%9."/>
      <w:lvlJc w:val="left"/>
      <w:pPr>
        <w:ind w:left="5106" w:hanging="1800"/>
      </w:pPr>
    </w:lvl>
  </w:abstractNum>
  <w:num w:numId="1" w16cid:durableId="47261993">
    <w:abstractNumId w:val="1"/>
  </w:num>
  <w:num w:numId="2" w16cid:durableId="6020310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425"/>
  <w:characterSpacingControl w:val="doNotCompress"/>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2918566&amp;id_departament=5&amp;id_sesiune=2522365&amp;id_user=659&amp;id_institutie=2&amp;actiune=modifica"/>
  </w:docVars>
  <w:rsids>
    <w:rsidRoot w:val="004D279A"/>
    <w:rsid w:val="0026273E"/>
    <w:rsid w:val="0040274E"/>
    <w:rsid w:val="004D279A"/>
    <w:rsid w:val="004E30C7"/>
    <w:rsid w:val="007947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C189B7"/>
  <w15:docId w15:val="{DEABEE2E-7760-4075-88FC-42E7190B2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Listparagraf1">
    <w:name w:val="Listă paragraf1"/>
    <w:basedOn w:val="Normal"/>
    <w:qFormat/>
    <w:pPr>
      <w:ind w:left="720"/>
      <w:contextualSpacing/>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5</Pages>
  <Words>2586</Words>
  <Characters>14999</Characters>
  <Application>Microsoft Office Word</Application>
  <DocSecurity>0</DocSecurity>
  <Lines>124</Lines>
  <Paragraphs>35</Paragraphs>
  <ScaleCrop>false</ScaleCrop>
  <Manager/>
  <Company/>
  <LinksUpToDate>false</LinksUpToDate>
  <CharactersWithSpaces>17550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2026-09-04T08:30:00Z</dcterms:created>
  <dcterms:modified xsi:type="dcterms:W3CDTF">2026-09-04T08:30:00Z</dcterms:modified>
  <cp:category/>
  <dc:identifier/>
  <cp:contentStatus/>
  <dc:language/>
  <cp:version/>
</cp:coreProperties>
</file>