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0565D" w:rsidRDefault="00C0565D" w14:paraId="03BD0593" w14:textId="408FBB35">
      <w:pPr>
        <w:rPr>
          <w:b/>
        </w:rPr>
      </w:pPr>
      <w:r>
        <w:rPr>
          <w:b/>
        </w:rPr>
        <w:t>Hot. 27</w:t>
      </w:r>
    </w:p>
    <w:p w:rsidR="00921813" w:rsidRDefault="00D33169" w14:paraId="6582961B" w14:textId="3E7AAFF4">
      <w:pPr>
        <w:rPr>
          <w:b/>
        </w:rPr>
      </w:pPr>
      <w:r>
        <w:rPr>
          <w:b/>
        </w:rPr>
        <w:t>R O M Â N I A</w:t>
      </w:r>
    </w:p>
    <w:p w:rsidR="00921813" w:rsidRDefault="00D33169" w14:paraId="5DC57508" w14:textId="7BD53C64">
      <w:pPr>
        <w:rPr>
          <w:b/>
        </w:rPr>
      </w:pPr>
      <w:r>
        <w:rPr>
          <w:b/>
        </w:rPr>
        <w:t xml:space="preserve">CURTEA DE APEL </w:t>
      </w:r>
      <w:r w:rsidR="00C0565D">
        <w:rPr>
          <w:b/>
        </w:rPr>
        <w:t>..............</w:t>
      </w:r>
    </w:p>
    <w:p w:rsidR="00921813" w:rsidRDefault="00D33169" w14:paraId="7B278AF8" w14:textId="47617905">
      <w:pPr>
        <w:rPr>
          <w:b/>
        </w:rPr>
      </w:pPr>
      <w:r>
        <w:rPr>
          <w:b/>
        </w:rPr>
        <w:t xml:space="preserve">SECŢIA </w:t>
      </w:r>
      <w:r w:rsidR="00C0565D">
        <w:rPr>
          <w:b/>
        </w:rPr>
        <w:t>.............</w:t>
      </w:r>
      <w:r>
        <w:rPr>
          <w:b/>
        </w:rPr>
        <w:t>, DE CONTENCIOS ADMINISTRATIV ŞI FISCAL</w:t>
      </w:r>
    </w:p>
    <w:p w:rsidR="00921813" w:rsidRDefault="00D33169" w14:paraId="370B4ED8" w14:textId="51BBEF65">
      <w:pPr>
        <w:rPr>
          <w:b/>
        </w:rPr>
      </w:pPr>
      <w:r>
        <w:rPr>
          <w:b/>
        </w:rPr>
        <w:t>Cod ECLI    ECLI:RO:</w:t>
      </w:r>
      <w:r w:rsidR="00C0565D">
        <w:rPr>
          <w:b/>
        </w:rPr>
        <w:t>.............................</w:t>
      </w:r>
    </w:p>
    <w:p w:rsidR="00921813" w:rsidRDefault="00D33169" w14:paraId="47DC8CF5" w14:textId="519FA674">
      <w:pPr>
        <w:rPr>
          <w:b/>
        </w:rPr>
      </w:pPr>
      <w:r>
        <w:rPr>
          <w:b/>
        </w:rPr>
        <w:t xml:space="preserve">Dosar nr. </w:t>
      </w:r>
      <w:r w:rsidR="00C0565D">
        <w:rPr>
          <w:b/>
        </w:rPr>
        <w:t>...../..../......</w:t>
      </w:r>
    </w:p>
    <w:p w:rsidR="00921813" w:rsidRDefault="00921813" w14:paraId="731880B2" w14:textId="77777777">
      <w:pPr>
        <w:rPr>
          <w:b/>
        </w:rPr>
      </w:pPr>
    </w:p>
    <w:p w:rsidR="00921813" w:rsidRDefault="00921813" w14:paraId="0E0E29DF" w14:textId="77777777">
      <w:pPr>
        <w:rPr>
          <w:b/>
        </w:rPr>
      </w:pPr>
    </w:p>
    <w:p w:rsidR="00921813" w:rsidRDefault="00921813" w14:paraId="50691791" w14:textId="77777777">
      <w:pPr>
        <w:jc w:val="center"/>
        <w:rPr>
          <w:b/>
          <w:lang w:val="en-US"/>
        </w:rPr>
      </w:pPr>
    </w:p>
    <w:p w:rsidR="00921813" w:rsidRDefault="00921813" w14:paraId="6ABA016C" w14:textId="77777777">
      <w:pPr>
        <w:rPr>
          <w:b/>
        </w:rPr>
      </w:pPr>
    </w:p>
    <w:p w:rsidR="00921813" w:rsidRDefault="00D33169" w14:paraId="7CD56DB6" w14:textId="1D820F80">
      <w:pPr>
        <w:jc w:val="center"/>
        <w:rPr>
          <w:b/>
        </w:rPr>
      </w:pPr>
      <w:r>
        <w:rPr>
          <w:b/>
        </w:rPr>
        <w:t xml:space="preserve">DECIZIA Nr. </w:t>
      </w:r>
      <w:r w:rsidR="00C0565D">
        <w:rPr>
          <w:b/>
        </w:rPr>
        <w:t>..../...</w:t>
      </w:r>
    </w:p>
    <w:p w:rsidR="00921813" w:rsidRDefault="00D33169" w14:paraId="22DEEB63" w14:textId="5BF8603B">
      <w:pPr>
        <w:jc w:val="center"/>
        <w:rPr>
          <w:b/>
        </w:rPr>
      </w:pPr>
      <w:proofErr w:type="spellStart"/>
      <w:r>
        <w:rPr>
          <w:b/>
        </w:rPr>
        <w:t>Şedinţa</w:t>
      </w:r>
      <w:proofErr w:type="spellEnd"/>
      <w:r>
        <w:rPr>
          <w:b/>
        </w:rPr>
        <w:t> </w:t>
      </w:r>
      <w:r>
        <w:rPr>
          <w:b/>
        </w:rPr>
      </w:r>
      <w:bookmarkStart w:name="tip_sedinta" w:id="0"/>
      <w:r>
        <w:rPr>
          <w:b/>
        </w:rPr>
      </w:r>
      <w:r>
        <w:rPr>
          <w:b/>
        </w:rPr>
      </w:r>
      <w:r>
        <w:rPr>
          <w:b/>
        </w:rPr>
        <w:t>publică</w:t>
      </w:r>
      <w:r>
        <w:rPr>
          <w:b/>
        </w:rPr>
      </w:r>
      <w:bookmarkEnd w:id="0"/>
      <w:r>
        <w:rPr>
          <w:b/>
        </w:rPr>
        <w:t xml:space="preserve"> din </w:t>
      </w:r>
      <w:r w:rsidR="00C0565D">
        <w:rPr>
          <w:b/>
        </w:rPr>
        <w:t>.............</w:t>
      </w:r>
      <w:r>
        <w:rPr>
          <w:b/>
        </w:rPr>
        <w:t xml:space="preserve"> </w:t>
      </w:r>
    </w:p>
    <w:p w:rsidR="00921813" w:rsidRDefault="00D33169" w14:paraId="5CF8E9A3" w14:textId="77777777">
      <w:pPr>
        <w:jc w:val="center"/>
        <w:rPr>
          <w:b/>
        </w:rPr>
      </w:pPr>
      <w:r>
        <w:rPr>
          <w:b/>
        </w:rPr>
        <w:t>Completul compus din:</w:t>
      </w:r>
    </w:p>
    <w:p w:rsidR="00921813" w:rsidRDefault="00D33169" w14:paraId="542806A7" w14:textId="6FAB3445">
      <w:pPr>
        <w:jc w:val="center"/>
        <w:rPr>
          <w:b/>
        </w:rPr>
      </w:pPr>
      <w:r>
        <w:rPr>
          <w:b/>
        </w:rPr>
        <w:t xml:space="preserve">PREŞEDINTE </w:t>
      </w:r>
      <w:r w:rsidR="00C0565D">
        <w:rPr>
          <w:b/>
        </w:rPr>
        <w:t>...............</w:t>
      </w:r>
    </w:p>
    <w:p w:rsidR="00921813" w:rsidRDefault="00D33169" w14:paraId="1E9418D9" w14:textId="487CB20D">
      <w:pPr>
        <w:jc w:val="center"/>
        <w:rPr>
          <w:b/>
        </w:rPr>
      </w:pPr>
      <w:r>
        <w:rPr>
          <w:b/>
        </w:rPr>
        <w:t xml:space="preserve">Judecător Dr. </w:t>
      </w:r>
      <w:r w:rsidR="00C0565D">
        <w:rPr>
          <w:b/>
        </w:rPr>
        <w:t>...............</w:t>
      </w:r>
    </w:p>
    <w:p w:rsidR="00921813" w:rsidRDefault="00D33169" w14:paraId="328A110D" w14:textId="44B9CF81">
      <w:pPr>
        <w:jc w:val="center"/>
        <w:rPr>
          <w:b/>
        </w:rPr>
      </w:pPr>
      <w:r>
        <w:rPr>
          <w:b/>
        </w:rPr>
        <w:t xml:space="preserve">Judecător </w:t>
      </w:r>
      <w:r w:rsidR="00C0565D">
        <w:rPr>
          <w:b/>
        </w:rPr>
        <w:t>A0015</w:t>
      </w:r>
    </w:p>
    <w:p w:rsidR="00921813" w:rsidRDefault="00D33169" w14:paraId="75BCFFDA" w14:textId="2ECCCBEE">
      <w:pPr>
        <w:jc w:val="center"/>
        <w:rPr>
          <w:b/>
        </w:rPr>
      </w:pPr>
      <w:r>
        <w:rPr>
          <w:b/>
        </w:rPr>
        <w:t xml:space="preserve">Grefier </w:t>
      </w:r>
      <w:r w:rsidR="00C0565D">
        <w:rPr>
          <w:b/>
        </w:rPr>
        <w:t>...............</w:t>
      </w:r>
    </w:p>
    <w:p w:rsidR="00921813" w:rsidRDefault="00921813" w14:paraId="6EB0501E" w14:textId="77777777">
      <w:pPr>
        <w:jc w:val="center"/>
        <w:rPr>
          <w:b/>
        </w:rPr>
      </w:pPr>
    </w:p>
    <w:p w:rsidR="00921813" w:rsidRDefault="00921813" w14:paraId="7CFE8DE6" w14:textId="77777777">
      <w:pPr>
        <w:jc w:val="center"/>
      </w:pPr>
    </w:p>
    <w:p w:rsidR="00921813" w:rsidRDefault="00D33169" w14:paraId="4C96AC43" w14:textId="537B2AFE">
      <w:pPr>
        <w:ind w:firstLine="708"/>
        <w:jc w:val="both"/>
      </w:pPr>
      <w:r>
        <w:t xml:space="preserve">Pe rol </w:t>
      </w:r>
      <w:proofErr w:type="spellStart"/>
      <w:r>
        <w:t>pronunţarea</w:t>
      </w:r>
      <w:proofErr w:type="spellEnd"/>
      <w:r>
        <w:t xml:space="preserve"> asupra recursului formulat de </w:t>
      </w:r>
      <w:r>
        <w:rPr>
          <w:b/>
        </w:rPr>
        <w:t xml:space="preserve">Societatea </w:t>
      </w:r>
      <w:r w:rsidR="00C0565D">
        <w:rPr>
          <w:b/>
        </w:rPr>
        <w:t>A</w:t>
      </w:r>
      <w:r>
        <w:rPr>
          <w:b/>
        </w:rPr>
        <w:t xml:space="preserve"> SRL</w:t>
      </w:r>
      <w:r>
        <w:t xml:space="preserve">, </w:t>
      </w:r>
      <w:r w:rsidR="00C0565D">
        <w:rPr>
          <w:b/>
        </w:rPr>
        <w:t>J.../...../.......</w:t>
      </w:r>
      <w:r>
        <w:rPr>
          <w:b/>
        </w:rPr>
        <w:t xml:space="preserve">, CUI </w:t>
      </w:r>
      <w:r w:rsidR="00C0565D">
        <w:rPr>
          <w:b/>
        </w:rPr>
        <w:t>...................</w:t>
      </w:r>
      <w:r>
        <w:t xml:space="preserve">, cu sediul în </w:t>
      </w:r>
      <w:r w:rsidR="00C0565D">
        <w:t>.............................</w:t>
      </w:r>
      <w:r>
        <w:t xml:space="preserve"> </w:t>
      </w:r>
      <w:proofErr w:type="spellStart"/>
      <w:r>
        <w:t>şi</w:t>
      </w:r>
      <w:proofErr w:type="spellEnd"/>
      <w:r>
        <w:t xml:space="preserve"> sediul procesual ales în </w:t>
      </w:r>
      <w:r w:rsidR="00C0565D">
        <w:t>.............................</w:t>
      </w:r>
      <w:r>
        <w:t xml:space="preserve">, împotriva </w:t>
      </w:r>
      <w:proofErr w:type="spellStart"/>
      <w:r>
        <w:t>Sentinţei</w:t>
      </w:r>
      <w:proofErr w:type="spellEnd"/>
      <w:r>
        <w:t xml:space="preserve"> nr.</w:t>
      </w:r>
      <w:r w:rsidR="00C0565D">
        <w:t>.......</w:t>
      </w:r>
      <w:r>
        <w:t xml:space="preserve"> din </w:t>
      </w:r>
      <w:r w:rsidR="00C0565D">
        <w:t>............</w:t>
      </w:r>
      <w:r>
        <w:t xml:space="preserve">, </w:t>
      </w:r>
      <w:proofErr w:type="spellStart"/>
      <w:r>
        <w:t>pronunţate</w:t>
      </w:r>
      <w:proofErr w:type="spellEnd"/>
      <w:r>
        <w:t xml:space="preserve"> de Tribunalul </w:t>
      </w:r>
      <w:r w:rsidR="00C0565D">
        <w:t>............</w:t>
      </w:r>
      <w:r>
        <w:t xml:space="preserve"> în dosarul nr. </w:t>
      </w:r>
      <w:r w:rsidR="00C0565D">
        <w:t>...../..../......</w:t>
      </w:r>
      <w:r>
        <w:t>.</w:t>
      </w:r>
    </w:p>
    <w:p w:rsidR="00921813" w:rsidRDefault="00D33169" w14:paraId="4B5B5BFC" w14:textId="77777777">
      <w:pPr>
        <w:ind w:firstLine="708"/>
        <w:jc w:val="both"/>
      </w:pPr>
      <w:r>
        <w:t xml:space="preserve">În lipsa </w:t>
      </w:r>
      <w:proofErr w:type="spellStart"/>
      <w:r>
        <w:t>părţilor</w:t>
      </w:r>
      <w:proofErr w:type="spellEnd"/>
      <w:r>
        <w:t>.</w:t>
      </w:r>
    </w:p>
    <w:p w:rsidR="00921813" w:rsidRDefault="00D33169" w14:paraId="0AE49DA1" w14:textId="55E2FC74">
      <w:pPr>
        <w:ind w:firstLine="708"/>
        <w:jc w:val="both"/>
      </w:pPr>
      <w:r>
        <w:t xml:space="preserve">Mersul dezbaterilor </w:t>
      </w:r>
      <w:proofErr w:type="spellStart"/>
      <w:r>
        <w:t>şi</w:t>
      </w:r>
      <w:proofErr w:type="spellEnd"/>
      <w:r>
        <w:t xml:space="preserve"> </w:t>
      </w:r>
      <w:proofErr w:type="spellStart"/>
      <w:r>
        <w:t>susţinerile</w:t>
      </w:r>
      <w:proofErr w:type="spellEnd"/>
      <w:r>
        <w:t xml:space="preserve"> </w:t>
      </w:r>
      <w:proofErr w:type="spellStart"/>
      <w:r>
        <w:t>părţilor</w:t>
      </w:r>
      <w:proofErr w:type="spellEnd"/>
      <w:r>
        <w:t xml:space="preserve"> prezente s-au consemnat în Încheierea </w:t>
      </w:r>
      <w:proofErr w:type="spellStart"/>
      <w:r>
        <w:t>Şedinţei</w:t>
      </w:r>
      <w:proofErr w:type="spellEnd"/>
      <w:r>
        <w:t xml:space="preserve"> publice din </w:t>
      </w:r>
      <w:r w:rsidR="00C0565D">
        <w:t>.......................</w:t>
      </w:r>
      <w:r>
        <w:t xml:space="preserve">, care face parte integrantă din prezenta, </w:t>
      </w:r>
      <w:proofErr w:type="spellStart"/>
      <w:r>
        <w:t>pronunţarea</w:t>
      </w:r>
      <w:proofErr w:type="spellEnd"/>
      <w:r>
        <w:t xml:space="preserve"> fiind amânată pentru data de </w:t>
      </w:r>
      <w:r w:rsidR="00C0565D">
        <w:t>.......................</w:t>
      </w:r>
      <w:r>
        <w:t xml:space="preserve">, apoi la </w:t>
      </w:r>
      <w:r w:rsidR="00C0565D">
        <w:t>...............</w:t>
      </w:r>
      <w:r>
        <w:t xml:space="preserve"> </w:t>
      </w:r>
      <w:proofErr w:type="spellStart"/>
      <w:r>
        <w:t>şi</w:t>
      </w:r>
      <w:proofErr w:type="spellEnd"/>
      <w:r>
        <w:t xml:space="preserve"> pentru data de azi, </w:t>
      </w:r>
      <w:r w:rsidR="00C0565D">
        <w:t>.....................</w:t>
      </w:r>
      <w:r>
        <w:t xml:space="preserve">. </w:t>
      </w:r>
    </w:p>
    <w:p w:rsidR="00921813" w:rsidRDefault="00D33169" w14:paraId="7F7FDD1C" w14:textId="77777777">
      <w:pPr>
        <w:ind w:firstLine="708"/>
        <w:jc w:val="both"/>
      </w:pPr>
      <w:r>
        <w:tab/>
      </w:r>
    </w:p>
    <w:p w:rsidR="00921813" w:rsidRDefault="00921813" w14:paraId="67528124" w14:textId="77777777">
      <w:pPr>
        <w:ind w:firstLine="708"/>
        <w:jc w:val="both"/>
      </w:pPr>
    </w:p>
    <w:p w:rsidR="00921813" w:rsidRDefault="00D33169" w14:paraId="63313996" w14:textId="77777777">
      <w:pPr>
        <w:ind w:firstLine="708"/>
        <w:jc w:val="center"/>
        <w:rPr>
          <w:b/>
        </w:rPr>
      </w:pPr>
      <w:r>
        <w:rPr>
          <w:b/>
        </w:rPr>
        <w:t>CURTEA DE APEL</w:t>
      </w:r>
    </w:p>
    <w:p w:rsidR="00921813" w:rsidRDefault="00921813" w14:paraId="727B24D4" w14:textId="77777777">
      <w:pPr>
        <w:ind w:firstLine="708"/>
        <w:jc w:val="center"/>
      </w:pPr>
    </w:p>
    <w:p w:rsidR="00921813" w:rsidRDefault="00921813" w14:paraId="7940C416" w14:textId="77777777">
      <w:pPr>
        <w:jc w:val="center"/>
      </w:pPr>
    </w:p>
    <w:p w:rsidRPr="00C0565D" w:rsidR="00921813" w:rsidRDefault="00D33169" w14:paraId="44AF6F8F" w14:textId="77777777">
      <w:pPr>
        <w:ind w:firstLine="709"/>
        <w:jc w:val="both"/>
      </w:pPr>
      <w:r w:rsidRPr="00C0565D">
        <w:t xml:space="preserve">Asupra recursului de </w:t>
      </w:r>
      <w:proofErr w:type="spellStart"/>
      <w:r w:rsidRPr="00C0565D">
        <w:t>faţă</w:t>
      </w:r>
      <w:proofErr w:type="spellEnd"/>
      <w:r w:rsidRPr="00C0565D">
        <w:t xml:space="preserve">; </w:t>
      </w:r>
    </w:p>
    <w:p w:rsidR="00921813" w:rsidRDefault="00D33169" w14:paraId="1957ACA0" w14:textId="18F113BF">
      <w:pPr>
        <w:ind w:firstLine="709"/>
        <w:jc w:val="both"/>
      </w:pPr>
      <w:r>
        <w:t xml:space="preserve">Prin </w:t>
      </w:r>
      <w:proofErr w:type="spellStart"/>
      <w:r>
        <w:t>Sentinţa</w:t>
      </w:r>
      <w:proofErr w:type="spellEnd"/>
      <w:r>
        <w:t xml:space="preserve"> nr. </w:t>
      </w:r>
      <w:r w:rsidR="00C0565D">
        <w:t>...... din ..............</w:t>
      </w:r>
      <w:r>
        <w:t xml:space="preserve"> </w:t>
      </w:r>
      <w:proofErr w:type="spellStart"/>
      <w:r>
        <w:t>pronunţată</w:t>
      </w:r>
      <w:proofErr w:type="spellEnd"/>
      <w:r>
        <w:t xml:space="preserve"> de Tribunalul </w:t>
      </w:r>
      <w:r w:rsidR="00C0565D">
        <w:t>............</w:t>
      </w:r>
      <w:r>
        <w:t xml:space="preserve">, </w:t>
      </w:r>
      <w:proofErr w:type="spellStart"/>
      <w:r>
        <w:t>Secţia</w:t>
      </w:r>
      <w:proofErr w:type="spellEnd"/>
      <w:r>
        <w:t xml:space="preserve"> Contencios Administrativ </w:t>
      </w:r>
      <w:proofErr w:type="spellStart"/>
      <w:r>
        <w:t>şi</w:t>
      </w:r>
      <w:proofErr w:type="spellEnd"/>
      <w:r>
        <w:t xml:space="preserve"> Fiscal, în dosarul nr. </w:t>
      </w:r>
      <w:r w:rsidR="00C0565D">
        <w:t>...../..../......</w:t>
      </w:r>
      <w:r>
        <w:t xml:space="preserve">, s-a respins </w:t>
      </w:r>
      <w:proofErr w:type="spellStart"/>
      <w:r>
        <w:t>acţiunea</w:t>
      </w:r>
      <w:proofErr w:type="spellEnd"/>
      <w:r>
        <w:t xml:space="preserve"> formulată de reclamanta </w:t>
      </w:r>
      <w:r w:rsidR="00C0565D">
        <w:t>A</w:t>
      </w:r>
      <w:r>
        <w:t xml:space="preserve"> S.R.L., în contradictoriu cu pârâtul Oficiul </w:t>
      </w:r>
      <w:proofErr w:type="spellStart"/>
      <w:r>
        <w:t>Naţional</w:t>
      </w:r>
      <w:proofErr w:type="spellEnd"/>
      <w:r>
        <w:t xml:space="preserve"> pentru Jocuri de Noroc. </w:t>
      </w:r>
    </w:p>
    <w:p w:rsidR="00921813" w:rsidRDefault="00D33169" w14:paraId="53862A46" w14:textId="127DB2AF">
      <w:pPr>
        <w:ind w:firstLine="709"/>
        <w:jc w:val="both"/>
      </w:pPr>
      <w:r>
        <w:t xml:space="preserve">Împotriva </w:t>
      </w:r>
      <w:proofErr w:type="spellStart"/>
      <w:r>
        <w:t>sentinţei</w:t>
      </w:r>
      <w:proofErr w:type="spellEnd"/>
      <w:r>
        <w:t xml:space="preserve"> </w:t>
      </w:r>
      <w:proofErr w:type="spellStart"/>
      <w:r>
        <w:t>menţionate</w:t>
      </w:r>
      <w:proofErr w:type="spellEnd"/>
      <w:r>
        <w:t xml:space="preserve">, în termenul prevăzut de lege, a formulat recurs reclamanta </w:t>
      </w:r>
      <w:r w:rsidR="00C0565D">
        <w:t>A</w:t>
      </w:r>
      <w:r>
        <w:t xml:space="preserve"> S.R.L., solicitând admiterea recursului, casarea hotărârii atacate, rejudecarea în fond </w:t>
      </w:r>
      <w:proofErr w:type="spellStart"/>
      <w:r>
        <w:t>şi</w:t>
      </w:r>
      <w:proofErr w:type="spellEnd"/>
      <w:r>
        <w:t xml:space="preserve"> admiterea cererii de chemare în judecată, </w:t>
      </w:r>
      <w:proofErr w:type="spellStart"/>
      <w:r>
        <w:t>aşa</w:t>
      </w:r>
      <w:proofErr w:type="spellEnd"/>
      <w:r>
        <w:t xml:space="preserve"> cum a fost formulată, </w:t>
      </w:r>
      <w:proofErr w:type="spellStart"/>
      <w:r>
        <w:t>şi</w:t>
      </w:r>
      <w:proofErr w:type="spellEnd"/>
      <w:r>
        <w:t xml:space="preserve"> în </w:t>
      </w:r>
      <w:proofErr w:type="spellStart"/>
      <w:r>
        <w:t>consecinţă</w:t>
      </w:r>
      <w:proofErr w:type="spellEnd"/>
      <w:r>
        <w:t xml:space="preserve">, obligarea pârâtului-intimat să </w:t>
      </w:r>
      <w:proofErr w:type="spellStart"/>
      <w:r>
        <w:t>soluţioneze</w:t>
      </w:r>
      <w:proofErr w:type="spellEnd"/>
      <w:r>
        <w:t xml:space="preserve"> </w:t>
      </w:r>
      <w:proofErr w:type="spellStart"/>
      <w:r>
        <w:t>contestaţiile</w:t>
      </w:r>
      <w:proofErr w:type="spellEnd"/>
      <w:r>
        <w:t xml:space="preserve"> formulate împotriva Deciziei privind taxa de viciu pentru jocurile de noroc tip </w:t>
      </w:r>
      <w:proofErr w:type="spellStart"/>
      <w:r>
        <w:t>slot-machine</w:t>
      </w:r>
      <w:proofErr w:type="spellEnd"/>
      <w:r>
        <w:t xml:space="preserve"> nr. </w:t>
      </w:r>
      <w:r w:rsidR="00C0565D">
        <w:t>....84/......2015</w:t>
      </w:r>
      <w:r>
        <w:t xml:space="preserve"> </w:t>
      </w:r>
      <w:proofErr w:type="spellStart"/>
      <w:r>
        <w:t>şi</w:t>
      </w:r>
      <w:proofErr w:type="spellEnd"/>
      <w:r>
        <w:t xml:space="preserve"> împotriva Deciziei nr. </w:t>
      </w:r>
      <w:r w:rsidR="00C0565D">
        <w:t>....65/......2015</w:t>
      </w:r>
      <w:r>
        <w:t xml:space="preserve"> pentru modificarea Deciziei nr. </w:t>
      </w:r>
      <w:r w:rsidR="00C0565D">
        <w:t>....84/......2015</w:t>
      </w:r>
      <w:r>
        <w:t xml:space="preserve">, prin decizie, în limitele sesizării, în conformitate cu prevederile art. 210 alin. 1 </w:t>
      </w:r>
      <w:proofErr w:type="spellStart"/>
      <w:r>
        <w:t>şi</w:t>
      </w:r>
      <w:proofErr w:type="spellEnd"/>
      <w:r>
        <w:t xml:space="preserve"> art. 213 alin. 1 din </w:t>
      </w:r>
      <w:proofErr w:type="spellStart"/>
      <w:r>
        <w:t>C.proc.fiscală</w:t>
      </w:r>
      <w:proofErr w:type="spellEnd"/>
      <w:r>
        <w:t xml:space="preserve">, respectiv dacă </w:t>
      </w:r>
      <w:proofErr w:type="spellStart"/>
      <w:r>
        <w:t>instanţa</w:t>
      </w:r>
      <w:proofErr w:type="spellEnd"/>
      <w:r>
        <w:t xml:space="preserve"> va considera că „răspunsul la </w:t>
      </w:r>
      <w:proofErr w:type="spellStart"/>
      <w:r>
        <w:t>contestaţie</w:t>
      </w:r>
      <w:proofErr w:type="spellEnd"/>
      <w:r>
        <w:t xml:space="preserve">” nr. </w:t>
      </w:r>
      <w:r w:rsidR="00C0565D">
        <w:t>....87/......2015</w:t>
      </w:r>
      <w:r>
        <w:t xml:space="preserve"> reprezintă o decizie de </w:t>
      </w:r>
      <w:proofErr w:type="spellStart"/>
      <w:r>
        <w:t>soluţionare</w:t>
      </w:r>
      <w:proofErr w:type="spellEnd"/>
      <w:r>
        <w:t xml:space="preserve"> a căii de atac administrative conform art. 210 </w:t>
      </w:r>
      <w:proofErr w:type="spellStart"/>
      <w:r>
        <w:t>şi</w:t>
      </w:r>
      <w:proofErr w:type="spellEnd"/>
      <w:r>
        <w:t xml:space="preserve"> 213 din </w:t>
      </w:r>
      <w:proofErr w:type="spellStart"/>
      <w:r>
        <w:t>C.proc.fiscală</w:t>
      </w:r>
      <w:proofErr w:type="spellEnd"/>
      <w:r>
        <w:t xml:space="preserve">, atunci solicită, anularea ca nelegal </w:t>
      </w:r>
      <w:proofErr w:type="spellStart"/>
      <w:r>
        <w:t>şi</w:t>
      </w:r>
      <w:proofErr w:type="spellEnd"/>
      <w:r>
        <w:t xml:space="preserve">, de asemenea, anularea deciziilor nr. </w:t>
      </w:r>
      <w:r w:rsidR="00C0565D">
        <w:t>...84</w:t>
      </w:r>
      <w:r>
        <w:t xml:space="preserve"> </w:t>
      </w:r>
      <w:proofErr w:type="spellStart"/>
      <w:r>
        <w:t>şi</w:t>
      </w:r>
      <w:proofErr w:type="spellEnd"/>
      <w:r>
        <w:t xml:space="preserve"> </w:t>
      </w:r>
      <w:r w:rsidR="00C0565D">
        <w:t>...65</w:t>
      </w:r>
      <w:r>
        <w:t xml:space="preserve"> din 2015, ca nelegale.  </w:t>
      </w:r>
    </w:p>
    <w:p w:rsidR="00921813" w:rsidRDefault="00D33169" w14:paraId="5D10A974" w14:textId="4A653452">
      <w:pPr>
        <w:ind w:firstLine="709"/>
        <w:jc w:val="both"/>
      </w:pPr>
      <w:r>
        <w:lastRenderedPageBreak/>
        <w:t xml:space="preserve">În motivarea recursului, recurenta-reclamantă a arătat că, </w:t>
      </w:r>
      <w:proofErr w:type="spellStart"/>
      <w:r>
        <w:t>Sentinţa</w:t>
      </w:r>
      <w:proofErr w:type="spellEnd"/>
      <w:r>
        <w:t xml:space="preserve"> nr. </w:t>
      </w:r>
      <w:r w:rsidR="00C0565D">
        <w:t>...../.........</w:t>
      </w:r>
      <w:r>
        <w:t xml:space="preserve"> a Tribunalului </w:t>
      </w:r>
      <w:r w:rsidR="00C0565D">
        <w:t>............</w:t>
      </w:r>
      <w:r>
        <w:t xml:space="preserve"> a fost dată cu încălcarea sau aplicarea </w:t>
      </w:r>
      <w:proofErr w:type="spellStart"/>
      <w:r>
        <w:t>greşită</w:t>
      </w:r>
      <w:proofErr w:type="spellEnd"/>
      <w:r>
        <w:t xml:space="preserve"> a normelor de drept material motiv de casare prevăzut de art. 488 alin. 1 pct. 8 </w:t>
      </w:r>
      <w:proofErr w:type="spellStart"/>
      <w:r>
        <w:t>C.proc.civ</w:t>
      </w:r>
      <w:proofErr w:type="spellEnd"/>
      <w:r>
        <w:t>.</w:t>
      </w:r>
    </w:p>
    <w:p w:rsidR="00921813" w:rsidRDefault="00D33169" w14:paraId="6341A1CD" w14:textId="6518D731">
      <w:pPr>
        <w:ind w:firstLine="709"/>
        <w:jc w:val="both"/>
      </w:pPr>
      <w:r>
        <w:t xml:space="preserve">Cu privire la primul capăt de cerere, recurenta-reclamantă a arătat că, </w:t>
      </w:r>
      <w:proofErr w:type="spellStart"/>
      <w:r>
        <w:t>soluţionând</w:t>
      </w:r>
      <w:proofErr w:type="spellEnd"/>
      <w:r>
        <w:t xml:space="preserve"> </w:t>
      </w:r>
      <w:proofErr w:type="spellStart"/>
      <w:r>
        <w:t>contestaţia</w:t>
      </w:r>
      <w:proofErr w:type="spellEnd"/>
      <w:r>
        <w:t xml:space="preserve">, O.N.J.N. a încălcat prevederile art. 210 alin. 1 din </w:t>
      </w:r>
      <w:proofErr w:type="spellStart"/>
      <w:r>
        <w:t>C.proc.fiscală</w:t>
      </w:r>
      <w:proofErr w:type="spellEnd"/>
      <w:r>
        <w:t xml:space="preserve">, </w:t>
      </w:r>
      <w:proofErr w:type="spellStart"/>
      <w:r>
        <w:t>nepronunţându</w:t>
      </w:r>
      <w:proofErr w:type="spellEnd"/>
      <w:r>
        <w:t xml:space="preserve">-se prin decizie, sau prin </w:t>
      </w:r>
      <w:proofErr w:type="spellStart"/>
      <w:r>
        <w:t>dispoziţie</w:t>
      </w:r>
      <w:proofErr w:type="spellEnd"/>
      <w:r>
        <w:t xml:space="preserve"> </w:t>
      </w:r>
      <w:proofErr w:type="spellStart"/>
      <w:r>
        <w:t>şi</w:t>
      </w:r>
      <w:proofErr w:type="spellEnd"/>
      <w:r>
        <w:t xml:space="preserve"> pentru acest motiv „răspunsul la </w:t>
      </w:r>
      <w:proofErr w:type="spellStart"/>
      <w:r>
        <w:t>contestaţie</w:t>
      </w:r>
      <w:proofErr w:type="spellEnd"/>
      <w:r>
        <w:t xml:space="preserve"> ” nr. </w:t>
      </w:r>
      <w:r w:rsidR="005270FB">
        <w:t>....87/2015</w:t>
      </w:r>
      <w:r>
        <w:t xml:space="preserve"> este nelegal.    </w:t>
      </w:r>
    </w:p>
    <w:p w:rsidR="00921813" w:rsidRDefault="00D33169" w14:paraId="67E92D6E" w14:textId="77777777">
      <w:pPr>
        <w:ind w:firstLine="709"/>
        <w:jc w:val="both"/>
      </w:pPr>
      <w:r>
        <w:t xml:space="preserve">În opinia recurentei-reclamante, O.N.J.N. a încălcat </w:t>
      </w:r>
      <w:proofErr w:type="spellStart"/>
      <w:r>
        <w:t>şi</w:t>
      </w:r>
      <w:proofErr w:type="spellEnd"/>
      <w:r>
        <w:t xml:space="preserve"> prevederile art. 213 alin. 1 din </w:t>
      </w:r>
      <w:proofErr w:type="spellStart"/>
      <w:r>
        <w:t>C.proc.fiscală</w:t>
      </w:r>
      <w:proofErr w:type="spellEnd"/>
      <w:r>
        <w:t xml:space="preserve">, pentru că, nu a </w:t>
      </w:r>
      <w:proofErr w:type="spellStart"/>
      <w:r>
        <w:t>soluţionat</w:t>
      </w:r>
      <w:proofErr w:type="spellEnd"/>
      <w:r>
        <w:t xml:space="preserve"> </w:t>
      </w:r>
      <w:proofErr w:type="spellStart"/>
      <w:r>
        <w:t>contestaţia</w:t>
      </w:r>
      <w:proofErr w:type="spellEnd"/>
      <w:r>
        <w:t xml:space="preserve"> în limitele sesizării, neanalizând-o în raport de </w:t>
      </w:r>
      <w:proofErr w:type="spellStart"/>
      <w:r>
        <w:t>susţinerile</w:t>
      </w:r>
      <w:proofErr w:type="spellEnd"/>
      <w:r>
        <w:t xml:space="preserve"> </w:t>
      </w:r>
      <w:proofErr w:type="spellStart"/>
      <w:r>
        <w:t>părţilor</w:t>
      </w:r>
      <w:proofErr w:type="spellEnd"/>
      <w:r>
        <w:t>.</w:t>
      </w:r>
    </w:p>
    <w:p w:rsidR="00921813" w:rsidRDefault="00D33169" w14:paraId="7780CDBE" w14:textId="5F3956DB">
      <w:pPr>
        <w:ind w:firstLine="709"/>
        <w:jc w:val="both"/>
      </w:pPr>
      <w:r>
        <w:t xml:space="preserve">În ceea ce </w:t>
      </w:r>
      <w:proofErr w:type="spellStart"/>
      <w:r>
        <w:t>priveşte</w:t>
      </w:r>
      <w:proofErr w:type="spellEnd"/>
      <w:r>
        <w:t xml:space="preserve"> cel de al doilea capăt al cererii de recurs, recurenta-reclamantă a invocat </w:t>
      </w:r>
      <w:proofErr w:type="spellStart"/>
      <w:r>
        <w:t>necompetenţa</w:t>
      </w:r>
      <w:proofErr w:type="spellEnd"/>
      <w:r>
        <w:t xml:space="preserve"> O.N.J.N. de a emite decizii referitoare la taxa de viciu, la data emiterii deciziilor nr. </w:t>
      </w:r>
      <w:r w:rsidR="00C0565D">
        <w:t>...84</w:t>
      </w:r>
      <w:r>
        <w:t xml:space="preserve"> </w:t>
      </w:r>
      <w:proofErr w:type="spellStart"/>
      <w:r>
        <w:t>şi</w:t>
      </w:r>
      <w:proofErr w:type="spellEnd"/>
      <w:r>
        <w:t xml:space="preserve"> </w:t>
      </w:r>
      <w:r w:rsidR="00C0565D">
        <w:t>...65</w:t>
      </w:r>
      <w:r>
        <w:t xml:space="preserve">/2015 era în vigoare Legea nr. 124/2015 (din 12.06.2015), care la art. II, alin. 4 prevedea „de la data intrării în vigoare a acestei legi, operatorii jocului tip </w:t>
      </w:r>
      <w:proofErr w:type="spellStart"/>
      <w:r>
        <w:t>slot-machine</w:t>
      </w:r>
      <w:proofErr w:type="spellEnd"/>
      <w:r>
        <w:t xml:space="preserve">, astfel cum este definit la art. 10 alin. 1, lit. e, pct. i </w:t>
      </w:r>
      <w:proofErr w:type="spellStart"/>
      <w:r>
        <w:t>şi</w:t>
      </w:r>
      <w:proofErr w:type="spellEnd"/>
      <w:r>
        <w:t xml:space="preserve"> iii din O.U.G. nr. 77/2009, aprobată cu modificări completările ulterioare, au </w:t>
      </w:r>
      <w:proofErr w:type="spellStart"/>
      <w:r>
        <w:t>obligaţia</w:t>
      </w:r>
      <w:proofErr w:type="spellEnd"/>
      <w:r>
        <w:t xml:space="preserve"> de a achita taxa de viciu în </w:t>
      </w:r>
      <w:proofErr w:type="spellStart"/>
      <w:r>
        <w:t>tranşe</w:t>
      </w:r>
      <w:proofErr w:type="spellEnd"/>
      <w:r>
        <w:t xml:space="preserve"> trimestriale, odată cu plata </w:t>
      </w:r>
      <w:proofErr w:type="spellStart"/>
      <w:r>
        <w:t>autorizaţiei</w:t>
      </w:r>
      <w:proofErr w:type="spellEnd"/>
      <w:r>
        <w:t xml:space="preserve"> .”   </w:t>
      </w:r>
    </w:p>
    <w:p w:rsidR="00921813" w:rsidRDefault="00D33169" w14:paraId="2361EABC" w14:textId="09C2043E">
      <w:pPr>
        <w:ind w:firstLine="709"/>
        <w:jc w:val="both"/>
      </w:pPr>
      <w:r>
        <w:t xml:space="preserve">Aparatele </w:t>
      </w:r>
      <w:proofErr w:type="spellStart"/>
      <w:r>
        <w:t>slot-machine</w:t>
      </w:r>
      <w:proofErr w:type="spellEnd"/>
      <w:r>
        <w:t xml:space="preserve"> pentru care s-au emis Deciziile nr. </w:t>
      </w:r>
      <w:r w:rsidR="00C0565D">
        <w:t>...84</w:t>
      </w:r>
      <w:r>
        <w:t xml:space="preserve"> </w:t>
      </w:r>
      <w:proofErr w:type="spellStart"/>
      <w:r>
        <w:t>şi</w:t>
      </w:r>
      <w:proofErr w:type="spellEnd"/>
      <w:r>
        <w:t xml:space="preserve"> </w:t>
      </w:r>
      <w:r w:rsidR="00C0565D">
        <w:t>...65</w:t>
      </w:r>
      <w:r>
        <w:t xml:space="preserve">/2015 au fost autorizate anterior intrării în vigoare a O.U.G. nr. 92/2014 </w:t>
      </w:r>
      <w:proofErr w:type="spellStart"/>
      <w:r>
        <w:t>şi</w:t>
      </w:r>
      <w:proofErr w:type="spellEnd"/>
      <w:r>
        <w:t xml:space="preserve"> Legii nr. 124/2015, </w:t>
      </w:r>
      <w:proofErr w:type="spellStart"/>
      <w:r>
        <w:t>aşadar</w:t>
      </w:r>
      <w:proofErr w:type="spellEnd"/>
      <w:r>
        <w:t>, n-au putut fi clasificate în vreuna dintre categoriile prevăzute de art. 10, alin. 1, lit. e, pct. 1 sau iii.</w:t>
      </w:r>
    </w:p>
    <w:p w:rsidR="00921813" w:rsidRDefault="00D33169" w14:paraId="7E76F9BF" w14:textId="77777777">
      <w:pPr>
        <w:ind w:firstLine="709"/>
        <w:jc w:val="both"/>
      </w:pPr>
      <w:r>
        <w:t xml:space="preserve">Legea nr. 124/2015 dispune numai pentru viitor, deci nici nu ar fi fost posibil să se facă o reclasificarea a aparatelor de tip </w:t>
      </w:r>
      <w:proofErr w:type="spellStart"/>
      <w:r>
        <w:t>slot-machine</w:t>
      </w:r>
      <w:proofErr w:type="spellEnd"/>
      <w:r>
        <w:t xml:space="preserve"> existente dinainte de intrarea ei în vigoare.</w:t>
      </w:r>
    </w:p>
    <w:p w:rsidR="00921813" w:rsidRDefault="00D33169" w14:paraId="35581138" w14:textId="77777777">
      <w:pPr>
        <w:ind w:firstLine="709"/>
        <w:jc w:val="both"/>
      </w:pPr>
      <w:r>
        <w:t xml:space="preserve">Art. 10 din O.U.G. nr. 77/2009, </w:t>
      </w:r>
      <w:proofErr w:type="spellStart"/>
      <w:r>
        <w:t>aşa</w:t>
      </w:r>
      <w:proofErr w:type="spellEnd"/>
      <w:r>
        <w:t xml:space="preserve"> cum a fost modificat prin O.U.G. nr. 92/2014 </w:t>
      </w:r>
      <w:proofErr w:type="spellStart"/>
      <w:r>
        <w:t>şi</w:t>
      </w:r>
      <w:proofErr w:type="spellEnd"/>
      <w:r>
        <w:t xml:space="preserve"> Legea nr. 124/2015 prevede că jocurile de tip </w:t>
      </w:r>
      <w:proofErr w:type="spellStart"/>
      <w:r>
        <w:t>slot-machine</w:t>
      </w:r>
      <w:proofErr w:type="spellEnd"/>
      <w:r>
        <w:t xml:space="preserve"> sunt de trei tipuri, dintre care numai cele definite la cpt. I </w:t>
      </w:r>
      <w:proofErr w:type="spellStart"/>
      <w:r>
        <w:t>şi</w:t>
      </w:r>
      <w:proofErr w:type="spellEnd"/>
      <w:r>
        <w:t xml:space="preserve"> iii sunt taxabile.</w:t>
      </w:r>
    </w:p>
    <w:p w:rsidR="00921813" w:rsidRDefault="00D33169" w14:paraId="0E995C80" w14:textId="77777777">
      <w:pPr>
        <w:ind w:firstLine="709"/>
        <w:jc w:val="both"/>
      </w:pPr>
      <w:r>
        <w:t xml:space="preserve">Cele de la pct. iii, sunt jocuri de video loterie, dar societatea nu a primit nicio </w:t>
      </w:r>
      <w:proofErr w:type="spellStart"/>
      <w:r>
        <w:t>autorizaţie</w:t>
      </w:r>
      <w:proofErr w:type="spellEnd"/>
      <w:r>
        <w:t xml:space="preserve"> pentru acest tip de jocuri iar cele de la pct. i, sunt „</w:t>
      </w:r>
      <w:proofErr w:type="spellStart"/>
      <w:r>
        <w:t>maşini</w:t>
      </w:r>
      <w:proofErr w:type="spellEnd"/>
      <w:r>
        <w:t xml:space="preserve">, utilaje </w:t>
      </w:r>
      <w:proofErr w:type="spellStart"/>
      <w:r>
        <w:t>şi</w:t>
      </w:r>
      <w:proofErr w:type="spellEnd"/>
      <w:r>
        <w:t xml:space="preserve"> </w:t>
      </w:r>
      <w:proofErr w:type="spellStart"/>
      <w:r>
        <w:t>instalaţii</w:t>
      </w:r>
      <w:proofErr w:type="spellEnd"/>
      <w:r>
        <w:t xml:space="preserve"> specifice, care vor fi operate în </w:t>
      </w:r>
      <w:proofErr w:type="spellStart"/>
      <w:r>
        <w:t>locaţii</w:t>
      </w:r>
      <w:proofErr w:type="spellEnd"/>
      <w:r>
        <w:t xml:space="preserve"> specializate, …iar </w:t>
      </w:r>
      <w:proofErr w:type="spellStart"/>
      <w:r>
        <w:t>câştigul</w:t>
      </w:r>
      <w:proofErr w:type="spellEnd"/>
      <w:r>
        <w:t xml:space="preserve"> este nelimitat </w:t>
      </w:r>
      <w:proofErr w:type="spellStart"/>
      <w:r>
        <w:t>şi</w:t>
      </w:r>
      <w:proofErr w:type="spellEnd"/>
      <w:r>
        <w:t xml:space="preserve"> depinde de hazard”.</w:t>
      </w:r>
    </w:p>
    <w:p w:rsidR="00921813" w:rsidRDefault="00D33169" w14:paraId="2C7E5518" w14:textId="159497DE">
      <w:pPr>
        <w:ind w:firstLine="709"/>
        <w:jc w:val="both"/>
      </w:pPr>
      <w:r>
        <w:t xml:space="preserve">Recurenta-reclamantă a mai arătat că, aparatele autorizate anterior Legii nr. 124/2015 nu se puteau încadra la pct. i sau iii, pentru simplul fapt că la data autorizării lor, clasificarea nu exista </w:t>
      </w:r>
      <w:proofErr w:type="spellStart"/>
      <w:r>
        <w:t>şi</w:t>
      </w:r>
      <w:proofErr w:type="spellEnd"/>
      <w:r>
        <w:t xml:space="preserve"> a invocat faptul că, Deciziile nr. </w:t>
      </w:r>
      <w:r w:rsidR="00C0565D">
        <w:t>...84</w:t>
      </w:r>
      <w:r>
        <w:t xml:space="preserve"> </w:t>
      </w:r>
      <w:proofErr w:type="spellStart"/>
      <w:r>
        <w:t>şi</w:t>
      </w:r>
      <w:proofErr w:type="spellEnd"/>
      <w:r>
        <w:t xml:space="preserve"> </w:t>
      </w:r>
      <w:r w:rsidR="00C0565D">
        <w:t>...65</w:t>
      </w:r>
      <w:r>
        <w:t xml:space="preserve">/2015 nu </w:t>
      </w:r>
      <w:proofErr w:type="spellStart"/>
      <w:r>
        <w:t>conţin</w:t>
      </w:r>
      <w:proofErr w:type="spellEnd"/>
      <w:r>
        <w:t xml:space="preserve"> nici un element care să facă posibilă identificarea bazei taxabile, sau modului de calcul al sumelor stabilite.</w:t>
      </w:r>
    </w:p>
    <w:p w:rsidR="00921813" w:rsidRDefault="00D33169" w14:paraId="05935536" w14:textId="77777777">
      <w:pPr>
        <w:ind w:firstLine="709"/>
        <w:jc w:val="both"/>
      </w:pPr>
      <w:r>
        <w:t xml:space="preserve">Recurenta-reclamantă a mai </w:t>
      </w:r>
      <w:proofErr w:type="spellStart"/>
      <w:r>
        <w:t>susţinut</w:t>
      </w:r>
      <w:proofErr w:type="spellEnd"/>
      <w:r>
        <w:t xml:space="preserve"> că, </w:t>
      </w:r>
      <w:proofErr w:type="spellStart"/>
      <w:r>
        <w:t>deţinea</w:t>
      </w:r>
      <w:proofErr w:type="spellEnd"/>
      <w:r>
        <w:t xml:space="preserve"> doar aparate de tip </w:t>
      </w:r>
      <w:proofErr w:type="spellStart"/>
      <w:r>
        <w:t>slot-machine</w:t>
      </w:r>
      <w:proofErr w:type="spellEnd"/>
      <w:r>
        <w:t xml:space="preserve"> netaxabile, pentru că, </w:t>
      </w:r>
      <w:proofErr w:type="spellStart"/>
      <w:r>
        <w:t>autorizaţiile</w:t>
      </w:r>
      <w:proofErr w:type="spellEnd"/>
      <w:r>
        <w:t xml:space="preserve"> au fost emise înainte de </w:t>
      </w:r>
      <w:proofErr w:type="spellStart"/>
      <w:r>
        <w:t>apariţia</w:t>
      </w:r>
      <w:proofErr w:type="spellEnd"/>
      <w:r>
        <w:t xml:space="preserve"> Legii nr. 124/2015 iar dacă a </w:t>
      </w:r>
      <w:proofErr w:type="spellStart"/>
      <w:r>
        <w:t>renunţat</w:t>
      </w:r>
      <w:proofErr w:type="spellEnd"/>
      <w:r>
        <w:t xml:space="preserve"> la termen sau nu, la activitate, acest lucru nu poate </w:t>
      </w:r>
      <w:proofErr w:type="spellStart"/>
      <w:r>
        <w:t>influenţa</w:t>
      </w:r>
      <w:proofErr w:type="spellEnd"/>
      <w:r>
        <w:t xml:space="preserve"> legalitatea sau nelegalitatea deciziilor atacate. </w:t>
      </w:r>
    </w:p>
    <w:p w:rsidR="00921813" w:rsidRDefault="00D33169" w14:paraId="0038A3C8" w14:textId="77777777">
      <w:pPr>
        <w:ind w:firstLine="709"/>
        <w:jc w:val="both"/>
      </w:pPr>
      <w:r>
        <w:t xml:space="preserve">În drept, au fost invocate prevederile art. 483 </w:t>
      </w:r>
      <w:proofErr w:type="spellStart"/>
      <w:r>
        <w:t>şi</w:t>
      </w:r>
      <w:proofErr w:type="spellEnd"/>
      <w:r>
        <w:t xml:space="preserve"> urm. din </w:t>
      </w:r>
      <w:proofErr w:type="spellStart"/>
      <w:r>
        <w:t>C.proc.civ</w:t>
      </w:r>
      <w:proofErr w:type="spellEnd"/>
      <w:r>
        <w:t xml:space="preserve">., precum </w:t>
      </w:r>
      <w:proofErr w:type="spellStart"/>
      <w:r>
        <w:t>şi</w:t>
      </w:r>
      <w:proofErr w:type="spellEnd"/>
      <w:r>
        <w:t xml:space="preserve"> toate prevederile legale indicate în cuprinsul motivării recursului. </w:t>
      </w:r>
    </w:p>
    <w:p w:rsidR="00921813" w:rsidRDefault="00D33169" w14:paraId="17EFD4C0" w14:textId="77777777">
      <w:pPr>
        <w:ind w:firstLine="709"/>
        <w:jc w:val="both"/>
      </w:pPr>
      <w:r>
        <w:t xml:space="preserve">Intimatul-pârât Oficiul </w:t>
      </w:r>
      <w:proofErr w:type="spellStart"/>
      <w:r>
        <w:t>Naţional</w:t>
      </w:r>
      <w:proofErr w:type="spellEnd"/>
      <w:r>
        <w:t xml:space="preserve"> pentru Jocuri de Noroc a formulat întâmpinare prin care a solicitat respingerea recursului ca nefondat </w:t>
      </w:r>
      <w:proofErr w:type="spellStart"/>
      <w:r>
        <w:t>şi</w:t>
      </w:r>
      <w:proofErr w:type="spellEnd"/>
      <w:r>
        <w:t xml:space="preserve"> </w:t>
      </w:r>
      <w:proofErr w:type="spellStart"/>
      <w:r>
        <w:t>menţinerea</w:t>
      </w:r>
      <w:proofErr w:type="spellEnd"/>
      <w:r>
        <w:t xml:space="preserve"> </w:t>
      </w:r>
      <w:proofErr w:type="spellStart"/>
      <w:r>
        <w:t>sentinţei</w:t>
      </w:r>
      <w:proofErr w:type="spellEnd"/>
      <w:r>
        <w:t xml:space="preserve"> </w:t>
      </w:r>
      <w:proofErr w:type="spellStart"/>
      <w:r>
        <w:t>recurate</w:t>
      </w:r>
      <w:proofErr w:type="spellEnd"/>
      <w:r>
        <w:t xml:space="preserve"> ca temeinică </w:t>
      </w:r>
      <w:proofErr w:type="spellStart"/>
      <w:r>
        <w:t>şi</w:t>
      </w:r>
      <w:proofErr w:type="spellEnd"/>
      <w:r>
        <w:t xml:space="preserve"> legală. </w:t>
      </w:r>
    </w:p>
    <w:p w:rsidR="00921813" w:rsidRDefault="00D33169" w14:paraId="66C179DA" w14:textId="4D332CE9">
      <w:pPr>
        <w:ind w:firstLine="709"/>
        <w:jc w:val="both"/>
      </w:pPr>
      <w:r>
        <w:t xml:space="preserve">În motivare, intimatul-pârât a arătat că, ca urmare a </w:t>
      </w:r>
      <w:proofErr w:type="spellStart"/>
      <w:r>
        <w:t>contestaţiei</w:t>
      </w:r>
      <w:proofErr w:type="spellEnd"/>
      <w:r>
        <w:t xml:space="preserve"> formulate de recurenta-reclamantă împotriva Deciziei nr. </w:t>
      </w:r>
      <w:r w:rsidR="00C0565D">
        <w:t>....84/......2015</w:t>
      </w:r>
      <w:r>
        <w:t xml:space="preserve"> a fost întocmit </w:t>
      </w:r>
      <w:proofErr w:type="spellStart"/>
      <w:r>
        <w:t>şi</w:t>
      </w:r>
      <w:proofErr w:type="spellEnd"/>
      <w:r>
        <w:t xml:space="preserve"> comunicat „răspunsul la </w:t>
      </w:r>
      <w:proofErr w:type="spellStart"/>
      <w:r>
        <w:t>contestaţie</w:t>
      </w:r>
      <w:proofErr w:type="spellEnd"/>
      <w:r>
        <w:t xml:space="preserve">”, care </w:t>
      </w:r>
      <w:proofErr w:type="spellStart"/>
      <w:r>
        <w:t>conţine</w:t>
      </w:r>
      <w:proofErr w:type="spellEnd"/>
      <w:r>
        <w:t xml:space="preserve"> toate elementele necesare prevăzute la art. 211 din </w:t>
      </w:r>
      <w:proofErr w:type="spellStart"/>
      <w:r>
        <w:t>C.proc.fiscală</w:t>
      </w:r>
      <w:proofErr w:type="spellEnd"/>
      <w:r>
        <w:t>.</w:t>
      </w:r>
    </w:p>
    <w:p w:rsidR="00921813" w:rsidRDefault="00D33169" w14:paraId="276C9FEE" w14:textId="77777777">
      <w:pPr>
        <w:ind w:firstLine="709"/>
        <w:jc w:val="both"/>
      </w:pPr>
      <w:r>
        <w:t xml:space="preserve">Prin </w:t>
      </w:r>
      <w:proofErr w:type="spellStart"/>
      <w:r>
        <w:t>dispoziţiile</w:t>
      </w:r>
      <w:proofErr w:type="spellEnd"/>
      <w:r>
        <w:t xml:space="preserve"> art. 1 alin. 1 ind. 1 </w:t>
      </w:r>
      <w:proofErr w:type="spellStart"/>
      <w:r>
        <w:t>şi</w:t>
      </w:r>
      <w:proofErr w:type="spellEnd"/>
      <w:r>
        <w:t xml:space="preserve"> art. 17 alin. 12 din O.G. nr. 77/2009, O.N.J.N. a primit </w:t>
      </w:r>
      <w:proofErr w:type="spellStart"/>
      <w:r>
        <w:t>competenţe</w:t>
      </w:r>
      <w:proofErr w:type="spellEnd"/>
      <w:r>
        <w:t xml:space="preserve"> depline asupra monopolului de stat al jocurilor de noroc. </w:t>
      </w:r>
      <w:proofErr w:type="spellStart"/>
      <w:r>
        <w:t>Dispoziţiile</w:t>
      </w:r>
      <w:proofErr w:type="spellEnd"/>
      <w:r>
        <w:t xml:space="preserve"> art. 110 alin. 3 </w:t>
      </w:r>
      <w:proofErr w:type="spellStart"/>
      <w:r>
        <w:t>C.proc.fiscală</w:t>
      </w:r>
      <w:proofErr w:type="spellEnd"/>
      <w:r>
        <w:t xml:space="preserve"> enumeră, cu titlu exemplificativ, mai multe categorii de titluri de </w:t>
      </w:r>
      <w:proofErr w:type="spellStart"/>
      <w:r>
        <w:t>creanţă</w:t>
      </w:r>
      <w:proofErr w:type="spellEnd"/>
      <w:r>
        <w:t>.</w:t>
      </w:r>
    </w:p>
    <w:p w:rsidR="00921813" w:rsidRDefault="00D33169" w14:paraId="0D40438F" w14:textId="77777777">
      <w:pPr>
        <w:ind w:firstLine="709"/>
        <w:jc w:val="both"/>
      </w:pPr>
      <w:r>
        <w:lastRenderedPageBreak/>
        <w:t xml:space="preserve">Prin reglementarea cuprinsă la art. II alin. 4 din Legea nr. 124/2015 s-a modificat doar momentul la care taxa urmează a fi achitată de operatorul economic </w:t>
      </w:r>
      <w:proofErr w:type="spellStart"/>
      <w:r>
        <w:t>şi</w:t>
      </w:r>
      <w:proofErr w:type="spellEnd"/>
      <w:r>
        <w:t xml:space="preserve"> anume odată cu plata taxelor de autorizare</w:t>
      </w:r>
    </w:p>
    <w:p w:rsidR="00921813" w:rsidRDefault="00D33169" w14:paraId="756C6D1C" w14:textId="77777777">
      <w:pPr>
        <w:ind w:firstLine="709"/>
        <w:jc w:val="both"/>
      </w:pPr>
      <w:r>
        <w:t xml:space="preserve">Intimatul-pârât a mai arătat că, prin actele normative adoptate s-a dat posibilitatea organizatorilor de jocuri de noroc să </w:t>
      </w:r>
      <w:proofErr w:type="spellStart"/>
      <w:r>
        <w:t>renunţe</w:t>
      </w:r>
      <w:proofErr w:type="spellEnd"/>
      <w:r>
        <w:t xml:space="preserve"> la activitatea </w:t>
      </w:r>
      <w:proofErr w:type="spellStart"/>
      <w:r>
        <w:t>desfăşurată</w:t>
      </w:r>
      <w:proofErr w:type="spellEnd"/>
      <w:r>
        <w:t xml:space="preserve">, dacă nu sunt de acord cu noile </w:t>
      </w:r>
      <w:proofErr w:type="spellStart"/>
      <w:r>
        <w:t>condiţii</w:t>
      </w:r>
      <w:proofErr w:type="spellEnd"/>
      <w:r>
        <w:t xml:space="preserve"> de autorizare </w:t>
      </w:r>
      <w:proofErr w:type="spellStart"/>
      <w:r>
        <w:t>şi</w:t>
      </w:r>
      <w:proofErr w:type="spellEnd"/>
      <w:r>
        <w:t xml:space="preserve"> </w:t>
      </w:r>
      <w:proofErr w:type="spellStart"/>
      <w:r>
        <w:t>licenţiere</w:t>
      </w:r>
      <w:proofErr w:type="spellEnd"/>
      <w:r>
        <w:t xml:space="preserve">, cu îndeplinirea cumulativă a </w:t>
      </w:r>
      <w:proofErr w:type="spellStart"/>
      <w:r>
        <w:t>condiţiilor</w:t>
      </w:r>
      <w:proofErr w:type="spellEnd"/>
      <w:r>
        <w:t xml:space="preserve"> impuse de actele normative .   </w:t>
      </w:r>
    </w:p>
    <w:p w:rsidR="00921813" w:rsidRDefault="00D33169" w14:paraId="5BA2B2CC" w14:textId="77777777">
      <w:pPr>
        <w:ind w:firstLine="709"/>
        <w:jc w:val="both"/>
      </w:pPr>
      <w:r>
        <w:t xml:space="preserve">Prin urmare, organizatorii de jocuri de noroc au luat </w:t>
      </w:r>
      <w:proofErr w:type="spellStart"/>
      <w:r>
        <w:t>cunoştinţă</w:t>
      </w:r>
      <w:proofErr w:type="spellEnd"/>
      <w:r>
        <w:t xml:space="preserve"> de </w:t>
      </w:r>
      <w:proofErr w:type="spellStart"/>
      <w:r>
        <w:t>obligaţia</w:t>
      </w:r>
      <w:proofErr w:type="spellEnd"/>
      <w:r>
        <w:t xml:space="preserve"> </w:t>
      </w:r>
      <w:proofErr w:type="spellStart"/>
      <w:r>
        <w:t>plăţii</w:t>
      </w:r>
      <w:proofErr w:type="spellEnd"/>
      <w:r>
        <w:t xml:space="preserve"> taxei de viciu începând cu data de 29.12.2014, dată când a fost publicată O.U.G. nr. 92/2014, în </w:t>
      </w:r>
      <w:proofErr w:type="spellStart"/>
      <w:r>
        <w:t>conţinutul</w:t>
      </w:r>
      <w:proofErr w:type="spellEnd"/>
      <w:r>
        <w:t xml:space="preserve"> căreia se prevedea plata taxei de viciu începând cu luna februarie a anului 2015, </w:t>
      </w:r>
      <w:proofErr w:type="spellStart"/>
      <w:r>
        <w:t>aceştia</w:t>
      </w:r>
      <w:proofErr w:type="spellEnd"/>
      <w:r>
        <w:t xml:space="preserve"> având posibilitatea conform textului de lege </w:t>
      </w:r>
      <w:proofErr w:type="spellStart"/>
      <w:r>
        <w:t>menţionat</w:t>
      </w:r>
      <w:proofErr w:type="spellEnd"/>
      <w:r>
        <w:t xml:space="preserve">, să </w:t>
      </w:r>
      <w:proofErr w:type="spellStart"/>
      <w:r>
        <w:t>renunţe</w:t>
      </w:r>
      <w:proofErr w:type="spellEnd"/>
      <w:r>
        <w:t xml:space="preserve"> la această activitate dacă nu sunt de acord cu noile </w:t>
      </w:r>
      <w:proofErr w:type="spellStart"/>
      <w:r>
        <w:t>condiţii</w:t>
      </w:r>
      <w:proofErr w:type="spellEnd"/>
      <w:r>
        <w:t xml:space="preserve"> de autorizare </w:t>
      </w:r>
      <w:proofErr w:type="spellStart"/>
      <w:r>
        <w:t>şi</w:t>
      </w:r>
      <w:proofErr w:type="spellEnd"/>
      <w:r>
        <w:t xml:space="preserve"> </w:t>
      </w:r>
      <w:proofErr w:type="spellStart"/>
      <w:r>
        <w:t>licenţiere</w:t>
      </w:r>
      <w:proofErr w:type="spellEnd"/>
      <w:r>
        <w:t>.</w:t>
      </w:r>
    </w:p>
    <w:p w:rsidR="00921813" w:rsidRDefault="00D33169" w14:paraId="0BB21E0B" w14:textId="77777777">
      <w:pPr>
        <w:ind w:firstLine="709"/>
        <w:jc w:val="both"/>
      </w:pPr>
      <w:r>
        <w:t xml:space="preserve">Pe de altă parte, taxa de viciu a fost introdusă printr-o </w:t>
      </w:r>
      <w:proofErr w:type="spellStart"/>
      <w:r>
        <w:t>ordonanţă</w:t>
      </w:r>
      <w:proofErr w:type="spellEnd"/>
      <w:r>
        <w:t xml:space="preserve"> de </w:t>
      </w:r>
      <w:proofErr w:type="spellStart"/>
      <w:r>
        <w:t>urgenţă</w:t>
      </w:r>
      <w:proofErr w:type="spellEnd"/>
      <w:r>
        <w:t xml:space="preserve"> aprobată prin lege, iar acest act normativ reprezintă o lege specială, ulterioară adoptării Codului de procedură fiscală, care nu intră în conflict cu acesta din urmă, ci instituie o taxă specială reglementată ulterior adoptării Codului de procedură fiscală.</w:t>
      </w:r>
    </w:p>
    <w:p w:rsidR="00921813" w:rsidRDefault="00D33169" w14:paraId="4B374EFB" w14:textId="77777777">
      <w:pPr>
        <w:ind w:firstLine="709"/>
        <w:jc w:val="both"/>
      </w:pPr>
      <w:r>
        <w:t xml:space="preserve">Taxa de viciu are o reglementare legală, fiind datorată începând cu data de 13.02.2015, ceea ce s-a modificat prin Legea nr. 124/2015 fiind doar data de efectuare a </w:t>
      </w:r>
      <w:proofErr w:type="spellStart"/>
      <w:r>
        <w:t>plăţilor</w:t>
      </w:r>
      <w:proofErr w:type="spellEnd"/>
      <w:r>
        <w:t xml:space="preserve">, respectiv trimestrial, odată cu taxa de autorizare </w:t>
      </w:r>
      <w:proofErr w:type="spellStart"/>
      <w:r>
        <w:t>şi</w:t>
      </w:r>
      <w:proofErr w:type="spellEnd"/>
      <w:r>
        <w:t xml:space="preserve"> nu anticipat odată cu taxa de </w:t>
      </w:r>
      <w:proofErr w:type="spellStart"/>
      <w:r>
        <w:t>licenţă</w:t>
      </w:r>
      <w:proofErr w:type="spellEnd"/>
      <w:r>
        <w:t xml:space="preserve"> </w:t>
      </w:r>
      <w:proofErr w:type="spellStart"/>
      <w:r>
        <w:t>aşa</w:t>
      </w:r>
      <w:proofErr w:type="spellEnd"/>
      <w:r>
        <w:t xml:space="preserve"> cum s-a prevăzut în O.U.G. nr. 92/2014.</w:t>
      </w:r>
    </w:p>
    <w:p w:rsidR="00921813" w:rsidRDefault="00D33169" w14:paraId="23DDDBDC" w14:textId="49A2F915">
      <w:pPr>
        <w:ind w:firstLine="709"/>
        <w:jc w:val="both"/>
      </w:pPr>
      <w:r>
        <w:t xml:space="preserve">Prin Decizia nr. </w:t>
      </w:r>
      <w:r w:rsidR="00C0565D">
        <w:t>....84/......2015</w:t>
      </w:r>
      <w:r>
        <w:t xml:space="preserve"> s-a stabilit în sarcina recurentei-reclamante </w:t>
      </w:r>
      <w:proofErr w:type="spellStart"/>
      <w:r>
        <w:t>obligaţia</w:t>
      </w:r>
      <w:proofErr w:type="spellEnd"/>
      <w:r>
        <w:t xml:space="preserve"> </w:t>
      </w:r>
      <w:proofErr w:type="spellStart"/>
      <w:r>
        <w:t>plăţii</w:t>
      </w:r>
      <w:proofErr w:type="spellEnd"/>
      <w:r>
        <w:t xml:space="preserve"> taxei de viciu în suma totală de 72.324 lei, aferentă exploatării mijloacelor de joc tip </w:t>
      </w:r>
      <w:proofErr w:type="spellStart"/>
      <w:r>
        <w:t>slot-machine</w:t>
      </w:r>
      <w:proofErr w:type="spellEnd"/>
      <w:r>
        <w:t xml:space="preserve"> ce aveau </w:t>
      </w:r>
      <w:proofErr w:type="spellStart"/>
      <w:r>
        <w:t>autorizaţii</w:t>
      </w:r>
      <w:proofErr w:type="spellEnd"/>
      <w:r>
        <w:t xml:space="preserve"> valabile în perioada februarie 2015 - martie 2016 conform </w:t>
      </w:r>
      <w:proofErr w:type="spellStart"/>
      <w:r>
        <w:t>modalităţii</w:t>
      </w:r>
      <w:proofErr w:type="spellEnd"/>
      <w:r>
        <w:t xml:space="preserve"> de calcul depus la dosarul cauzei.</w:t>
      </w:r>
    </w:p>
    <w:p w:rsidR="00921813" w:rsidRDefault="00D33169" w14:paraId="11485740" w14:textId="332B7B55">
      <w:pPr>
        <w:ind w:firstLine="709"/>
        <w:jc w:val="both"/>
      </w:pPr>
      <w:r>
        <w:t xml:space="preserve">Decizia nr. </w:t>
      </w:r>
      <w:r w:rsidR="00C0565D">
        <w:t>....84/......2015</w:t>
      </w:r>
      <w:r>
        <w:t xml:space="preserve"> a fost modificată prin Decizia nr. </w:t>
      </w:r>
      <w:r w:rsidR="00C0565D">
        <w:t>....65/......2015</w:t>
      </w:r>
      <w:r>
        <w:t xml:space="preserve"> (îndreptare eroare materială privind cuantumul taxei de viciu aferent lunii februarie 2015), suma de achitat, în total fiind de 69.048 lei în loc de 72.324 lei, cât se stabilise </w:t>
      </w:r>
      <w:proofErr w:type="spellStart"/>
      <w:r>
        <w:t>iniţial</w:t>
      </w:r>
      <w:proofErr w:type="spellEnd"/>
      <w:r>
        <w:t xml:space="preserve">. În aceste </w:t>
      </w:r>
      <w:proofErr w:type="spellStart"/>
      <w:r>
        <w:t>condiţii</w:t>
      </w:r>
      <w:proofErr w:type="spellEnd"/>
      <w:r>
        <w:t xml:space="preserve">, recurenta nu poate </w:t>
      </w:r>
      <w:proofErr w:type="spellStart"/>
      <w:r>
        <w:t>susţine</w:t>
      </w:r>
      <w:proofErr w:type="spellEnd"/>
      <w:r>
        <w:t xml:space="preserve"> că, nu </w:t>
      </w:r>
      <w:proofErr w:type="spellStart"/>
      <w:r>
        <w:t>cunoaşte</w:t>
      </w:r>
      <w:proofErr w:type="spellEnd"/>
      <w:r>
        <w:t xml:space="preserve"> elementele în baza cărora s-a stabilit taxa de viciu.     </w:t>
      </w:r>
    </w:p>
    <w:p w:rsidR="00921813" w:rsidRDefault="00D33169" w14:paraId="1F47DAF0" w14:textId="77777777">
      <w:pPr>
        <w:ind w:firstLine="709"/>
        <w:jc w:val="both"/>
        <w:rPr>
          <w:b/>
          <w:i/>
        </w:rPr>
      </w:pPr>
      <w:r>
        <w:rPr>
          <w:b/>
          <w:i/>
        </w:rPr>
        <w:t xml:space="preserve">Analizând actele </w:t>
      </w:r>
      <w:proofErr w:type="spellStart"/>
      <w:r>
        <w:rPr>
          <w:b/>
          <w:i/>
        </w:rPr>
        <w:t>şi</w:t>
      </w:r>
      <w:proofErr w:type="spellEnd"/>
      <w:r>
        <w:rPr>
          <w:b/>
          <w:i/>
        </w:rPr>
        <w:t xml:space="preserve"> lucrările dosarului, </w:t>
      </w:r>
      <w:proofErr w:type="spellStart"/>
      <w:r>
        <w:rPr>
          <w:b/>
          <w:i/>
        </w:rPr>
        <w:t>instanţa</w:t>
      </w:r>
      <w:proofErr w:type="spellEnd"/>
      <w:r>
        <w:rPr>
          <w:b/>
          <w:i/>
        </w:rPr>
        <w:t xml:space="preserve"> </w:t>
      </w:r>
      <w:proofErr w:type="spellStart"/>
      <w:r>
        <w:rPr>
          <w:b/>
          <w:i/>
        </w:rPr>
        <w:t>reţine</w:t>
      </w:r>
      <w:proofErr w:type="spellEnd"/>
      <w:r>
        <w:rPr>
          <w:b/>
          <w:i/>
        </w:rPr>
        <w:t xml:space="preserve"> următoarele:</w:t>
      </w:r>
    </w:p>
    <w:p w:rsidR="00921813" w:rsidRDefault="00D33169" w14:paraId="22A6F4DE" w14:textId="77777777">
      <w:pPr>
        <w:ind w:firstLine="709"/>
        <w:jc w:val="both"/>
      </w:pPr>
      <w:r>
        <w:t xml:space="preserve">Recursul este nefondat pentru considerentele ce succed: </w:t>
      </w:r>
    </w:p>
    <w:p w:rsidR="00921813" w:rsidRDefault="00D33169" w14:paraId="7A0CADA7" w14:textId="77777777">
      <w:pPr>
        <w:ind w:firstLine="709"/>
        <w:jc w:val="both"/>
      </w:pPr>
      <w:r>
        <w:rPr>
          <w:i/>
        </w:rPr>
        <w:t>În prealabil</w:t>
      </w:r>
      <w:r>
        <w:t>, trebuie arătat că, piața jocurilor de noroc este o piață restrictivă, iar dreptul de a organiza jocuri de noroc, precum și condițiile de exploatare a acestora constituie monopol de stat conform art. 1 alin. 1 din O.U.G. nr. 77/2009, cu modificările și completările ulterioare.</w:t>
      </w:r>
    </w:p>
    <w:p w:rsidR="00921813" w:rsidRDefault="00D33169" w14:paraId="536EEB09" w14:textId="77777777">
      <w:pPr>
        <w:ind w:firstLine="709"/>
        <w:jc w:val="both"/>
      </w:pPr>
      <w:r>
        <w:t>Prin Decizia nr. 1344 din 13 octombrie 2011 pronunțată de Curtea Constituțională și publicată în Monitorul Oficial nr. 32 din 16 ianuarie 2012, s-a luat în considerare jurisprudența Curții de Justiție a Uniunii Europene în domeniul libertății de a presta servicii, de unde rezultă că în domeniul reglementării jocurilor de noroc, statele membre dispun de o marjă foarte largă de acțiune, iar obiectivul principal urmărit de reglementarea națională trebuie să fie lupta împotriva criminalității, mai precis protec</w:t>
      </w:r>
      <w:r>
        <w:t>ția consumatorilor de jocuri de noroc împotriva fraudelor săvârșite de operatori.</w:t>
      </w:r>
    </w:p>
    <w:p w:rsidR="00921813" w:rsidRDefault="00D33169" w14:paraId="613B8C6A" w14:textId="77777777">
      <w:pPr>
        <w:ind w:firstLine="709"/>
        <w:jc w:val="both"/>
      </w:pPr>
      <w:r>
        <w:t>Ca atare, o legislație națională destinată să limiteze activitatea operatorilor de jocuri de noroc, în scopul limitării dependenței de jocurile de noroc și pentru a preveni frauda este în principiu compatibil cu dreptul comunitar.</w:t>
      </w:r>
    </w:p>
    <w:p w:rsidR="00921813" w:rsidRDefault="00D33169" w14:paraId="448697AC" w14:textId="77777777">
      <w:pPr>
        <w:ind w:firstLine="709"/>
        <w:jc w:val="both"/>
      </w:pPr>
      <w:r>
        <w:t>Prin modificările de natură fiscală aduse odată cu apariția O.U.G. nr. 92/2014, publicată în Monitorul Oficial al R. nr. 957 din 30 decembrie 2014 s-a permis o mai bună previzionare și colectare a taxelor datorate bugetului de stat prin folosirea conformă a dreptului de monopol al statului în domeniul jocurilor de noroc, modificarea taxelor existente prin transformarea acestora în monedă euro, licențierea și taxarea unor servicii conexe jocurilor de noroc și a jocurilor de noroc la distanță, pentru o mai bu</w:t>
      </w:r>
      <w:r>
        <w:t>nă fiscalizare în acest domeniu.</w:t>
      </w:r>
    </w:p>
    <w:p w:rsidR="00921813" w:rsidRDefault="00D33169" w14:paraId="7A75812A" w14:textId="77777777">
      <w:pPr>
        <w:ind w:firstLine="709"/>
        <w:jc w:val="both"/>
      </w:pPr>
      <w:r>
        <w:lastRenderedPageBreak/>
        <w:t>Legea nr. 124/2015 privind aprobarea O.U.G. nr. 92/2014 pentru reglementarea unor măsuri fiscal bugetare și modificarea unor acte normative, a adus precizări suplimentare în ceea ce privește taxele speciale, printre care și taxa de viciu.</w:t>
      </w:r>
    </w:p>
    <w:p w:rsidR="00921813" w:rsidRDefault="00D33169" w14:paraId="08E926BE" w14:textId="77777777">
      <w:pPr>
        <w:ind w:firstLine="709"/>
        <w:jc w:val="both"/>
      </w:pPr>
      <w:r>
        <w:t xml:space="preserve">Ca atare, se reglementează la punctul 3 lit. C din anexă taxa pe viciu pentru jocurile de noroc caracteristice </w:t>
      </w:r>
      <w:proofErr w:type="spellStart"/>
      <w:r>
        <w:t>slot-machine</w:t>
      </w:r>
      <w:proofErr w:type="spellEnd"/>
      <w:r>
        <w:t xml:space="preserve"> prevăzute la art. 10 alin. 1 lit. e pct. i și pentru </w:t>
      </w:r>
      <w:proofErr w:type="spellStart"/>
      <w:r>
        <w:t>videoloterie</w:t>
      </w:r>
      <w:proofErr w:type="spellEnd"/>
      <w:r>
        <w:t xml:space="preserve"> (VLT) respectiv 400 euro post autorizat pe an și care se achită de organizator odată cu taxa de autorizare.</w:t>
      </w:r>
    </w:p>
    <w:p w:rsidR="00921813" w:rsidRDefault="00D33169" w14:paraId="737FEB83" w14:textId="77777777">
      <w:pPr>
        <w:ind w:firstLine="709"/>
        <w:jc w:val="both"/>
        <w:rPr>
          <w:i/>
        </w:rPr>
      </w:pPr>
      <w:r>
        <w:rPr>
          <w:i/>
        </w:rPr>
        <w:t xml:space="preserve">În ceea ce </w:t>
      </w:r>
      <w:proofErr w:type="spellStart"/>
      <w:r>
        <w:rPr>
          <w:i/>
        </w:rPr>
        <w:t>priveşte</w:t>
      </w:r>
      <w:proofErr w:type="spellEnd"/>
      <w:r>
        <w:rPr>
          <w:i/>
        </w:rPr>
        <w:t xml:space="preserve"> </w:t>
      </w:r>
      <w:proofErr w:type="spellStart"/>
      <w:r>
        <w:rPr>
          <w:i/>
        </w:rPr>
        <w:t>susţinerea</w:t>
      </w:r>
      <w:proofErr w:type="spellEnd"/>
      <w:r>
        <w:rPr>
          <w:i/>
        </w:rPr>
        <w:t xml:space="preserve"> recurentei-reclamante privind </w:t>
      </w:r>
      <w:proofErr w:type="spellStart"/>
      <w:r>
        <w:rPr>
          <w:i/>
        </w:rPr>
        <w:t>necompetenţa</w:t>
      </w:r>
      <w:proofErr w:type="spellEnd"/>
      <w:r>
        <w:rPr>
          <w:i/>
        </w:rPr>
        <w:t xml:space="preserve"> O.N.J.N. de a emite decizii referitoare la taxa de viciu:</w:t>
      </w:r>
    </w:p>
    <w:p w:rsidR="00921813" w:rsidRDefault="00D33169" w14:paraId="0D7AEC0A" w14:textId="77777777">
      <w:pPr>
        <w:ind w:firstLine="709"/>
        <w:jc w:val="both"/>
      </w:pPr>
      <w:r>
        <w:t xml:space="preserve">Analiza acestei </w:t>
      </w:r>
      <w:proofErr w:type="spellStart"/>
      <w:r>
        <w:t>susţineri</w:t>
      </w:r>
      <w:proofErr w:type="spellEnd"/>
      <w:r>
        <w:t xml:space="preserve"> se impune a se realiza, prin prisma diferențelor instituite de legiuitor, în ceea ce </w:t>
      </w:r>
      <w:proofErr w:type="spellStart"/>
      <w:r>
        <w:t>priveşte</w:t>
      </w:r>
      <w:proofErr w:type="spellEnd"/>
      <w:r>
        <w:t xml:space="preserve"> obligativitatea plății taxei de viciu cuprinsă atât în O.U.G. nr.92/2014 pentru reglementarea unor măsuri fiscal-bugetare și modificarea unor acte normative cât și în Legea nr.124/2015 privind aprobarea Ordonanței de Urgență a Guvernului nr.92/2014 pentru reglementarea unor măsuri fiscal-bugetare și modificarea unor acte normative.</w:t>
      </w:r>
    </w:p>
    <w:p w:rsidR="00921813" w:rsidRDefault="00D33169" w14:paraId="3FBE0164" w14:textId="77777777">
      <w:pPr>
        <w:ind w:firstLine="709"/>
        <w:jc w:val="both"/>
      </w:pPr>
      <w:r>
        <w:t xml:space="preserve">Trebuie observat că taxa de viciu face parte din categoria taxelor speciale, astfel cum este reglementată de actele normative menționate mai sus.  </w:t>
      </w:r>
    </w:p>
    <w:p w:rsidR="00921813" w:rsidRDefault="00D33169" w14:paraId="77483749" w14:textId="77777777">
      <w:pPr>
        <w:ind w:firstLine="709"/>
        <w:jc w:val="both"/>
      </w:pPr>
      <w:r>
        <w:t xml:space="preserve">Potrivit art. 110 alin. 3 din O.G. nr. 92/2003 titlul de </w:t>
      </w:r>
      <w:proofErr w:type="spellStart"/>
      <w:r>
        <w:t>creanţă</w:t>
      </w:r>
      <w:proofErr w:type="spellEnd"/>
      <w:r>
        <w:t xml:space="preserve"> este actul prin care se </w:t>
      </w:r>
      <w:proofErr w:type="spellStart"/>
      <w:r>
        <w:t>stabileşte</w:t>
      </w:r>
      <w:proofErr w:type="spellEnd"/>
      <w:r>
        <w:t xml:space="preserve"> </w:t>
      </w:r>
      <w:proofErr w:type="spellStart"/>
      <w:r>
        <w:t>şi</w:t>
      </w:r>
      <w:proofErr w:type="spellEnd"/>
      <w:r>
        <w:t xml:space="preserve"> se individualizează </w:t>
      </w:r>
      <w:proofErr w:type="spellStart"/>
      <w:r>
        <w:t>creanţa</w:t>
      </w:r>
      <w:proofErr w:type="spellEnd"/>
      <w:r>
        <w:t xml:space="preserve"> fiscală, întocmit de organele competente sau de persoanele </w:t>
      </w:r>
      <w:proofErr w:type="spellStart"/>
      <w:r>
        <w:t>îndreptăţite</w:t>
      </w:r>
      <w:proofErr w:type="spellEnd"/>
      <w:r>
        <w:t xml:space="preserve">, potrivit legii iar enumerarea care urmează după </w:t>
      </w:r>
      <w:proofErr w:type="spellStart"/>
      <w:r>
        <w:t>menţiunea</w:t>
      </w:r>
      <w:proofErr w:type="spellEnd"/>
      <w:r>
        <w:t xml:space="preserve"> „Asemenea titluri pot fi” nu este una limitativă, putând exista </w:t>
      </w:r>
      <w:proofErr w:type="spellStart"/>
      <w:r>
        <w:t>şi</w:t>
      </w:r>
      <w:proofErr w:type="spellEnd"/>
      <w:r>
        <w:t xml:space="preserve"> alte acte prin care organele competente sau persoanele </w:t>
      </w:r>
      <w:proofErr w:type="spellStart"/>
      <w:r>
        <w:t>îndreptăţite</w:t>
      </w:r>
      <w:proofErr w:type="spellEnd"/>
      <w:r>
        <w:t xml:space="preserve">, potrivit legii, pot să stabilească </w:t>
      </w:r>
      <w:proofErr w:type="spellStart"/>
      <w:r>
        <w:t>şi</w:t>
      </w:r>
      <w:proofErr w:type="spellEnd"/>
      <w:r>
        <w:t xml:space="preserve"> să individualizeze </w:t>
      </w:r>
      <w:proofErr w:type="spellStart"/>
      <w:r>
        <w:t>creanţe</w:t>
      </w:r>
      <w:proofErr w:type="spellEnd"/>
      <w:r>
        <w:t xml:space="preserve"> fiscale.   </w:t>
      </w:r>
    </w:p>
    <w:p w:rsidR="00921813" w:rsidRDefault="00D33169" w14:paraId="287DE32F" w14:textId="77777777">
      <w:pPr>
        <w:ind w:firstLine="709"/>
        <w:jc w:val="both"/>
      </w:pPr>
      <w:r>
        <w:t xml:space="preserve">De asemenea, conform prevederilor art. 1 alin. 1,  alin. 1 ind. 1 </w:t>
      </w:r>
      <w:proofErr w:type="spellStart"/>
      <w:r>
        <w:t>şi</w:t>
      </w:r>
      <w:proofErr w:type="spellEnd"/>
      <w:r>
        <w:t xml:space="preserve"> art. 17 alin. 12 din O.U.G. nr. 77/2009, organizarea </w:t>
      </w:r>
      <w:proofErr w:type="spellStart"/>
      <w:r>
        <w:t>şi</w:t>
      </w:r>
      <w:proofErr w:type="spellEnd"/>
      <w:r>
        <w:t xml:space="preserve"> exploatarea </w:t>
      </w:r>
      <w:proofErr w:type="spellStart"/>
      <w:r>
        <w:t>activităţii</w:t>
      </w:r>
      <w:proofErr w:type="spellEnd"/>
      <w:r>
        <w:t xml:space="preserve"> de jocuri de noroc pe teritoriul României constituie monopol de stat, se </w:t>
      </w:r>
      <w:proofErr w:type="spellStart"/>
      <w:r>
        <w:t>desfăşoară</w:t>
      </w:r>
      <w:proofErr w:type="spellEnd"/>
      <w:r>
        <w:t xml:space="preserve"> în </w:t>
      </w:r>
      <w:proofErr w:type="spellStart"/>
      <w:r>
        <w:t>condiţiile</w:t>
      </w:r>
      <w:proofErr w:type="spellEnd"/>
      <w:r>
        <w:t xml:space="preserve"> prezentei </w:t>
      </w:r>
      <w:proofErr w:type="spellStart"/>
      <w:r>
        <w:t>ordonanţe</w:t>
      </w:r>
      <w:proofErr w:type="spellEnd"/>
      <w:r>
        <w:t xml:space="preserve"> de </w:t>
      </w:r>
      <w:proofErr w:type="spellStart"/>
      <w:r>
        <w:t>urgenţă</w:t>
      </w:r>
      <w:proofErr w:type="spellEnd"/>
      <w:r>
        <w:t xml:space="preserve"> </w:t>
      </w:r>
      <w:proofErr w:type="spellStart"/>
      <w:r>
        <w:t>şi</w:t>
      </w:r>
      <w:proofErr w:type="spellEnd"/>
      <w:r>
        <w:t xml:space="preserve"> se administrează de către Oficiul </w:t>
      </w:r>
      <w:proofErr w:type="spellStart"/>
      <w:r>
        <w:t>Naţional</w:t>
      </w:r>
      <w:proofErr w:type="spellEnd"/>
      <w:r>
        <w:t xml:space="preserve"> pentru Jocuri de Noroc.</w:t>
      </w:r>
      <w:r>
        <w:rPr>
          <w:i/>
        </w:rPr>
        <w:t xml:space="preserve"> </w:t>
      </w:r>
      <w:r>
        <w:t xml:space="preserve">Comitetul de Supraveghere al O.N.J.N. va lua decizii în toate cauzele </w:t>
      </w:r>
      <w:proofErr w:type="spellStart"/>
      <w:r>
        <w:t>şi</w:t>
      </w:r>
      <w:proofErr w:type="spellEnd"/>
      <w:r>
        <w:t xml:space="preserve"> </w:t>
      </w:r>
      <w:proofErr w:type="spellStart"/>
      <w:r>
        <w:t>situaţiile</w:t>
      </w:r>
      <w:proofErr w:type="spellEnd"/>
      <w:r>
        <w:t xml:space="preserve"> care au legătură cu domeniul jocurilor de noroc</w:t>
      </w:r>
    </w:p>
    <w:p w:rsidR="00921813" w:rsidRDefault="00D33169" w14:paraId="008138B3" w14:textId="77777777">
      <w:pPr>
        <w:ind w:firstLine="709"/>
        <w:jc w:val="both"/>
      </w:pPr>
      <w:r>
        <w:t>În acest context apare ca evident faptul că instituția intimatului-pârât, învestit de lege cu autoritate deplină pe domeniul jocurilor de noroc are și competența de a dispune asupra taxelor speciale incidente în același domeniu de activitate - organizarea și exploatarea jocurilor de noroc.</w:t>
      </w:r>
    </w:p>
    <w:p w:rsidR="00921813" w:rsidRDefault="00D33169" w14:paraId="7868EE76" w14:textId="77777777">
      <w:pPr>
        <w:ind w:firstLine="709"/>
        <w:jc w:val="both"/>
      </w:pPr>
      <w:r>
        <w:t xml:space="preserve">În concluzie, </w:t>
      </w:r>
      <w:proofErr w:type="spellStart"/>
      <w:r>
        <w:t>aşa</w:t>
      </w:r>
      <w:proofErr w:type="spellEnd"/>
      <w:r>
        <w:t xml:space="preserve"> cum a </w:t>
      </w:r>
      <w:proofErr w:type="spellStart"/>
      <w:r>
        <w:t>reţinut</w:t>
      </w:r>
      <w:proofErr w:type="spellEnd"/>
      <w:r>
        <w:t xml:space="preserve"> </w:t>
      </w:r>
      <w:proofErr w:type="spellStart"/>
      <w:r>
        <w:t>şi</w:t>
      </w:r>
      <w:proofErr w:type="spellEnd"/>
      <w:r>
        <w:t xml:space="preserve">  </w:t>
      </w:r>
      <w:proofErr w:type="spellStart"/>
      <w:r>
        <w:t>instanţa</w:t>
      </w:r>
      <w:proofErr w:type="spellEnd"/>
      <w:r>
        <w:t xml:space="preserve"> de fond, în materia jocurilor de noroc, O.N.J.N. are </w:t>
      </w:r>
      <w:proofErr w:type="spellStart"/>
      <w:r>
        <w:t>competenţă</w:t>
      </w:r>
      <w:proofErr w:type="spellEnd"/>
      <w:r>
        <w:t xml:space="preserve"> deplină în ceea ce </w:t>
      </w:r>
      <w:proofErr w:type="spellStart"/>
      <w:r>
        <w:t>priveşte</w:t>
      </w:r>
      <w:proofErr w:type="spellEnd"/>
      <w:r>
        <w:t xml:space="preserve"> stabilirea tuturor tipurilor de taxe, </w:t>
      </w:r>
      <w:proofErr w:type="spellStart"/>
      <w:r>
        <w:t>autorizaţii</w:t>
      </w:r>
      <w:proofErr w:type="spellEnd"/>
      <w:r>
        <w:t xml:space="preserve">, </w:t>
      </w:r>
      <w:proofErr w:type="spellStart"/>
      <w:r>
        <w:t>licenţe</w:t>
      </w:r>
      <w:proofErr w:type="spellEnd"/>
      <w:r>
        <w:t xml:space="preserve">, iar </w:t>
      </w:r>
      <w:proofErr w:type="spellStart"/>
      <w:r>
        <w:t>obligaţia</w:t>
      </w:r>
      <w:proofErr w:type="spellEnd"/>
      <w:r>
        <w:t xml:space="preserve"> de plată a taxei pe viciu se datorează odată cu taxa de </w:t>
      </w:r>
      <w:proofErr w:type="spellStart"/>
      <w:r>
        <w:t>licenţă</w:t>
      </w:r>
      <w:proofErr w:type="spellEnd"/>
      <w:r>
        <w:t xml:space="preserve"> sau cu </w:t>
      </w:r>
      <w:proofErr w:type="spellStart"/>
      <w:r>
        <w:t>autorizaţia</w:t>
      </w:r>
      <w:proofErr w:type="spellEnd"/>
      <w:r>
        <w:t xml:space="preserve"> (în </w:t>
      </w:r>
      <w:proofErr w:type="spellStart"/>
      <w:r>
        <w:t>funcţie</w:t>
      </w:r>
      <w:proofErr w:type="spellEnd"/>
      <w:r>
        <w:t xml:space="preserve"> de forma în vigoare a O.U.G. nr. 77/2009), în aceste </w:t>
      </w:r>
      <w:proofErr w:type="spellStart"/>
      <w:r>
        <w:t>condiţii</w:t>
      </w:r>
      <w:proofErr w:type="spellEnd"/>
      <w:r>
        <w:t xml:space="preserve"> O.N.J.N. are </w:t>
      </w:r>
      <w:proofErr w:type="spellStart"/>
      <w:r>
        <w:t>competenţă</w:t>
      </w:r>
      <w:proofErr w:type="spellEnd"/>
      <w:r>
        <w:t xml:space="preserve"> </w:t>
      </w:r>
      <w:proofErr w:type="spellStart"/>
      <w:r>
        <w:t>şi</w:t>
      </w:r>
      <w:proofErr w:type="spellEnd"/>
      <w:r>
        <w:t xml:space="preserve"> cu privire la stabilirea </w:t>
      </w:r>
      <w:proofErr w:type="spellStart"/>
      <w:r>
        <w:t>creanţelor</w:t>
      </w:r>
      <w:proofErr w:type="spellEnd"/>
      <w:r>
        <w:t xml:space="preserve"> constând în taxa pe viciu iar împrejurarea că, ulterior a fost adoptată H.G. nr. 111/2016, care</w:t>
      </w:r>
      <w:r>
        <w:t xml:space="preserve"> la art. 13 a stabilit că organizatorii de jocuri de noroc au </w:t>
      </w:r>
      <w:proofErr w:type="spellStart"/>
      <w:r>
        <w:t>obligaţia</w:t>
      </w:r>
      <w:proofErr w:type="spellEnd"/>
      <w:r>
        <w:t xml:space="preserve"> să declare la organul fiscal, până la termenul de plată, taxele prevăzute în O.U.G. nr. 77/2009, nu aduce atingere </w:t>
      </w:r>
      <w:proofErr w:type="spellStart"/>
      <w:r>
        <w:t>competenţei</w:t>
      </w:r>
      <w:proofErr w:type="spellEnd"/>
      <w:r>
        <w:t xml:space="preserve"> legale a O.N.J.N. de emitere a deciziei privind taxa de viciu avute până la adoptarea actului </w:t>
      </w:r>
      <w:proofErr w:type="spellStart"/>
      <w:r>
        <w:t>menţionat</w:t>
      </w:r>
      <w:proofErr w:type="spellEnd"/>
      <w:r>
        <w:t>.</w:t>
      </w:r>
    </w:p>
    <w:p w:rsidR="00921813" w:rsidRDefault="00D33169" w14:paraId="6C9110FD" w14:textId="77777777">
      <w:pPr>
        <w:ind w:firstLine="709"/>
        <w:jc w:val="both"/>
      </w:pPr>
      <w:r>
        <w:t xml:space="preserve">În ceea ce </w:t>
      </w:r>
      <w:proofErr w:type="spellStart"/>
      <w:r>
        <w:t>priveşte</w:t>
      </w:r>
      <w:proofErr w:type="spellEnd"/>
      <w:r>
        <w:t xml:space="preserve"> taxa de viciu, aceasta a fost prevăzută la punctul 47 din O.U.G. nr. 92/2014 (în vigoare începând cu data de 13.02.2015 și până la data de 12.06.2015) în care se statuează: „Taxe speciale: C. Taxa de viciu pentru jocurile de noroc caracteristice </w:t>
      </w:r>
      <w:proofErr w:type="spellStart"/>
      <w:r>
        <w:t>slot-machine</w:t>
      </w:r>
      <w:proofErr w:type="spellEnd"/>
      <w:r>
        <w:t>: 400 euro/post autorizat/an, care se achită de organizator odată cu taxa de licență”, ceea ce rezultă că taxa de viciu se datorează de operatorul economic care a achitat taxa de licență de organizare de jocuri de noroc.</w:t>
      </w:r>
    </w:p>
    <w:p w:rsidR="00921813" w:rsidRDefault="00D33169" w14:paraId="1445A37D" w14:textId="77777777">
      <w:pPr>
        <w:ind w:firstLine="709"/>
        <w:jc w:val="both"/>
      </w:pPr>
      <w:r>
        <w:t xml:space="preserve">În reglementarea cuprinsă la art. II alin. 4 din Legea nr. 124/2015, se prevede că „De la data intrării în vigoare a prezentei legi, operatorii jocului tip </w:t>
      </w:r>
      <w:proofErr w:type="spellStart"/>
      <w:r>
        <w:t>slot-machine</w:t>
      </w:r>
      <w:proofErr w:type="spellEnd"/>
      <w:r>
        <w:t xml:space="preserve">, astfel cum, este </w:t>
      </w:r>
      <w:r>
        <w:lastRenderedPageBreak/>
        <w:t>definit la art. 10 alin. 1 lit. e pct. i și iii din Ordonanța de Urgență a Guvernului nr. 77/2009, aprobată cu modificări și completări prin Legea nr. 246/2010, cu modificările și completările ulterioare, au obligația de a achita taxa de viciu în transe trimestriale, odată cu plata autorizației”.</w:t>
      </w:r>
    </w:p>
    <w:p w:rsidR="00921813" w:rsidRDefault="00D33169" w14:paraId="4E9DA356" w14:textId="77777777">
      <w:pPr>
        <w:ind w:firstLine="709"/>
        <w:jc w:val="both"/>
      </w:pPr>
      <w:r>
        <w:t>Din interpretarea dispozițiilor legale de mai sus, rezultă obligativitatea plății taxei de viciu de către organizatorii de jocuri de noroc, singura diferență fiind termenul de achitare: odată cu plata taxei de licență (potrivit O.U.G. nr. 92/2014) sau odată cu plata taxelor de autorizare (potrivit Legii nr. 124/2015), însă obligația există în ambele variante.</w:t>
      </w:r>
    </w:p>
    <w:p w:rsidR="00921813" w:rsidRDefault="00D33169" w14:paraId="10900B89" w14:textId="77777777">
      <w:pPr>
        <w:ind w:firstLine="709"/>
        <w:jc w:val="both"/>
      </w:pPr>
      <w:r>
        <w:t xml:space="preserve">Astfel, la pct. 17, referitor la art. 14 alin. 5 din O.U.G. nr. 92/2014 se prevede că „Taxele speciale ce au trebuit reținute și/sau achitate de către organizatorii licențiați din domeniul jocurilor de noroc sunt prevăzute la pct. 4 din anexă la prezenta ordonanță de urgență” printre care regăsim și taxa de viciu, deci se specifică clar, cine datorează taxa: organizatorii licențiați, iar prin coroborarea cu punctul 4 din Anexă, modificat prin OUG nr. 92/2014, taxa de viciu este datorată de organizatorul de </w:t>
      </w:r>
      <w:r>
        <w:t>joc de noroc care a fost licențiat și urma să vină la licențiere pentru următorul an (perioada vizată 13 februarie 2015 -12 iunie 2015).</w:t>
      </w:r>
    </w:p>
    <w:p w:rsidR="00921813" w:rsidRDefault="00D33169" w14:paraId="011752D3" w14:textId="77777777">
      <w:pPr>
        <w:ind w:firstLine="709"/>
        <w:jc w:val="both"/>
      </w:pPr>
      <w:r>
        <w:t>Pentru perioada cuprinsă după data de 12 iunie 2015, taxa de viciu se datorează pentru organizatorii de jocuri de noroc licențiați, odată cu plata taxelor de autorizare, potrivit art. II alin. 4 din Legea nr. 124/2015.</w:t>
      </w:r>
    </w:p>
    <w:p w:rsidR="00921813" w:rsidRDefault="00D33169" w14:paraId="76D12A23" w14:textId="1E102966">
      <w:pPr>
        <w:ind w:firstLine="709"/>
        <w:jc w:val="both"/>
      </w:pPr>
      <w:r>
        <w:t xml:space="preserve">Prin urmare, textul de lege este clar în ceea ce privește instituirea obligației de plată a taxei de viciu, întrucât legiuitorul nu a prevăzut scutiri de la plata taxei de viciu datorate de organizatorii de jocuri de noroc, pentru cei care au fost autorizați sub imperiul dispozițiilor cuprinse în O.U.G. nr. 77/2009 (până la O.U.G. nr. 92/2014). În situația în care, legiuitorul ar fi avut această intenție, aceasta ar fi fost prevăzută în mod expres. </w:t>
      </w:r>
      <w:proofErr w:type="spellStart"/>
      <w:r>
        <w:t>Aşadar</w:t>
      </w:r>
      <w:proofErr w:type="spellEnd"/>
      <w:r>
        <w:t xml:space="preserve">, </w:t>
      </w:r>
      <w:proofErr w:type="spellStart"/>
      <w:r>
        <w:t>susţinerea</w:t>
      </w:r>
      <w:proofErr w:type="spellEnd"/>
      <w:r>
        <w:t xml:space="preserve"> recurentei-reclamante în sensul că, aparatele </w:t>
      </w:r>
      <w:proofErr w:type="spellStart"/>
      <w:r>
        <w:t>slot-machine</w:t>
      </w:r>
      <w:proofErr w:type="spellEnd"/>
      <w:r>
        <w:t xml:space="preserve"> pentru care s-au emis Deciziile nr. </w:t>
      </w:r>
      <w:r w:rsidR="00C0565D">
        <w:t>...84</w:t>
      </w:r>
      <w:r>
        <w:t xml:space="preserve"> </w:t>
      </w:r>
      <w:proofErr w:type="spellStart"/>
      <w:r>
        <w:t>şi</w:t>
      </w:r>
      <w:proofErr w:type="spellEnd"/>
      <w:r>
        <w:t xml:space="preserve"> </w:t>
      </w:r>
      <w:r w:rsidR="00C0565D">
        <w:t>...65</w:t>
      </w:r>
      <w:r>
        <w:t xml:space="preserve">/2015 au fost autorizate anterior intrării în vigoare a O.U.G. nr. 92/2014 </w:t>
      </w:r>
      <w:proofErr w:type="spellStart"/>
      <w:r>
        <w:t>şi</w:t>
      </w:r>
      <w:proofErr w:type="spellEnd"/>
      <w:r>
        <w:t xml:space="preserve"> Legii nr. 124/2015, n-au putut fi clasificate în vreuna dintre categoriile prevăzute de art. 10, alin. 1, lit. e, pct. 1 sau iii </w:t>
      </w:r>
      <w:proofErr w:type="spellStart"/>
      <w:r>
        <w:t>şi</w:t>
      </w:r>
      <w:proofErr w:type="spellEnd"/>
      <w:r>
        <w:t xml:space="preserve"> prin urmare nu datorează taxa de viciu nu poate fi </w:t>
      </w:r>
      <w:proofErr w:type="spellStart"/>
      <w:r>
        <w:t>reţinută</w:t>
      </w:r>
      <w:proofErr w:type="spellEnd"/>
      <w:r>
        <w:t xml:space="preserve"> întrucât interpretarea sistematică </w:t>
      </w:r>
      <w:proofErr w:type="spellStart"/>
      <w:r>
        <w:t>şi</w:t>
      </w:r>
      <w:proofErr w:type="spellEnd"/>
      <w:r>
        <w:t xml:space="preserve"> teleologică a normelor juridice cuprinse în actele normative </w:t>
      </w:r>
      <w:proofErr w:type="spellStart"/>
      <w:r>
        <w:t>menţionate</w:t>
      </w:r>
      <w:proofErr w:type="spellEnd"/>
      <w:r>
        <w:t xml:space="preserve"> mai sus, determină concluzia că </w:t>
      </w:r>
      <w:proofErr w:type="spellStart"/>
      <w:r>
        <w:t>voinţa</w:t>
      </w:r>
      <w:proofErr w:type="spellEnd"/>
      <w:r>
        <w:t xml:space="preserve"> legiuitorului a fost ca pentru toate variantele de aparate jocuri de tip </w:t>
      </w:r>
      <w:proofErr w:type="spellStart"/>
      <w:r>
        <w:t>slot-machine</w:t>
      </w:r>
      <w:proofErr w:type="spellEnd"/>
      <w:r>
        <w:t xml:space="preserve"> să se p</w:t>
      </w:r>
      <w:r>
        <w:t xml:space="preserve">lătească taxa de viciu.  </w:t>
      </w:r>
    </w:p>
    <w:p w:rsidR="00921813" w:rsidRDefault="00D33169" w14:paraId="514A777A" w14:textId="77777777">
      <w:pPr>
        <w:ind w:firstLine="709"/>
        <w:jc w:val="both"/>
      </w:pPr>
      <w:r>
        <w:t>Mai mult, Deciziile privind taxa de viciu cuprind numai perioada de când a intrat în vigoare O.U.G. nr. 92/2014, respectiv din data de 13.02.2015, deci nu se poate spune că taxa a fost calculată retroactiv, întrucât așa cum a fost arătat mai sus, singura modificare o reprezintă modul de plată a taxei de viciu, odată cu plata licenței sau odată cu plata taxelor de autorizare, în ambele cazuri obligația de plată existând. Legea nr. 124/2015 dispune numai pentru viitor însă până la adoptarea acestei legi produ</w:t>
      </w:r>
      <w:r>
        <w:t xml:space="preserve">ce efecte juridice O.U.G. nr. 92/2014. </w:t>
      </w:r>
    </w:p>
    <w:p w:rsidR="00921813" w:rsidRDefault="00D33169" w14:paraId="30D664F4" w14:textId="77777777">
      <w:pPr>
        <w:ind w:firstLine="709"/>
        <w:jc w:val="both"/>
      </w:pPr>
      <w:r>
        <w:t>Practic, prin art. 1 pct. 47 din O.U.G. nr. 92/2004, au fost introduse taxele speciale, instituindu-se și taxa de viciu incidentă în cauza de față. Scadența obligației de plată a acestei taxe coincidea cu cea a taxei de licență, respectiv cu 10 zile înainte de sfârșitul anului anterior (în cazul taxei datorate pentru anii următori celui în care documentația a fost aprobată) potrivit art. 14 alin. 2, lit. a, pct. ii din O.U.G. nr. 77/2009. Potrivit dispozițiilor finale ale actului normativ, acesta a intrat î</w:t>
      </w:r>
      <w:r>
        <w:t>n vigoare la 13.02.2015 astfel că scadenta obligației de plată a taxei pentru anul 2015 era deja depășită. În Legea nr. 124/2015 privind aprobarea O.U.G. 92/2014, la art. II pct. 4 s-a prevăzut o altă modalitate de plată a taxei de viciu, respectiv în tranșe trimestriale odată cu plata autorizației, potrivit scadențelor prevăzute de art. 14 alin. 2 din O.U.G. nr. 77/2009. Plata taxei aferente pentru anul 2015 urma să se facă în cursul anului, în rate trimestriale. Prima rată urma să fie plătită la 25.03.201</w:t>
      </w:r>
      <w:r>
        <w:t xml:space="preserve">5, dar acest moment era depășit la adoptarea noului act normativ, proxima scadență urmând a fi data de 25.06.2015. Astfel după </w:t>
      </w:r>
      <w:r>
        <w:lastRenderedPageBreak/>
        <w:t xml:space="preserve">cum se poate observa din decizia atacată, O.N.J.N. a avut în vedere această ultimă scadență din 25.06.2015. </w:t>
      </w:r>
    </w:p>
    <w:p w:rsidR="00921813" w:rsidRDefault="00D33169" w14:paraId="2BEBB21E" w14:textId="48CA969F">
      <w:pPr>
        <w:ind w:firstLine="709"/>
        <w:jc w:val="both"/>
      </w:pPr>
      <w:r>
        <w:rPr>
          <w:i/>
        </w:rPr>
        <w:t xml:space="preserve">Cu privire la susținerile contestatoarei privind nelegalitatea și netemeinicia Deciziei privind taxa de viciu pentru jocurile de noroc tip </w:t>
      </w:r>
      <w:proofErr w:type="spellStart"/>
      <w:r>
        <w:rPr>
          <w:i/>
        </w:rPr>
        <w:t>slot-machine</w:t>
      </w:r>
      <w:proofErr w:type="spellEnd"/>
      <w:r>
        <w:rPr>
          <w:i/>
        </w:rPr>
        <w:t xml:space="preserve"> nr. </w:t>
      </w:r>
      <w:r w:rsidR="00C0565D">
        <w:rPr>
          <w:i/>
        </w:rPr>
        <w:t>....84/......2015</w:t>
      </w:r>
      <w:r>
        <w:rPr>
          <w:i/>
        </w:rPr>
        <w:t xml:space="preserve"> </w:t>
      </w:r>
      <w:proofErr w:type="spellStart"/>
      <w:r>
        <w:rPr>
          <w:i/>
        </w:rPr>
        <w:t>şi</w:t>
      </w:r>
      <w:proofErr w:type="spellEnd"/>
      <w:r>
        <w:rPr>
          <w:i/>
        </w:rPr>
        <w:t xml:space="preserve"> a Deciziei nr. </w:t>
      </w:r>
      <w:r w:rsidR="00C0565D">
        <w:rPr>
          <w:i/>
        </w:rPr>
        <w:t>....65/......2015</w:t>
      </w:r>
      <w:r>
        <w:rPr>
          <w:i/>
        </w:rPr>
        <w:t xml:space="preserve"> pentru modificarea Deciziei nr. </w:t>
      </w:r>
      <w:r w:rsidR="00C0565D">
        <w:rPr>
          <w:i/>
        </w:rPr>
        <w:t>....84/......2015</w:t>
      </w:r>
      <w:r>
        <w:t xml:space="preserve">, Curtea constată că, taxa stabilită în sarcina acesteia a fost de 69.048 lei, aferentă perioadei februarie 2015 - martie 2016 </w:t>
      </w:r>
      <w:proofErr w:type="spellStart"/>
      <w:r>
        <w:t>şi</w:t>
      </w:r>
      <w:proofErr w:type="spellEnd"/>
      <w:r>
        <w:t xml:space="preserve"> au fost avute în vedere </w:t>
      </w:r>
      <w:proofErr w:type="spellStart"/>
      <w:r>
        <w:t>autorizaţiile</w:t>
      </w:r>
      <w:proofErr w:type="spellEnd"/>
      <w:r>
        <w:t xml:space="preserve"> valabile în această perioadă pentru exploatarea mijloacelor de joc tip </w:t>
      </w:r>
      <w:proofErr w:type="spellStart"/>
      <w:r>
        <w:t>slot-machine</w:t>
      </w:r>
      <w:proofErr w:type="spellEnd"/>
      <w:r>
        <w:t xml:space="preserve">. Recurenta-reclamantă nu a contestat numărul de aparate </w:t>
      </w:r>
      <w:proofErr w:type="spellStart"/>
      <w:r>
        <w:t>şi</w:t>
      </w:r>
      <w:proofErr w:type="spellEnd"/>
      <w:r>
        <w:t xml:space="preserve"> </w:t>
      </w:r>
      <w:proofErr w:type="spellStart"/>
      <w:r>
        <w:t>autorizaţii</w:t>
      </w:r>
      <w:proofErr w:type="spellEnd"/>
      <w:r>
        <w:t xml:space="preserve"> avute în vedere la stabilirea taxei. </w:t>
      </w:r>
    </w:p>
    <w:p w:rsidR="00921813" w:rsidRDefault="00D33169" w14:paraId="0C1CFBB3" w14:textId="77777777">
      <w:pPr>
        <w:ind w:firstLine="709"/>
        <w:jc w:val="both"/>
      </w:pPr>
      <w:r>
        <w:t xml:space="preserve">De asemenea, se poate observa că deciziile au fost emise în baza Ordinului </w:t>
      </w:r>
      <w:proofErr w:type="spellStart"/>
      <w:r>
        <w:t>Preşedintelui</w:t>
      </w:r>
      <w:proofErr w:type="spellEnd"/>
      <w:r>
        <w:t xml:space="preserve"> O.N.J.N. nr. 148/24.06.2015, O.U.G. nr. 77/2009, O.U.G. nr. 92/2014 cât și a Legii nr. 124/2015 </w:t>
      </w:r>
      <w:proofErr w:type="spellStart"/>
      <w:r>
        <w:t>şi</w:t>
      </w:r>
      <w:proofErr w:type="spellEnd"/>
      <w:r>
        <w:t xml:space="preserve"> cuprind toate elementele necesare identificării naturii </w:t>
      </w:r>
      <w:proofErr w:type="spellStart"/>
      <w:r>
        <w:t>obligaţiei</w:t>
      </w:r>
      <w:proofErr w:type="spellEnd"/>
      <w:r>
        <w:t xml:space="preserve"> de plată, perioada la care se referă cât </w:t>
      </w:r>
      <w:proofErr w:type="spellStart"/>
      <w:r>
        <w:t>şi</w:t>
      </w:r>
      <w:proofErr w:type="spellEnd"/>
      <w:r>
        <w:t xml:space="preserve"> modul de calcul al taxei.</w:t>
      </w:r>
    </w:p>
    <w:p w:rsidR="00921813" w:rsidRDefault="00D33169" w14:paraId="4EF0AA7D" w14:textId="77777777">
      <w:pPr>
        <w:ind w:firstLine="709"/>
        <w:jc w:val="both"/>
      </w:pPr>
      <w:proofErr w:type="spellStart"/>
      <w:r>
        <w:t>Aşadar</w:t>
      </w:r>
      <w:proofErr w:type="spellEnd"/>
      <w:r>
        <w:t xml:space="preserve">, </w:t>
      </w:r>
      <w:proofErr w:type="spellStart"/>
      <w:r>
        <w:t>aşa</w:t>
      </w:r>
      <w:proofErr w:type="spellEnd"/>
      <w:r>
        <w:t xml:space="preserve"> cum a </w:t>
      </w:r>
      <w:proofErr w:type="spellStart"/>
      <w:r>
        <w:t>reţinut</w:t>
      </w:r>
      <w:proofErr w:type="spellEnd"/>
      <w:r>
        <w:t xml:space="preserve"> </w:t>
      </w:r>
      <w:proofErr w:type="spellStart"/>
      <w:r>
        <w:t>şi</w:t>
      </w:r>
      <w:proofErr w:type="spellEnd"/>
      <w:r>
        <w:t xml:space="preserve"> </w:t>
      </w:r>
      <w:proofErr w:type="spellStart"/>
      <w:r>
        <w:t>instanţa</w:t>
      </w:r>
      <w:proofErr w:type="spellEnd"/>
      <w:r>
        <w:t xml:space="preserve"> de fond, recurenta-reclamanta nu poate </w:t>
      </w:r>
      <w:proofErr w:type="spellStart"/>
      <w:r>
        <w:t>susţine</w:t>
      </w:r>
      <w:proofErr w:type="spellEnd"/>
      <w:r>
        <w:t xml:space="preserve">, întemeiat, că nu </w:t>
      </w:r>
      <w:proofErr w:type="spellStart"/>
      <w:r>
        <w:t>cunoaşte</w:t>
      </w:r>
      <w:proofErr w:type="spellEnd"/>
      <w:r>
        <w:t xml:space="preserve"> elementele în baza cărora s-a stabilit taxa pe viciu, din moment ce, potrivit pct.3 </w:t>
      </w:r>
      <w:proofErr w:type="spellStart"/>
      <w:r>
        <w:t>lit.C</w:t>
      </w:r>
      <w:proofErr w:type="spellEnd"/>
      <w:r>
        <w:t xml:space="preserve"> i) din Anexa la O.U.G. nr. 77/2009 prevede o taxă în euro pe post autorizat pe an, taxă introdusă prin O.U.G. nr. 92/2014 </w:t>
      </w:r>
      <w:proofErr w:type="spellStart"/>
      <w:r>
        <w:t>şi</w:t>
      </w:r>
      <w:proofErr w:type="spellEnd"/>
      <w:r>
        <w:t xml:space="preserve"> datorată începând cu luna februarie 2015 odată cu taxa de </w:t>
      </w:r>
      <w:proofErr w:type="spellStart"/>
      <w:r>
        <w:t>licenţă</w:t>
      </w:r>
      <w:proofErr w:type="spellEnd"/>
      <w:r>
        <w:t xml:space="preserve"> sau, după modificările aduse prin Legea 124/2015, odată cu taxa de autorizare. </w:t>
      </w:r>
    </w:p>
    <w:p w:rsidR="00921813" w:rsidRDefault="00D33169" w14:paraId="01C95A8D" w14:textId="77777777">
      <w:pPr>
        <w:ind w:firstLine="709"/>
        <w:jc w:val="both"/>
      </w:pPr>
      <w:r>
        <w:t xml:space="preserve">Trebuie avut în vedere și faptul că organizarea și exploatarea activității de jocuri de noroc pe teritoriul României constituie monopol de stat și se desfășoară în condițiile prevăzute de O.U.G. nr. 92/2014, precum și de dispozițiile art. II alin. 1 din Legea nr. 124/2015, cu respectarea prevederii art. 27 din O.U.G. nr. 92/2014, care a dat posibilitatea organizatorilor de locuri de noroc să renunțe la activitatea desfășurată, dacă nu sunt de acord cu noile condiții de autorizare și licențiere, bineînțeles </w:t>
      </w:r>
      <w:r>
        <w:t>cu îndeplinirea cumulativă a condițiilor impuse de actele normative.</w:t>
      </w:r>
    </w:p>
    <w:p w:rsidR="00921813" w:rsidRDefault="00D33169" w14:paraId="24A37E3C" w14:textId="77777777">
      <w:pPr>
        <w:ind w:firstLine="709"/>
        <w:jc w:val="both"/>
      </w:pPr>
      <w:r>
        <w:t>Prin urmare, organizatorii de jocuri de noroc au luat cunoștință de obligația plății taxei de viciu începând cu data de 29.12.2014, dată când a fost publicată O.U.G. nr. 92/2014, în conținutul căreia se prevedea plata taxei de viciu începând cu luna februarie a anului 2015, aceștia având posibilitatea conform textului de lege menționat, să renunțe la această activitate dacă nu erau de acord cu noile condiții de autorizare și licențiere.</w:t>
      </w:r>
    </w:p>
    <w:p w:rsidR="00921813" w:rsidRDefault="00D33169" w14:paraId="2F2E8151" w14:textId="77777777">
      <w:pPr>
        <w:ind w:firstLine="709"/>
        <w:jc w:val="both"/>
      </w:pPr>
      <w:r>
        <w:t xml:space="preserve">De asemenea, trebuie observat că recurenta-reclamantă nu a făcut dovada că ar fi </w:t>
      </w:r>
      <w:proofErr w:type="spellStart"/>
      <w:r>
        <w:t>renunţat</w:t>
      </w:r>
      <w:proofErr w:type="spellEnd"/>
      <w:r>
        <w:t xml:space="preserve"> la exploatarea mijloacelor de joc tip </w:t>
      </w:r>
      <w:proofErr w:type="spellStart"/>
      <w:r>
        <w:t>slot-machine</w:t>
      </w:r>
      <w:proofErr w:type="spellEnd"/>
      <w:r>
        <w:t xml:space="preserve"> în </w:t>
      </w:r>
      <w:proofErr w:type="spellStart"/>
      <w:r>
        <w:t>condiţiile</w:t>
      </w:r>
      <w:proofErr w:type="spellEnd"/>
      <w:r>
        <w:t xml:space="preserve"> prevăzute de art.27 din O.U.G. nr. 77/2009, astfel cum a fost modificat prin O.U.G. nr. 92/2014.</w:t>
      </w:r>
    </w:p>
    <w:p w:rsidR="00921813" w:rsidRDefault="00D33169" w14:paraId="2623CFC7" w14:textId="228AEF9B">
      <w:pPr>
        <w:ind w:firstLine="709"/>
        <w:jc w:val="both"/>
      </w:pPr>
      <w:r>
        <w:t xml:space="preserve">Nici critica de nelegalitate a actului intitulat „Răspuns la </w:t>
      </w:r>
      <w:proofErr w:type="spellStart"/>
      <w:r>
        <w:t>contestaţie</w:t>
      </w:r>
      <w:proofErr w:type="spellEnd"/>
      <w:r>
        <w:t xml:space="preserve">”, prin care s-a </w:t>
      </w:r>
      <w:proofErr w:type="spellStart"/>
      <w:r>
        <w:t>soluţionat</w:t>
      </w:r>
      <w:proofErr w:type="spellEnd"/>
      <w:r>
        <w:t xml:space="preserve"> </w:t>
      </w:r>
      <w:proofErr w:type="spellStart"/>
      <w:r>
        <w:t>contestaţia</w:t>
      </w:r>
      <w:proofErr w:type="spellEnd"/>
      <w:r>
        <w:t xml:space="preserve"> recurentei-reclamante formulată împotriva Deciziei nr.</w:t>
      </w:r>
      <w:r w:rsidR="00C0565D">
        <w:t>....84/......2015</w:t>
      </w:r>
      <w:r>
        <w:t xml:space="preserve">, nu poate fi </w:t>
      </w:r>
      <w:proofErr w:type="spellStart"/>
      <w:r>
        <w:t>reţinută</w:t>
      </w:r>
      <w:proofErr w:type="spellEnd"/>
      <w:r>
        <w:t xml:space="preserve"> întrucât, pe de o parte această critică nu a fost invocată în </w:t>
      </w:r>
      <w:proofErr w:type="spellStart"/>
      <w:r>
        <w:t>faţa</w:t>
      </w:r>
      <w:proofErr w:type="spellEnd"/>
      <w:r>
        <w:t xml:space="preserve"> </w:t>
      </w:r>
      <w:proofErr w:type="spellStart"/>
      <w:r>
        <w:t>instanţei</w:t>
      </w:r>
      <w:proofErr w:type="spellEnd"/>
      <w:r>
        <w:t xml:space="preserve"> de fond, iar pe de altă parte, denumirea actului de decizie sau </w:t>
      </w:r>
      <w:proofErr w:type="spellStart"/>
      <w:r>
        <w:t>dispoziţie</w:t>
      </w:r>
      <w:proofErr w:type="spellEnd"/>
      <w:r>
        <w:t xml:space="preserve">, după caz, nu constituie o </w:t>
      </w:r>
      <w:proofErr w:type="spellStart"/>
      <w:r>
        <w:t>condiţie</w:t>
      </w:r>
      <w:proofErr w:type="spellEnd"/>
      <w:r>
        <w:t xml:space="preserve"> </w:t>
      </w:r>
      <w:proofErr w:type="spellStart"/>
      <w:r>
        <w:t>esenţială</w:t>
      </w:r>
      <w:proofErr w:type="spellEnd"/>
      <w:r>
        <w:t xml:space="preserve"> de validitate al actului.</w:t>
      </w:r>
    </w:p>
    <w:p w:rsidR="00921813" w:rsidRDefault="00D33169" w14:paraId="46E6C67B" w14:textId="77777777">
      <w:pPr>
        <w:ind w:firstLine="709"/>
        <w:jc w:val="both"/>
      </w:pPr>
      <w:r>
        <w:t xml:space="preserve">În </w:t>
      </w:r>
      <w:proofErr w:type="spellStart"/>
      <w:r>
        <w:t>consecinţă</w:t>
      </w:r>
      <w:proofErr w:type="spellEnd"/>
      <w:r>
        <w:t xml:space="preserve">, Curtea constată că </w:t>
      </w:r>
      <w:proofErr w:type="spellStart"/>
      <w:r>
        <w:t>instanţa</w:t>
      </w:r>
      <w:proofErr w:type="spellEnd"/>
      <w:r>
        <w:t xml:space="preserve"> de fond a interpretat </w:t>
      </w:r>
      <w:proofErr w:type="spellStart"/>
      <w:r>
        <w:t>şi</w:t>
      </w:r>
      <w:proofErr w:type="spellEnd"/>
      <w:r>
        <w:t xml:space="preserve"> aplicat corect actele normative, în conformitate cu </w:t>
      </w:r>
      <w:proofErr w:type="spellStart"/>
      <w:r>
        <w:t>voinţa</w:t>
      </w:r>
      <w:proofErr w:type="spellEnd"/>
      <w:r>
        <w:t xml:space="preserve"> legiuitorului, normele aplicabile </w:t>
      </w:r>
      <w:proofErr w:type="spellStart"/>
      <w:r>
        <w:t>speţei</w:t>
      </w:r>
      <w:proofErr w:type="spellEnd"/>
      <w:r>
        <w:t xml:space="preserve"> fiind clare </w:t>
      </w:r>
      <w:proofErr w:type="spellStart"/>
      <w:r>
        <w:t>şi</w:t>
      </w:r>
      <w:proofErr w:type="spellEnd"/>
      <w:r>
        <w:t xml:space="preserve"> nefiind susceptibile de mai multe interpretări în raport de </w:t>
      </w:r>
      <w:proofErr w:type="spellStart"/>
      <w:r>
        <w:t>situaţia</w:t>
      </w:r>
      <w:proofErr w:type="spellEnd"/>
      <w:r>
        <w:t xml:space="preserve"> dată. </w:t>
      </w:r>
    </w:p>
    <w:p w:rsidR="00921813" w:rsidRDefault="00D33169" w14:paraId="1E593793" w14:textId="77777777">
      <w:pPr>
        <w:ind w:firstLine="709"/>
        <w:jc w:val="both"/>
      </w:pPr>
      <w:r>
        <w:t xml:space="preserve">Pentru aceste considerente, în temeiul art. 496 alin.1 </w:t>
      </w:r>
      <w:proofErr w:type="spellStart"/>
      <w:r>
        <w:t>C.pr.civ</w:t>
      </w:r>
      <w:proofErr w:type="spellEnd"/>
      <w:r>
        <w:t xml:space="preserve">., Curtea va respinge recursul ca nefondat. </w:t>
      </w:r>
    </w:p>
    <w:p w:rsidR="00921813" w:rsidRDefault="00921813" w14:paraId="5FB5C28A" w14:textId="77777777"/>
    <w:p w:rsidR="00921813" w:rsidRDefault="00D33169" w14:paraId="5AF5148D" w14:textId="77777777">
      <w:pPr>
        <w:jc w:val="center"/>
        <w:rPr>
          <w:b/>
        </w:rPr>
      </w:pPr>
      <w:r>
        <w:rPr>
          <w:b/>
        </w:rPr>
        <w:t>PENTRU ACESTE MOTIVE,</w:t>
      </w:r>
      <w:r>
        <w:rPr>
          <w:b/>
        </w:rPr>
        <w:br/>
        <w:t>ÎN NUMELE LEGII</w:t>
      </w:r>
    </w:p>
    <w:p w:rsidR="00921813" w:rsidRDefault="00D33169" w14:paraId="07225F0F" w14:textId="77777777">
      <w:pPr>
        <w:jc w:val="center"/>
        <w:rPr>
          <w:b/>
        </w:rPr>
      </w:pPr>
      <w:r>
        <w:rPr>
          <w:b/>
        </w:rPr>
        <w:t>DECIDE</w:t>
      </w:r>
    </w:p>
    <w:p w:rsidR="00921813" w:rsidRDefault="00921813" w14:paraId="4CA58343" w14:textId="77777777">
      <w:pPr>
        <w:jc w:val="center"/>
      </w:pPr>
    </w:p>
    <w:p w:rsidR="00921813" w:rsidRDefault="00D33169" w14:paraId="04A97FC1" w14:textId="03B52E53">
      <w:pPr>
        <w:ind w:firstLine="709"/>
        <w:jc w:val="both"/>
      </w:pPr>
      <w:r>
        <w:lastRenderedPageBreak/>
        <w:t xml:space="preserve">Respinge recursul formulat de reclamanta SC </w:t>
      </w:r>
      <w:r w:rsidR="00C0565D">
        <w:t>A</w:t>
      </w:r>
      <w:r>
        <w:t xml:space="preserve"> SRL, cu sediul în </w:t>
      </w:r>
      <w:r w:rsidR="005270FB">
        <w:t>..............................................</w:t>
      </w:r>
      <w:r>
        <w:t xml:space="preserve"> </w:t>
      </w:r>
      <w:proofErr w:type="spellStart"/>
      <w:r>
        <w:t>şi</w:t>
      </w:r>
      <w:proofErr w:type="spellEnd"/>
      <w:r>
        <w:t xml:space="preserve"> sediul procesual ales în </w:t>
      </w:r>
      <w:r w:rsidR="005270FB">
        <w:t>.................................</w:t>
      </w:r>
      <w:r>
        <w:t xml:space="preserve">, jud. </w:t>
      </w:r>
      <w:r w:rsidR="00C0565D">
        <w:t>............</w:t>
      </w:r>
      <w:r>
        <w:t xml:space="preserve">,  împotriva </w:t>
      </w:r>
      <w:proofErr w:type="spellStart"/>
      <w:r>
        <w:t>Sentinţei</w:t>
      </w:r>
      <w:proofErr w:type="spellEnd"/>
      <w:r>
        <w:t xml:space="preserve"> nr. </w:t>
      </w:r>
      <w:r w:rsidR="005270FB">
        <w:t>...../.....................</w:t>
      </w:r>
      <w:r>
        <w:t xml:space="preserve"> </w:t>
      </w:r>
      <w:proofErr w:type="spellStart"/>
      <w:r>
        <w:t>pronunţate</w:t>
      </w:r>
      <w:proofErr w:type="spellEnd"/>
      <w:r>
        <w:t xml:space="preserve"> de Tribunalul </w:t>
      </w:r>
      <w:r w:rsidR="00C0565D">
        <w:t>............</w:t>
      </w:r>
      <w:r>
        <w:t xml:space="preserve">, </w:t>
      </w:r>
      <w:proofErr w:type="spellStart"/>
      <w:r>
        <w:t>Secţia</w:t>
      </w:r>
      <w:proofErr w:type="spellEnd"/>
      <w:r>
        <w:t xml:space="preserve"> de contencios administrativ </w:t>
      </w:r>
      <w:proofErr w:type="spellStart"/>
      <w:r>
        <w:t>şi</w:t>
      </w:r>
      <w:proofErr w:type="spellEnd"/>
      <w:r>
        <w:t xml:space="preserve"> fiscal, în dosarul nr.</w:t>
      </w:r>
      <w:r w:rsidR="00C0565D">
        <w:t>...../..../......</w:t>
      </w:r>
      <w:r>
        <w:t>.</w:t>
      </w:r>
    </w:p>
    <w:p w:rsidR="00921813" w:rsidRDefault="00D33169" w14:paraId="7596BD7E" w14:textId="77777777">
      <w:pPr>
        <w:ind w:firstLine="709"/>
        <w:jc w:val="both"/>
      </w:pPr>
      <w:r>
        <w:t>Definitivă.</w:t>
      </w:r>
    </w:p>
    <w:p w:rsidR="00921813" w:rsidRDefault="00D33169" w14:paraId="32F07553" w14:textId="065967A9">
      <w:pPr>
        <w:ind w:firstLine="709"/>
        <w:jc w:val="both"/>
      </w:pPr>
      <w:proofErr w:type="spellStart"/>
      <w:r>
        <w:t>Pronunţată</w:t>
      </w:r>
      <w:proofErr w:type="spellEnd"/>
      <w:r>
        <w:t xml:space="preserve"> în data de </w:t>
      </w:r>
      <w:r w:rsidR="005270FB">
        <w:t>..................................</w:t>
      </w:r>
      <w:r>
        <w:t xml:space="preserve">, prin punerea </w:t>
      </w:r>
      <w:proofErr w:type="spellStart"/>
      <w:r>
        <w:t>soluţiei</w:t>
      </w:r>
      <w:proofErr w:type="spellEnd"/>
      <w:r>
        <w:t xml:space="preserve"> la </w:t>
      </w:r>
      <w:proofErr w:type="spellStart"/>
      <w:r>
        <w:t>dispoziţia</w:t>
      </w:r>
      <w:proofErr w:type="spellEnd"/>
      <w:r>
        <w:t xml:space="preserve"> </w:t>
      </w:r>
      <w:proofErr w:type="spellStart"/>
      <w:r>
        <w:t>părţilor</w:t>
      </w:r>
      <w:proofErr w:type="spellEnd"/>
      <w:r>
        <w:t xml:space="preserve"> prin mijlocirea grefei </w:t>
      </w:r>
      <w:proofErr w:type="spellStart"/>
      <w:r>
        <w:t>instanţei</w:t>
      </w:r>
      <w:proofErr w:type="spellEnd"/>
      <w:r>
        <w:t>.</w:t>
      </w:r>
    </w:p>
    <w:p w:rsidR="00921813" w:rsidRDefault="00921813" w14:paraId="4DD1B004" w14:textId="77777777">
      <w:pPr>
        <w:jc w:val="both"/>
      </w:pPr>
    </w:p>
    <w:p w:rsidR="00921813" w:rsidRDefault="00921813" w14:paraId="005A7282" w14:textId="77777777"/>
    <w:p w:rsidR="00921813" w:rsidRDefault="00D33169" w14:paraId="28E78BAB" w14:textId="77777777">
      <w:pPr>
        <w:jc w:val="center"/>
      </w:pPr>
      <w:bookmarkStart w:name="completul_1" w:id="1"/>
    </w:p>
    <w:tbl>
      <w:tblPr>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firstRow="1" w:lastRow="0" w:firstColumn="1" w:lastColumn="0" w:noHBand="0" w:noVBand="1"/>
      </w:tblPr>
      <w:tblGrid>
        <w:gridCol w:w="3022"/>
        <w:gridCol w:w="3019"/>
        <w:gridCol w:w="3019"/>
      </w:tblGrid>
      <w:tr w:rsidR="00921813" w14:paraId="29B285FF" w14:textId="77777777">
        <w:trPr>
          <w:jc w:val="center"/>
        </w:trPr>
        <w:tc>
          <w:tcPr>
            <w:tcW w:w="3096" w:type="dxa"/>
          </w:tcPr>
          <w:p w:rsidR="00921813" w:rsidRDefault="00D33169" w14:paraId="55E5D991" w14:textId="77777777">
            <w:pPr>
              <w:jc w:val="center"/>
              <w:rPr>
                <w:b/>
              </w:rPr>
            </w:pPr>
            <w:r>
              <w:rPr>
                <w:b/>
              </w:rPr>
              <w:t>Preşedinte,</w:t>
            </w:r>
          </w:p>
          <w:p w:rsidR="00921813" w:rsidRDefault="00C0565D" w14:paraId="6DD86B9C" w14:textId="4615515E">
            <w:pPr>
              <w:jc w:val="center"/>
              <w:rPr>
                <w:b/>
              </w:rPr>
            </w:pPr>
            <w:r>
              <w:rPr>
                <w:b/>
              </w:rPr>
              <w:t>...............</w:t>
            </w:r>
          </w:p>
        </w:tc>
        <w:tc>
          <w:tcPr>
            <w:tcW w:w="3096" w:type="dxa"/>
          </w:tcPr>
          <w:p w:rsidR="00921813" w:rsidRDefault="00D33169" w14:paraId="22A53B02" w14:textId="77777777">
            <w:pPr>
              <w:jc w:val="center"/>
              <w:rPr>
                <w:b/>
              </w:rPr>
            </w:pPr>
            <w:r>
              <w:rPr>
                <w:b/>
              </w:rPr>
              <w:t>Judecător,</w:t>
            </w:r>
          </w:p>
          <w:p w:rsidR="00921813" w:rsidRDefault="00D33169" w14:paraId="37D56E9B" w14:textId="6BEDC385">
            <w:pPr>
              <w:jc w:val="center"/>
              <w:rPr>
                <w:b/>
              </w:rPr>
            </w:pPr>
            <w:r>
              <w:rPr>
                <w:b/>
              </w:rPr>
              <w:t xml:space="preserve">Dr. </w:t>
            </w:r>
            <w:r w:rsidR="00C0565D">
              <w:rPr>
                <w:b/>
              </w:rPr>
              <w:t>...............</w:t>
            </w:r>
          </w:p>
        </w:tc>
        <w:tc>
          <w:tcPr>
            <w:tcW w:w="3096" w:type="dxa"/>
          </w:tcPr>
          <w:p w:rsidR="00921813" w:rsidRDefault="00D33169" w14:paraId="1200F09A" w14:textId="77777777">
            <w:pPr>
              <w:jc w:val="center"/>
              <w:rPr>
                <w:b/>
              </w:rPr>
            </w:pPr>
            <w:r>
              <w:rPr>
                <w:b/>
              </w:rPr>
              <w:t>Judecător,</w:t>
            </w:r>
          </w:p>
          <w:p w:rsidR="00921813" w:rsidRDefault="00C0565D" w14:paraId="491AF194" w14:textId="520F804D">
            <w:pPr>
              <w:jc w:val="center"/>
              <w:rPr>
                <w:b/>
              </w:rPr>
            </w:pPr>
            <w:r>
              <w:rPr>
                <w:b/>
              </w:rPr>
              <w:t>A0015</w:t>
            </w:r>
          </w:p>
        </w:tc>
      </w:tr>
      <w:tr w:rsidR="00921813" w14:paraId="534665BE" w14:textId="77777777">
        <w:trPr>
          <w:jc w:val="center"/>
        </w:trPr>
        <w:tc>
          <w:tcPr>
            <w:tcW w:w="3096" w:type="dxa"/>
          </w:tcPr>
          <w:p w:rsidR="00921813" w:rsidRDefault="00921813" w14:paraId="40CB4933" w14:textId="77777777">
            <w:pPr>
              <w:jc w:val="center"/>
              <w:rPr>
                <w:b/>
              </w:rPr>
            </w:pPr>
          </w:p>
        </w:tc>
        <w:tc>
          <w:tcPr>
            <w:tcW w:w="3096" w:type="dxa"/>
          </w:tcPr>
          <w:p w:rsidR="00921813" w:rsidRDefault="00D33169" w14:paraId="51C400E5" w14:textId="77777777">
            <w:pPr>
              <w:jc w:val="center"/>
              <w:rPr>
                <w:b/>
              </w:rPr>
            </w:pPr>
            <w:r>
              <w:rPr>
                <w:b/>
              </w:rPr>
              <w:t>Grefier,</w:t>
            </w:r>
          </w:p>
          <w:p w:rsidR="00921813" w:rsidRDefault="00C0565D" w14:paraId="67632316" w14:textId="1148FD32">
            <w:pPr>
              <w:jc w:val="center"/>
              <w:rPr>
                <w:b/>
              </w:rPr>
            </w:pPr>
            <w:r>
              <w:rPr>
                <w:b/>
              </w:rPr>
              <w:t>...............</w:t>
            </w:r>
          </w:p>
        </w:tc>
        <w:tc>
          <w:tcPr>
            <w:tcW w:w="3096" w:type="dxa"/>
          </w:tcPr>
          <w:p w:rsidR="00921813" w:rsidRDefault="00921813" w14:paraId="6145F149" w14:textId="77777777">
            <w:pPr>
              <w:jc w:val="center"/>
              <w:rPr>
                <w:b/>
              </w:rPr>
            </w:pPr>
          </w:p>
        </w:tc>
      </w:tr>
    </w:tbl>
    <w:p w:rsidR="00921813" w:rsidRDefault="00D33169" w14:paraId="4EBA1D43" w14:textId="77777777">
      <w:pPr>
        <w:jc w:val="center"/>
      </w:pPr>
      <w:r>
        <w:rPr>
          <w:b/>
        </w:rPr>
      </w:r>
      <w:bookmarkEnd w:id="1"/>
    </w:p>
    <w:p w:rsidR="00921813" w:rsidRDefault="00921813" w14:paraId="55017B1D" w14:textId="77777777">
      <w:pPr>
        <w:jc w:val="center"/>
      </w:pPr>
    </w:p>
    <w:p w:rsidR="00921813" w:rsidRDefault="00921813" w14:paraId="34DCF754" w14:textId="77777777">
      <w:pPr>
        <w:jc w:val="center"/>
      </w:pPr>
    </w:p>
    <w:p w:rsidR="00921813" w:rsidRDefault="00921813" w14:paraId="1C092BA8" w14:textId="77777777">
      <w:pPr>
        <w:jc w:val="center"/>
      </w:pPr>
    </w:p>
    <w:p w:rsidR="00921813" w:rsidRDefault="00921813" w14:paraId="26DC9337" w14:textId="77777777">
      <w:pPr>
        <w:jc w:val="center"/>
      </w:pPr>
    </w:p>
    <w:p w:rsidR="00921813" w:rsidRDefault="00921813" w14:paraId="77086DE2" w14:textId="77777777">
      <w:pPr>
        <w:jc w:val="center"/>
      </w:pPr>
    </w:p>
    <w:p w:rsidR="00921813" w:rsidRDefault="00921813" w14:paraId="196C6D31" w14:textId="77777777">
      <w:pPr>
        <w:jc w:val="center"/>
      </w:pPr>
    </w:p>
    <w:p w:rsidR="00921813" w:rsidRDefault="00921813" w14:paraId="6FA5AE77" w14:textId="77777777">
      <w:pPr>
        <w:jc w:val="center"/>
      </w:pPr>
    </w:p>
    <w:p w:rsidR="00921813" w:rsidRDefault="00921813" w14:paraId="4222F7E0" w14:textId="77777777">
      <w:pPr>
        <w:jc w:val="center"/>
      </w:pPr>
    </w:p>
    <w:p w:rsidR="00921813" w:rsidRDefault="00921813" w14:paraId="528C34E6" w14:textId="77777777">
      <w:pPr>
        <w:jc w:val="center"/>
      </w:pPr>
    </w:p>
    <w:p w:rsidR="00921813" w:rsidRDefault="00921813" w14:paraId="67D6444D" w14:textId="77777777">
      <w:pPr>
        <w:jc w:val="center"/>
      </w:pPr>
    </w:p>
    <w:p w:rsidR="00921813" w:rsidRDefault="00921813" w14:paraId="22073BA1" w14:textId="77777777">
      <w:pPr>
        <w:jc w:val="center"/>
      </w:pPr>
    </w:p>
    <w:p w:rsidR="00921813" w:rsidRDefault="00921813" w14:paraId="0A875A6C" w14:textId="77777777">
      <w:pPr>
        <w:jc w:val="center"/>
      </w:pPr>
    </w:p>
    <w:p w:rsidR="00921813" w:rsidRDefault="00921813" w14:paraId="05A486ED" w14:textId="77777777">
      <w:pPr>
        <w:jc w:val="center"/>
      </w:pPr>
    </w:p>
    <w:p w:rsidR="00921813" w:rsidRDefault="00921813" w14:paraId="13D8F397" w14:textId="77777777">
      <w:pPr>
        <w:jc w:val="center"/>
      </w:pPr>
    </w:p>
    <w:p w:rsidR="00921813" w:rsidRDefault="00921813" w14:paraId="050591E5" w14:textId="77777777">
      <w:pPr>
        <w:jc w:val="center"/>
      </w:pPr>
    </w:p>
    <w:p w:rsidR="00921813" w:rsidRDefault="00921813" w14:paraId="41BAADD9" w14:textId="77777777">
      <w:pPr>
        <w:jc w:val="center"/>
      </w:pPr>
    </w:p>
    <w:p w:rsidR="00921813" w:rsidRDefault="00921813" w14:paraId="31AC2564" w14:textId="77777777">
      <w:pPr>
        <w:jc w:val="center"/>
      </w:pPr>
    </w:p>
    <w:p w:rsidR="00921813" w:rsidRDefault="00921813" w14:paraId="342332B6" w14:textId="77777777">
      <w:pPr>
        <w:jc w:val="center"/>
      </w:pPr>
    </w:p>
    <w:p w:rsidR="00921813" w:rsidRDefault="00921813" w14:paraId="455D5199" w14:textId="77777777">
      <w:pPr>
        <w:jc w:val="center"/>
      </w:pPr>
    </w:p>
    <w:p w:rsidR="00921813" w:rsidRDefault="00D33169" w14:paraId="2810407C" w14:textId="28272DC3">
      <w:pPr>
        <w:rPr>
          <w:sz w:val="16"/>
        </w:rPr>
      </w:pPr>
      <w:r>
        <w:rPr>
          <w:sz w:val="16"/>
        </w:rPr>
        <w:t xml:space="preserve">Red. </w:t>
      </w:r>
      <w:r w:rsidR="00C0565D">
        <w:rPr>
          <w:sz w:val="16"/>
        </w:rPr>
        <w:t>A0015</w:t>
      </w:r>
    </w:p>
    <w:p w:rsidR="00921813" w:rsidRDefault="00D33169" w14:paraId="1286B016" w14:textId="08CECB09">
      <w:pPr>
        <w:rPr>
          <w:sz w:val="16"/>
        </w:rPr>
      </w:pPr>
      <w:proofErr w:type="spellStart"/>
      <w:r>
        <w:rPr>
          <w:sz w:val="16"/>
        </w:rPr>
        <w:t>Tehnored</w:t>
      </w:r>
      <w:proofErr w:type="spellEnd"/>
      <w:r>
        <w:rPr>
          <w:sz w:val="16"/>
        </w:rPr>
        <w:t>.</w:t>
      </w:r>
      <w:r w:rsidR="005270FB">
        <w:rPr>
          <w:sz w:val="16"/>
        </w:rPr>
        <w:t>...............</w:t>
      </w:r>
      <w:r>
        <w:rPr>
          <w:sz w:val="16"/>
        </w:rPr>
        <w:t xml:space="preserve">  4  ex. </w:t>
      </w:r>
    </w:p>
    <w:p w:rsidR="00921813" w:rsidRDefault="00D33169" w14:paraId="541E0A11" w14:textId="5CAF4990">
      <w:pPr>
        <w:rPr>
          <w:sz w:val="16"/>
        </w:rPr>
      </w:pPr>
      <w:r>
        <w:rPr>
          <w:sz w:val="16"/>
        </w:rPr>
        <w:t>Data concept:</w:t>
      </w:r>
      <w:r w:rsidR="005270FB">
        <w:rPr>
          <w:sz w:val="16"/>
        </w:rPr>
        <w:t>...................</w:t>
      </w:r>
    </w:p>
    <w:p w:rsidR="00921813" w:rsidRDefault="00D33169" w14:paraId="1F75125B" w14:textId="09256579">
      <w:pPr>
        <w:rPr>
          <w:sz w:val="16"/>
        </w:rPr>
      </w:pPr>
      <w:r>
        <w:rPr>
          <w:sz w:val="16"/>
        </w:rPr>
        <w:t xml:space="preserve">Data </w:t>
      </w:r>
      <w:proofErr w:type="spellStart"/>
      <w:r>
        <w:rPr>
          <w:sz w:val="16"/>
        </w:rPr>
        <w:t>tehnored</w:t>
      </w:r>
      <w:proofErr w:type="spellEnd"/>
      <w:r>
        <w:rPr>
          <w:sz w:val="16"/>
        </w:rPr>
        <w:t>.:</w:t>
      </w:r>
      <w:r w:rsidR="005270FB">
        <w:rPr>
          <w:sz w:val="16"/>
        </w:rPr>
        <w:t>................</w:t>
      </w:r>
    </w:p>
    <w:p w:rsidR="00921813" w:rsidRDefault="00D33169" w14:paraId="694E0147" w14:textId="013F6B0F">
      <w:proofErr w:type="spellStart"/>
      <w:r>
        <w:rPr>
          <w:sz w:val="16"/>
        </w:rPr>
        <w:t>Jud.fond</w:t>
      </w:r>
      <w:proofErr w:type="spellEnd"/>
      <w:r>
        <w:rPr>
          <w:sz w:val="16"/>
        </w:rPr>
        <w:t>:</w:t>
      </w:r>
      <w:r w:rsidR="005270FB">
        <w:rPr>
          <w:sz w:val="16"/>
        </w:rPr>
        <w:t>..........................</w:t>
      </w:r>
    </w:p>
    <w:sectPr w:rsidR="00921813">
      <w:footerReference w:type="default" r:id="rId6"/>
      <w:pgSz w:w="11906" w:h="16838"/>
      <w:pgMar w:top="1843"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33169" w:rsidRDefault="00D33169" w14:paraId="4C0EFCF8" w14:textId="77777777">
      <w:r>
        <w:separator/>
      </w:r>
    </w:p>
  </w:endnote>
  <w:endnote w:type="continuationSeparator" w:id="0">
    <w:p w:rsidR="00D33169" w:rsidRDefault="00D33169" w14:paraId="332DA60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21813" w:rsidRDefault="00D33169" w14:paraId="432E0652" w14:textId="77777777">
    <w:pPr>
      <w:pStyle w:val="Subsol"/>
      <w:jc w:val="center"/>
    </w:pPr>
    <w:r>
      <w:fldChar w:fldCharType="begin"/>
    </w:r>
    <w:r>
      <w:instrText>PAGE   \* MERGEFORMAT</w:instrText>
    </w:r>
    <w:r>
      <w:fldChar w:fldCharType="separate"/>
    </w:r>
    <w:r>
      <w:t>#</w:t>
    </w:r>
    <w:r>
      <w:fldChar w:fldCharType="end"/>
    </w:r>
  </w:p>
  <w:p w:rsidR="00921813" w:rsidRDefault="00921813" w14:paraId="57B55A05" w14:textId="7777777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33169" w:rsidRDefault="00D33169" w14:paraId="4FE78148" w14:textId="77777777">
      <w:r>
        <w:separator/>
      </w:r>
    </w:p>
  </w:footnote>
  <w:footnote w:type="continuationSeparator" w:id="0">
    <w:p w:rsidR="00D33169" w:rsidRDefault="00D33169" w14:paraId="5DE506D0"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29.48.63:80/ecris_cdms/document_upload.aspx?id_document=4300000000446848&amp;id_departament=4&amp;id_sesiune=233540&amp;id_user=38&amp;id_institutie=43&amp;actiune=modifica"/>
  </w:docVars>
  <w:rsids>
    <w:rsidRoot w:val="00921813"/>
    <w:rsid w:val="001A2B7D"/>
    <w:rsid w:val="005270FB"/>
    <w:rsid w:val="006308D5"/>
    <w:rsid w:val="00921813"/>
    <w:rsid w:val="00C0565D"/>
    <w:rsid w:val="00D33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1F378"/>
  <w15:docId w15:val="{39728877-5DBF-469C-A07C-2908A2FC3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paragraph" w:styleId="Titlu1">
    <w:name w:val="heading 1"/>
    <w:basedOn w:val="Normal"/>
    <w:next w:val="Normal"/>
    <w:uiPriority w:val="9"/>
    <w:qFormat/>
    <w:pPr>
      <w:keepNext/>
      <w:jc w:val="center"/>
      <w:outlineLvl w:val="0"/>
    </w:pPr>
    <w:rPr>
      <w:b/>
      <w:sz w:val="28"/>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pPr>
      <w:tabs>
        <w:tab w:val="center" w:pos="4536"/>
        <w:tab w:val="right" w:pos="9072"/>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AntetCaracter">
    <w:name w:val="Antet Caracter"/>
    <w:link w:val="Antet"/>
  </w:style>
  <w:style w:type="character" w:customStyle="1" w:styleId="SubsolCaracter">
    <w:name w:val="Subsol Caracter"/>
    <w:link w:val="Subsol"/>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26</ap:TotalTime>
  <ap:Pages>7</ap:Pages>
  <ap:Words>3475</ap:Words>
  <ap:Characters>19808</ap:Characters>
  <ap:Application>Microsoft Office Word</ap:Application>
  <ap:DocSecurity>0</ap:DocSecurity>
  <ap:Lines>165</ap:Lines>
  <ap:Paragraphs>46</ap:Paragraphs>
  <ap:ScaleCrop>false</ap:ScaleCrop>
  <ap:HeadingPairs>
    <vt:vector baseType="variant" size="2">
      <vt:variant>
        <vt:lpstr>Titlu</vt:lpstr>
      </vt:variant>
      <vt:variant>
        <vt:i4>1</vt:i4>
      </vt:variant>
    </vt:vector>
  </ap:HeadingPairs>
  <ap:TitlesOfParts>
    <vt:vector baseType="lpstr" size="1">
      <vt:lpstr>Numar dosar ﷡﷡﷡﷡﷡</vt:lpstr>
    </vt:vector>
  </ap:TitlesOfParts>
  <ap:CharactersWithSpaces>23237</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