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5.0 -->
  <w:body>
    <w:p w:rsidR="00E84E6D" w14:paraId="480DF0D3" w14:textId="24570496">
      <w:r>
        <w:t>Cod ECLI    ECLI:RO:</w:t>
      </w:r>
      <w:r w:rsidR="00012958">
        <w:t>......................................                           Hotărârea 19</w:t>
      </w:r>
    </w:p>
    <w:p w:rsidR="00E84E6D" w14:paraId="59DC98AE" w14:textId="029DD6BA">
      <w:r>
        <w:t xml:space="preserve">Dosar nr. </w:t>
      </w:r>
      <w:r w:rsidR="00012958">
        <w:t>...../..../2017</w:t>
      </w:r>
    </w:p>
    <w:p w:rsidR="00E84E6D" w14:paraId="7EDA36BB" w14:textId="77777777">
      <w:pPr>
        <w:jc w:val="center"/>
      </w:pPr>
      <w:r>
        <w:t>R O M Â N I A</w:t>
      </w:r>
    </w:p>
    <w:p w:rsidR="00E84E6D" w14:paraId="147296E0" w14:textId="65D9774B">
      <w:pPr>
        <w:jc w:val="center"/>
      </w:pPr>
      <w:r>
        <w:t xml:space="preserve">CURTEA DE APEL </w:t>
      </w:r>
      <w:r w:rsidR="00012958">
        <w:t>...............</w:t>
      </w:r>
    </w:p>
    <w:p w:rsidR="00E84E6D" w14:paraId="0B12DB6E" w14:textId="77777777">
      <w:pPr>
        <w:jc w:val="center"/>
        <w:rPr>
          <w:rStyle w:val="Fontdeparagrafimplicit"/>
          <w:lang w:val="en-US"/>
        </w:rPr>
      </w:pPr>
      <w:r>
        <w:t>SECŢIA CONTENCIOS ADMINISTRATIV SI FISCAL</w:t>
      </w:r>
    </w:p>
    <w:p w:rsidR="00E84E6D" w14:paraId="6D78CC72" w14:textId="5733535A">
      <w:pPr>
        <w:jc w:val="center"/>
      </w:pPr>
      <w:r>
        <w:rPr>
          <w:rStyle w:val="Fontdeparagrafimplicit"/>
          <w:lang w:val="en-US"/>
        </w:rPr>
      </w:r>
      <w:bookmarkStart w:name="tip_incheiere" w:id="0"/>
      <w:r>
        <w:t>DECIZIE</w:t>
      </w:r>
      <w:bookmarkEnd w:id="0"/>
      <w:r>
        <w:t xml:space="preserve"> Nr. </w:t>
      </w:r>
      <w:r w:rsidR="00012958">
        <w:t>.....</w:t>
      </w:r>
      <w:r>
        <w:t>/</w:t>
      </w:r>
      <w:r w:rsidR="00012958">
        <w:t>........</w:t>
      </w:r>
    </w:p>
    <w:p w:rsidR="00E84E6D" w14:paraId="4E48282D" w14:textId="51B6F325">
      <w:pPr>
        <w:jc w:val="center"/>
      </w:pPr>
      <w:r>
        <w:t>Şedinţa </w:t>
      </w:r>
      <w:bookmarkStart w:name="tip_sedinta" w:id="1"/>
      <w:r>
        <w:t>publică</w:t>
      </w:r>
      <w:bookmarkEnd w:id="1"/>
      <w:r>
        <w:t xml:space="preserve"> de la </w:t>
      </w:r>
      <w:r w:rsidR="00CD60E3">
        <w:t>...............</w:t>
      </w:r>
      <w:r>
        <w:t xml:space="preserve"> </w:t>
      </w:r>
    </w:p>
    <w:p w:rsidR="00E84E6D" w14:paraId="413A1C71" w14:textId="77777777">
      <w:pPr>
        <w:jc w:val="center"/>
      </w:pPr>
      <w:r>
        <w:t>Completul compus din:</w:t>
      </w:r>
    </w:p>
    <w:p w:rsidR="00E84E6D" w14:paraId="6D61E993" w14:textId="334312A8">
      <w:pPr>
        <w:jc w:val="center"/>
      </w:pPr>
      <w:r>
        <w:t xml:space="preserve">PREŞEDINTE </w:t>
      </w:r>
      <w:r w:rsidR="00CD60E3">
        <w:t>...............</w:t>
      </w:r>
    </w:p>
    <w:p w:rsidR="00E84E6D" w14:paraId="604A9407" w14:textId="44956853">
      <w:pPr>
        <w:jc w:val="center"/>
      </w:pPr>
      <w:r>
        <w:t xml:space="preserve">Judecător </w:t>
      </w:r>
      <w:r w:rsidR="00CD60E3">
        <w:t>...............</w:t>
      </w:r>
    </w:p>
    <w:p w:rsidR="00E84E6D" w14:paraId="281DB27A" w14:textId="5946D4DD">
      <w:pPr>
        <w:jc w:val="center"/>
      </w:pPr>
      <w:r>
        <w:t xml:space="preserve">Judecător </w:t>
      </w:r>
      <w:r w:rsidR="00012958">
        <w:t>A0001</w:t>
      </w:r>
    </w:p>
    <w:p w:rsidR="00E84E6D" w14:paraId="1654B54F" w14:textId="4F7E80C5">
      <w:pPr>
        <w:jc w:val="center"/>
      </w:pPr>
      <w:r>
        <w:t xml:space="preserve">Grefier </w:t>
      </w:r>
      <w:r w:rsidR="00CD60E3">
        <w:t>...............</w:t>
      </w:r>
    </w:p>
    <w:p w:rsidR="00E84E6D" w14:paraId="4ABC5A03" w14:textId="77777777">
      <w:pPr>
        <w:jc w:val="center"/>
      </w:pPr>
    </w:p>
    <w:p w:rsidR="00E84E6D" w14:paraId="36D5F56A" w14:textId="77777777">
      <w:pPr>
        <w:jc w:val="center"/>
      </w:pPr>
      <w:r>
        <w:t>XXXX</w:t>
      </w:r>
    </w:p>
    <w:p w:rsidR="00E84E6D" w14:paraId="4934B28F" w14:textId="77777777">
      <w:pPr>
        <w:jc w:val="center"/>
      </w:pPr>
    </w:p>
    <w:p w:rsidR="00E84E6D" w14:paraId="05B2E3A1" w14:textId="496969A9">
      <w:pPr>
        <w:ind w:firstLine="708"/>
        <w:jc w:val="both"/>
      </w:pPr>
      <w:r>
        <w:t xml:space="preserve">S-a luat în examinare recursul declarat de </w:t>
      </w:r>
      <w:bookmarkStart w:name="_Hlk152676120" w:id="2"/>
      <w:r>
        <w:t xml:space="preserve">pârâtul </w:t>
      </w:r>
      <w:r>
        <w:rPr>
          <w:rStyle w:val="Fontdeparagrafimplicit"/>
          <w:b/>
        </w:rPr>
        <w:t xml:space="preserve">Primarul Municipiului </w:t>
      </w:r>
      <w:r w:rsidR="0010507D">
        <w:rPr>
          <w:rStyle w:val="Fontdeparagrafimplicit"/>
          <w:b/>
        </w:rPr>
        <w:t>...A...</w:t>
      </w:r>
      <w:r>
        <w:t xml:space="preserve"> </w:t>
      </w:r>
      <w:bookmarkEnd w:id="2"/>
      <w:r>
        <w:t xml:space="preserve">în contradictoriu cu intimatul reclamant </w:t>
      </w:r>
      <w:bookmarkStart w:name="_Hlk236603552" w:id="3"/>
      <w:r w:rsidR="0010507D">
        <w:rPr>
          <w:rStyle w:val="Fontdeparagrafimplicit"/>
          <w:b/>
        </w:rPr>
        <w:t>...Y...</w:t>
      </w:r>
      <w:r>
        <w:t xml:space="preserve">  </w:t>
      </w:r>
      <w:bookmarkEnd w:id="3"/>
      <w:r>
        <w:t xml:space="preserve">împotriva sentinței nr. </w:t>
      </w:r>
      <w:r w:rsidR="0010507D">
        <w:t>....</w:t>
      </w:r>
      <w:r>
        <w:t xml:space="preserve">, din data de </w:t>
      </w:r>
      <w:r w:rsidR="0010507D">
        <w:t>................</w:t>
      </w:r>
      <w:r>
        <w:t xml:space="preserve">, pronunțată de Tribunalul </w:t>
      </w:r>
      <w:r w:rsidR="0010507D">
        <w:t>...B...</w:t>
      </w:r>
      <w:r>
        <w:t xml:space="preserve">, Secția </w:t>
      </w:r>
      <w:r w:rsidR="0010507D">
        <w:t>.....</w:t>
      </w:r>
      <w:r>
        <w:t xml:space="preserve"> Civilă, de Contencios Administrativ şi Fiscal, în dosarul nr. </w:t>
      </w:r>
      <w:r w:rsidR="00012958">
        <w:t>...../..../2017</w:t>
      </w:r>
      <w:r>
        <w:t xml:space="preserve"> .</w:t>
      </w:r>
    </w:p>
    <w:p w:rsidR="00E84E6D" w14:paraId="3AD35C7F" w14:textId="32990BCD">
      <w:pPr>
        <w:ind w:firstLine="708"/>
        <w:jc w:val="both"/>
      </w:pPr>
      <w:r>
        <w:t xml:space="preserve">La apelul nominal, făcut în ședință publică, a răspuns intimatul reclamant </w:t>
      </w:r>
      <w:r w:rsidR="0010507D">
        <w:t>...Y...</w:t>
      </w:r>
      <w:r>
        <w:t xml:space="preserve"> personal,  lipsind recurentul pârât Primarul Municipiului </w:t>
      </w:r>
      <w:r w:rsidR="0010507D">
        <w:t>...A...</w:t>
      </w:r>
      <w:r>
        <w:t xml:space="preserve"> .</w:t>
      </w:r>
    </w:p>
    <w:p w:rsidR="00E84E6D" w14:paraId="59905924" w14:textId="77777777">
      <w:pPr>
        <w:ind w:firstLine="708"/>
        <w:jc w:val="both"/>
      </w:pPr>
      <w:r>
        <w:t>Procedura de citare a părților este legal îndeplinită.</w:t>
      </w:r>
    </w:p>
    <w:p w:rsidR="00E84E6D" w14:paraId="11B88E3A" w14:textId="5B43B9DE">
      <w:pPr>
        <w:ind w:firstLine="708"/>
        <w:jc w:val="both"/>
      </w:pPr>
      <w:r>
        <w:t xml:space="preserve">S-a făcut </w:t>
      </w:r>
      <w:r>
        <w:t>referatul</w:t>
      </w:r>
      <w:r>
        <w:t xml:space="preserve"> cauzei de către </w:t>
      </w:r>
      <w:r>
        <w:t>grefier</w:t>
      </w:r>
      <w:r>
        <w:t xml:space="preserve">ul de ședință </w:t>
      </w:r>
      <w:r>
        <w:t>care învederează</w:t>
      </w:r>
      <w:r>
        <w:t xml:space="preserve"> instanței că recurentul pârât Primarul Municipiului </w:t>
      </w:r>
      <w:r w:rsidR="0010507D">
        <w:t>...A...</w:t>
      </w:r>
      <w:r>
        <w:t xml:space="preserve"> a depus , prin Serviciul Arhivă, răspuns la întâmpinare şi a solicitat judecarea cauzei în lipsă, conform dispoziţiilor art. 411 alin. 1 pct. 2 Cod procedură civilă, după care:</w:t>
      </w:r>
    </w:p>
    <w:p w:rsidR="00E84E6D" w14:paraId="7034F9DE" w14:textId="77777777">
      <w:pPr>
        <w:ind w:firstLine="708"/>
        <w:jc w:val="both"/>
      </w:pPr>
      <w:r>
        <w:t>Nemaifiind alte cereri, Curtea apreciază cauza în stare de soluţionare şi acordă cuvântul părţii prezente pentru a pune concluzii pe excepţia nulităţii recursului invocată prin întâmpinare şi pe recurs.</w:t>
      </w:r>
    </w:p>
    <w:p w:rsidR="00E84E6D" w14:paraId="3B62BFB2" w14:textId="6068043F">
      <w:pPr>
        <w:ind w:firstLine="708"/>
        <w:jc w:val="both"/>
      </w:pPr>
      <w:r>
        <w:t xml:space="preserve">Intimatul reclamant </w:t>
      </w:r>
      <w:r w:rsidR="0010507D">
        <w:t>...Y...</w:t>
      </w:r>
      <w:r>
        <w:t xml:space="preserve"> solicită admiterea excepţiei nulităţii recursului, motivat de faptul că motivele de nelegalitate nu se încadrează în motivele de casare prevăzute de art. 488 Cod procedură civilă. Pe recurs, solicită respingerea recursului ca nefondat, conform motivelor invocate prin întâmpinare, fără cheltuieli de judecată.</w:t>
      </w:r>
    </w:p>
    <w:p w:rsidR="00E84E6D" w14:paraId="5660E7DB" w14:textId="77777777">
      <w:pPr>
        <w:jc w:val="both"/>
      </w:pPr>
    </w:p>
    <w:p w:rsidR="00E84E6D" w14:paraId="5EAB8E61" w14:textId="77777777">
      <w:pPr>
        <w:jc w:val="center"/>
        <w:rPr>
          <w:rStyle w:val="Fontdeparagrafimplicit"/>
          <w:b/>
        </w:rPr>
      </w:pPr>
      <w:r>
        <w:rPr>
          <w:rStyle w:val="Fontdeparagrafimplicit"/>
          <w:b/>
        </w:rPr>
        <w:t>C U R T E A</w:t>
      </w:r>
    </w:p>
    <w:p w:rsidR="00E84E6D" w14:paraId="76820690" w14:textId="77777777">
      <w:pPr>
        <w:jc w:val="center"/>
        <w:rPr>
          <w:rStyle w:val="Fontdeparagrafimplicit"/>
          <w:b/>
        </w:rPr>
      </w:pPr>
    </w:p>
    <w:p w:rsidR="00E84E6D" w14:paraId="7542AEA8" w14:textId="77777777">
      <w:pPr>
        <w:jc w:val="both"/>
        <w:rPr>
          <w:rStyle w:val="Fontdeparagrafimplicit"/>
          <w:b/>
        </w:rPr>
      </w:pPr>
      <w:r>
        <w:tab/>
      </w:r>
      <w:r>
        <w:rPr>
          <w:rStyle w:val="Fontdeparagrafimplicit"/>
          <w:b/>
        </w:rPr>
        <w:t>Asupra recursului de faţă:</w:t>
      </w:r>
    </w:p>
    <w:p w:rsidR="00E84E6D" w14:paraId="1A33560C" w14:textId="51F4EE7E">
      <w:pPr>
        <w:ind w:firstLine="708"/>
        <w:jc w:val="both"/>
      </w:pPr>
      <w:r>
        <w:t xml:space="preserve">Prin Sentinţa nr. </w:t>
      </w:r>
      <w:r w:rsidR="0010507D">
        <w:t>.... din data de ...............</w:t>
      </w:r>
      <w:r>
        <w:t xml:space="preserve">, pronunțată de Tribunalul </w:t>
      </w:r>
      <w:r w:rsidR="0010507D">
        <w:t>...B...</w:t>
      </w:r>
      <w:r>
        <w:t xml:space="preserve">, Secția </w:t>
      </w:r>
      <w:r w:rsidR="0010507D">
        <w:t>.....</w:t>
      </w:r>
      <w:r>
        <w:t xml:space="preserve"> Civilă, de Contencios Administrativ şi Fiscal, în dosarul nr. </w:t>
      </w:r>
      <w:r w:rsidR="00012958">
        <w:t>...../..../2017</w:t>
      </w:r>
      <w:r>
        <w:t xml:space="preserve">, s-a admis acţiunea formulată de reclamantul </w:t>
      </w:r>
      <w:r w:rsidR="0010507D">
        <w:t>...Y...</w:t>
      </w:r>
      <w:r>
        <w:t xml:space="preserve">, cu domiciliul în </w:t>
      </w:r>
      <w:r w:rsidR="0010507D">
        <w:t>....................................</w:t>
      </w:r>
      <w:r>
        <w:t xml:space="preserve">, având CNP </w:t>
      </w:r>
      <w:r w:rsidR="0010507D">
        <w:t>...................</w:t>
      </w:r>
      <w:r>
        <w:t xml:space="preserve">, în contradictoriu cu pârâtul PRIMARUL MUNICIPIULUI </w:t>
      </w:r>
      <w:r w:rsidR="0010507D">
        <w:t>...A...</w:t>
      </w:r>
      <w:r>
        <w:t xml:space="preserve">, cu sediul în </w:t>
      </w:r>
      <w:r w:rsidR="0010507D">
        <w:t>....................................</w:t>
      </w:r>
      <w:r>
        <w:t>.</w:t>
      </w:r>
    </w:p>
    <w:p w:rsidR="00E84E6D" w14:paraId="3E78DD4E" w14:textId="6FE7B998">
      <w:pPr>
        <w:jc w:val="both"/>
      </w:pPr>
      <w:r>
        <w:t xml:space="preserve">            S-a anulat dispoziţia nr. </w:t>
      </w:r>
      <w:r w:rsidR="0010507D">
        <w:t>.......</w:t>
      </w:r>
      <w:r>
        <w:t xml:space="preserve">/30.08.2017 emisă de Primarul municipiului </w:t>
      </w:r>
      <w:r w:rsidR="0010507D">
        <w:t>...A...</w:t>
      </w:r>
      <w:r>
        <w:t>.</w:t>
      </w:r>
    </w:p>
    <w:p w:rsidR="00E84E6D" w14:paraId="3DCED619" w14:textId="775FDE2E">
      <w:pPr>
        <w:ind w:firstLine="708"/>
        <w:jc w:val="both"/>
      </w:pPr>
      <w:r>
        <w:t xml:space="preserve">Împotriva acestei sentinţe a declarat </w:t>
      </w:r>
      <w:r>
        <w:rPr>
          <w:rStyle w:val="Fontdeparagrafimplicit"/>
          <w:b/>
        </w:rPr>
        <w:t>recurs</w:t>
      </w:r>
      <w:r>
        <w:t xml:space="preserve"> </w:t>
      </w:r>
      <w:r>
        <w:rPr>
          <w:rStyle w:val="Fontdeparagrafimplicit"/>
          <w:b/>
        </w:rPr>
        <w:t xml:space="preserve">pârâtul Primarul Municipiului </w:t>
      </w:r>
      <w:r w:rsidR="0010507D">
        <w:rPr>
          <w:rStyle w:val="Fontdeparagrafimplicit"/>
          <w:b/>
        </w:rPr>
        <w:t>...A...</w:t>
      </w:r>
      <w:r>
        <w:rPr>
          <w:rStyle w:val="Fontdeparagrafimplicit"/>
          <w:b/>
        </w:rPr>
        <w:t>,</w:t>
      </w:r>
      <w:r>
        <w:t xml:space="preserve"> criticând-o ca netemeinică şi nelegală.</w:t>
      </w:r>
    </w:p>
    <w:p w:rsidR="00E84E6D" w14:paraId="42F851FA" w14:textId="4976219C">
      <w:pPr>
        <w:ind w:firstLine="708"/>
        <w:jc w:val="both"/>
      </w:pPr>
      <w:r>
        <w:t xml:space="preserve">În motivarea recursului pârâtul a arătat că reclamantul </w:t>
      </w:r>
      <w:r w:rsidR="0010507D">
        <w:t>...Y...</w:t>
      </w:r>
      <w:r>
        <w:t xml:space="preserve"> a chemat în judecată Primarul Municipiului </w:t>
      </w:r>
      <w:r w:rsidR="0010507D">
        <w:t>...A...</w:t>
      </w:r>
      <w:r>
        <w:t xml:space="preserve"> pentru ca prin hotărârea ce se va pronunța instanța să dispună anularea Dispoziției Primarului Municipiului </w:t>
      </w:r>
      <w:r w:rsidR="0010507D">
        <w:t>...A...</w:t>
      </w:r>
      <w:r>
        <w:t xml:space="preserve"> nr. </w:t>
      </w:r>
      <w:r w:rsidR="0010507D">
        <w:t>.......</w:t>
      </w:r>
      <w:r>
        <w:t xml:space="preserve">/30.08.2017 prin care i-a fost imputat prejudiciul în cuantum de 1.368.896,35 lei, produs în perioada 16.03.2015 - 20.08.2015, perioadă în care a coordonat, condus, monitorizat şi controlat activitatea Direcției Administrarea Domeniului Public şi Privat, prejudiciu reprezentând contravaloare servicii de salubrizare decontate pentru alte operațiuni decât cele real executate şi la tarife mai mari decât cele aferente operațiunilor real executate, constatat de către Curtea de Conturi a României </w:t>
      </w:r>
      <w:r>
        <w:t xml:space="preserve">prin procesul verbal de constatare din 29 noiembrie 2016, înregistrat la Primăria Municipiului </w:t>
      </w:r>
      <w:r w:rsidR="0010507D">
        <w:t>...A...</w:t>
      </w:r>
      <w:r>
        <w:t xml:space="preserve"> sub nr. </w:t>
      </w:r>
      <w:r w:rsidR="0010507D">
        <w:t>.......</w:t>
      </w:r>
      <w:r>
        <w:t>/29.11.2016 şi a accesoriilor calculate până la data recuperării efective a acestuia motivat de faptul că aceasta a fost emisă fără respectarea prevederilor legale, precum şi obligarea la plata cheltuielilor de judecată ocazionate cu acest proces.</w:t>
      </w:r>
    </w:p>
    <w:p w:rsidR="00E84E6D" w14:paraId="4B6DB5F1" w14:textId="0A7B9DBE">
      <w:pPr>
        <w:ind w:firstLine="708"/>
        <w:jc w:val="both"/>
      </w:pPr>
      <w:r>
        <w:t xml:space="preserve">Instanța de fond a făcut o interpretare greșită atunci când a anulat Dispoziția de imputare nr. </w:t>
      </w:r>
      <w:r w:rsidR="0010507D">
        <w:t>.......</w:t>
      </w:r>
      <w:r>
        <w:t>/30.08.2017 prin raportare la art. 85 alin. 1 din Legea nr. 188/1999.</w:t>
      </w:r>
    </w:p>
    <w:p w:rsidR="00E84E6D" w14:paraId="4AE9BB63" w14:textId="77777777">
      <w:pPr>
        <w:ind w:firstLine="708"/>
        <w:jc w:val="both"/>
      </w:pPr>
      <w:r>
        <w:t>Potrivit prevederilor Regulamentului privind organizarea şi desfășurarea activităților specifice Curții de Conturi, precum şi valorificarea actelor rezultate din aceste activități aprobat prin H.G. nr. 155/2014, împotriva actelor de control al Curții de Conturi, entitatea auditată are posibilitatea de a formula contestații administrative. De asemenea, împotriva măsurilor dispuse prin decizie, precum şi a termenului stabilit pentru ducerea la îndeplinire a unora dintre aceste măsuri, în termen de 15 zile calendaristice de la data primirii acesteia, conducătorul entității verificate poate depune/transmite contestație la structura Curții de Conturi care a emis decizia.</w:t>
      </w:r>
    </w:p>
    <w:p w:rsidR="00E84E6D" w14:paraId="03C6A0D5" w14:textId="77777777">
      <w:pPr>
        <w:ind w:firstLine="708"/>
        <w:jc w:val="both"/>
      </w:pPr>
      <w:r>
        <w:t>Potrivit punctului 210 din Regulamentul privind organizarea şi desfăşurarea activităţilor specifice Curţii de Conturi, precum şi valorificarea actelor rezultate din aceste activităţi aprobat prin H.G. nr. 155/2014, contestaţia suspendă obligaţia executării deciziei până la soluţionarea ei de către comisia de soluţionare a contestaţiilor. Executarea măsurilor devine obligatorie de la data comunicării încheierii formulate de comisia de soluţionare a contestaţiilor, prin care se respinge integral sau parţial contestaţia. Prin "data comunicării încheierii" se înţelege data confirmării de primire a acesteia, menţionată pe documentul de transmitere a încheierii.</w:t>
      </w:r>
    </w:p>
    <w:p w:rsidR="00E84E6D" w14:paraId="7614B303" w14:textId="403E6BBF">
      <w:pPr>
        <w:ind w:firstLine="708"/>
        <w:jc w:val="both"/>
      </w:pPr>
      <w:r>
        <w:t xml:space="preserve">In ceea ce priveşte dispoziţia contestată de către reclamant, se învederează faptul că aceasta a fost emisă pentru ducerea la îndeplinire a măsurilor dispuse de către Curtea de Conturi prin decizia nr. </w:t>
      </w:r>
      <w:r w:rsidR="0010507D">
        <w:t>....</w:t>
      </w:r>
      <w:r>
        <w:t xml:space="preserve">/2017 emisă de Curtea de Conturi a României - Camera de Conturi </w:t>
      </w:r>
      <w:r w:rsidR="0010507D">
        <w:t>...B...</w:t>
      </w:r>
      <w:r>
        <w:t xml:space="preserve"> comunicată instituţiei cu adresa nr. </w:t>
      </w:r>
      <w:r w:rsidR="0010507D">
        <w:t>.....</w:t>
      </w:r>
      <w:r>
        <w:t xml:space="preserve">/27.02.2017 şi înregistrată sub nr. </w:t>
      </w:r>
      <w:r w:rsidR="0010507D">
        <w:t>........</w:t>
      </w:r>
      <w:r>
        <w:t>/28.02.2017.</w:t>
      </w:r>
    </w:p>
    <w:p w:rsidR="00E84E6D" w14:paraId="13247DAB" w14:textId="0C023B28">
      <w:pPr>
        <w:ind w:firstLine="708"/>
        <w:jc w:val="both"/>
      </w:pPr>
      <w:r>
        <w:t xml:space="preserve">Împotriva acestei decizii a formulat contestaţie instituţia pârâtă, contestaţie care a fost soluţionată prin încheierea nr. </w:t>
      </w:r>
      <w:r w:rsidR="0010507D">
        <w:t>....</w:t>
      </w:r>
      <w:r>
        <w:t xml:space="preserve"> din 26.07.2017 emisă de Curtea de Conturi a României, Departamentul de coordonare a verificării bugetelor unităţilor administrativ-teritoriale, încheiere ce a fost comunicată la data de 01.08.2017.</w:t>
      </w:r>
    </w:p>
    <w:p w:rsidR="00E84E6D" w14:paraId="79F5BB18" w14:textId="77777777">
      <w:pPr>
        <w:ind w:firstLine="708"/>
        <w:jc w:val="both"/>
      </w:pPr>
      <w:r>
        <w:t>Având în vedere faptul că, potrivit prevederilor legale invocate mai sus, era suspendată de drept obligaţia executării deciziei până la soluţionarea ei de către comisia de soluţionare a contestaţiilor şi termenul în care conducătorul instituţiei trebuie să dispună recuperarea pagubei este suspendat.</w:t>
      </w:r>
    </w:p>
    <w:p w:rsidR="00E84E6D" w14:paraId="63178DD7" w14:textId="267CD601">
      <w:pPr>
        <w:ind w:firstLine="708"/>
        <w:jc w:val="both"/>
      </w:pPr>
      <w:r>
        <w:t xml:space="preserve">Dispoziţia contestată a fost emisă înlăuntrul termenului de 30 de zile de la data primirii de către instituţie a încheierii nr. </w:t>
      </w:r>
      <w:r w:rsidR="0010507D">
        <w:t>....</w:t>
      </w:r>
      <w:r>
        <w:t xml:space="preserve"> din 26.07.2017 emisă de Curtea de Conturi a României, Departamentul de coordonare a verificării bugetelor unităţilor administrativ-teritoriale, încheiere ce a fost comunicată instituţiei noastre la data de 01.08.2017.</w:t>
      </w:r>
    </w:p>
    <w:p w:rsidR="00E84E6D" w14:paraId="19A95058" w14:textId="5B7E57C6">
      <w:pPr>
        <w:ind w:firstLine="708"/>
        <w:jc w:val="both"/>
      </w:pPr>
      <w:r>
        <w:t xml:space="preserve">Faţă de cele arătate, solicită admiterea recursului aşa cum a fost formulat, casarea sentinţei şi trimiterea cauzei în vederea judecării pe fond la Tribunalul </w:t>
      </w:r>
      <w:r w:rsidR="0010507D">
        <w:t>...B...</w:t>
      </w:r>
      <w:r>
        <w:t>.</w:t>
      </w:r>
    </w:p>
    <w:p w:rsidR="00E84E6D" w14:paraId="0F7BEE47" w14:textId="77777777">
      <w:pPr>
        <w:ind w:firstLine="708"/>
        <w:jc w:val="both"/>
      </w:pPr>
      <w:r>
        <w:t>În drept, şi-a întemeiat recursul pe dispoziţiile art. 488 pct. 8 din C.p.c</w:t>
      </w:r>
    </w:p>
    <w:p w:rsidR="00E84E6D" w14:paraId="2070D703" w14:textId="77777777">
      <w:pPr>
        <w:ind w:firstLine="708"/>
        <w:jc w:val="both"/>
      </w:pPr>
      <w:r>
        <w:t>A solicitat judecarea cauzei în lipsă potrivit art. 411 alin. 1 pct. 2 Cod procedură civilă.</w:t>
      </w:r>
    </w:p>
    <w:p w:rsidR="00E84E6D" w14:paraId="23F550EE" w14:textId="2752B692">
      <w:pPr>
        <w:ind w:firstLine="708"/>
        <w:jc w:val="both"/>
      </w:pPr>
      <w:r>
        <w:rPr>
          <w:rStyle w:val="Fontdeparagrafimplicit"/>
          <w:b/>
        </w:rPr>
        <w:t xml:space="preserve">La data de 25 octombrie 2023, intimatul reclamant </w:t>
      </w:r>
      <w:r w:rsidR="0010507D">
        <w:rPr>
          <w:rStyle w:val="Fontdeparagrafimplicit"/>
          <w:b/>
        </w:rPr>
        <w:t>...Y...</w:t>
      </w:r>
      <w:r>
        <w:rPr>
          <w:rStyle w:val="Fontdeparagrafimplicit"/>
          <w:b/>
        </w:rPr>
        <w:t xml:space="preserve"> a depus întâmpinare</w:t>
      </w:r>
      <w:r>
        <w:t>, solicitând, pe cale de excepție, să se anuleze recursul formulat de recurentă, motivat de faptul că, potrivit dispozițiilor art. 483 alin. (3) C. proc. Civ., recursul urmărește să supună instanței de cenzura, examinarea, în condițiile legii, a conformități hotărârii atacate cu regulile de drept aplicabile.</w:t>
      </w:r>
    </w:p>
    <w:p w:rsidR="00E84E6D" w14:paraId="152E6ED7" w14:textId="67A1D024">
      <w:pPr>
        <w:ind w:firstLine="708"/>
        <w:jc w:val="both"/>
      </w:pPr>
      <w:r>
        <w:t xml:space="preserve">Potrivit art. 486 alin, (I) lit. d) C. proc. civ., cererea de recurs va cuprinde motivele de nelegalitate pe care se întemeiază recursul și </w:t>
      </w:r>
      <w:r w:rsidR="0010507D">
        <w:t>dezvoltarea</w:t>
      </w:r>
      <w:r>
        <w:t xml:space="preserve"> lor, sau, după caz, menţiunea acestea vor fi depuse printr-un memoriu separat, iar alin. (3) al aceluiași articol sancționează cu nulitatea lipsa din cererea de recurs a motivelor de nelegalitate.</w:t>
      </w:r>
    </w:p>
    <w:p w:rsidR="00E84E6D" w14:paraId="315EE04F" w14:textId="77777777">
      <w:pPr>
        <w:ind w:firstLine="708"/>
        <w:jc w:val="both"/>
      </w:pPr>
      <w:r>
        <w:t>Totodată, conform dispozițiilor art. 489 alin. (1) C, proc, civ„ recursul este nul dacă nu a fost motivat în termenul legal, cu excepția cazului în care se invocă motive de casare de ordine publică, care pot fi ridicate din oficiu de către instanţă, chiar după împlinirea termenului de motivare a recursului.</w:t>
      </w:r>
    </w:p>
    <w:p w:rsidR="00E84E6D" w14:paraId="1FD00500" w14:textId="77777777">
      <w:pPr>
        <w:ind w:firstLine="708"/>
        <w:jc w:val="both"/>
      </w:pPr>
      <w:r>
        <w:t>Aceeași sancțiune intervine și în cazul în care criticile formulate nu se încadrează în motivele de casare prevăzute de art. 488 C. proc. civ., astfel cum rezultă din cele statuate de art.489 alin. (2) din același act normativ.</w:t>
      </w:r>
    </w:p>
    <w:p w:rsidR="00E84E6D" w14:paraId="0A5CA3B9" w14:textId="2C2AAD54">
      <w:pPr>
        <w:ind w:firstLine="708"/>
        <w:jc w:val="both"/>
      </w:pPr>
      <w:r>
        <w:t xml:space="preserve">A motiva recursul înseamnă, pe de o parte, arătarea cazului de nelegalitate prin indicarea unuia dintre motivele prevăzute limitativ de art. 488 C. proc, civ., iar, pe de altă parte, </w:t>
      </w:r>
      <w:r w:rsidR="0010507D">
        <w:t>dezvoltarea</w:t>
      </w:r>
      <w:r>
        <w:t xml:space="preserve"> acestuia, în sensul formulării unor critici concrete cu privire la judecata realizată de instanţa care a pronunţat hotărârea recurată, din perspectiva motivului de nelegalitate invocat.</w:t>
      </w:r>
    </w:p>
    <w:p w:rsidR="00E84E6D" w14:paraId="1F01B811" w14:textId="77777777">
      <w:pPr>
        <w:ind w:firstLine="708"/>
        <w:jc w:val="both"/>
      </w:pPr>
      <w:r>
        <w:t>Așadar, pe lângă cerința încadrării criticilor formulate in motivele de nelegalitate prevăzute de art. 488 pct. 8 C. proc. civ., aceste critici trebuie să vizeze argumentele instanței care a pronunțat hotărârea atacată, în caz contrar, neputând fi exercitat controlul judiciar de către instanța de recurs.</w:t>
      </w:r>
    </w:p>
    <w:p w:rsidR="00E84E6D" w14:paraId="1FFF1F12" w14:textId="77777777">
      <w:pPr>
        <w:ind w:firstLine="708"/>
        <w:jc w:val="both"/>
      </w:pPr>
      <w:r>
        <w:t>Cum, reclamantul nu a făcut decât sa expun situația de fapt a litigiului, reiterând apărările formulate în fata instanţei de fond prin întâmpinare si fără a aduce critici hotărârii atacate in concret, cu arătarea a cărei norme de drept material a fost pronunțata hotărârea si de ce maniera a fost aplicata greșit, apreciază că cererea este lovita de nulitate.</w:t>
      </w:r>
    </w:p>
    <w:p w:rsidR="00E84E6D" w14:paraId="1957C68A" w14:textId="77777777">
      <w:pPr>
        <w:ind w:firstLine="708"/>
        <w:jc w:val="both"/>
      </w:pPr>
      <w:r>
        <w:t>În subsidiar, solicită să se respingă recursul ca fiind nefondat, deoarece instanţa de fond a pronunţat o soluție legala, a motivat pe larg care sunt considerentele de fapt si de drept ce au convers către soluția adoptata. Mai mult, a reținut instanța de fond, în concordanta cu norma legală, respectiv art. 84 si 85 din Legea 188/1999 privind statutul funcționarilor publici, care sunt condițiile în care este atrasa răspunderea funcționarului public precum si cele in care se recuperează paguba respectiv, termenul de recuperare a acesteia, cu luarea in considerarea a Deciziei nr. 19/2019 pronunțata de ICCJ, decizie obligatorie,</w:t>
      </w:r>
    </w:p>
    <w:p w:rsidR="00E84E6D" w14:paraId="57685D2B" w14:textId="77777777">
      <w:pPr>
        <w:ind w:firstLine="708"/>
        <w:jc w:val="both"/>
      </w:pPr>
      <w:r>
        <w:t>Fata de toate acestea, a reținut corect instanţa de fond că actul Curții de Conturi nu marchează momentul de început al termenului pentru recuperarea pagubei produsa de salariat angajatorului, iar recurenta intimata nu a emis in termen de 30 zile, termen de decădere, decizia contestata, chiar cu luarea in calcul a întocmirii procesului verbal de control al Curții de Conturi ( 29.11.2016). actul de imputaţie fiind emis aşadar cu încălcarea exigentei impusa de alin 1 al art. 85 din legea 188/1999.</w:t>
      </w:r>
    </w:p>
    <w:p w:rsidR="00E84E6D" w14:paraId="59CB2DEF" w14:textId="77777777">
      <w:pPr>
        <w:ind w:firstLine="708"/>
        <w:jc w:val="both"/>
      </w:pPr>
      <w:r>
        <w:t>Arată, de asemenea, că cererea de recurs este nefondata având in vedere si următoarele:</w:t>
      </w:r>
    </w:p>
    <w:p w:rsidR="00E84E6D" w14:paraId="62AE1891" w14:textId="77777777">
      <w:pPr>
        <w:ind w:firstLine="708"/>
        <w:jc w:val="both"/>
      </w:pPr>
      <w:r>
        <w:t>Dincolo de analiza prin raportare, atât la  paguba constatată, preexistentă raportului Curții de Conturi sau al unui alt organ cu atribuţii de control, ce trebuia să fie cunoscut, independent de constatările organului de control, este jurisprudența Curții Constitutionale, cât şi faţă alte prevederi normative.</w:t>
      </w:r>
    </w:p>
    <w:p w:rsidR="00E84E6D" w14:paraId="4BF15E59" w14:textId="77777777">
      <w:pPr>
        <w:ind w:firstLine="708"/>
        <w:jc w:val="both"/>
      </w:pPr>
      <w:r>
        <w:t>În acest sens, Înalta Curtea de Casaţie şi Justiţie a statuat că raportul Curtii de Conturi a fost efectuat în baza actelor aflate în posesia entității controlate şi că, prin urmare, paguba este rezultatul exclusiv al propriei culpe cu privire la modalitatea de gestionare a resurselor financiare ale entității controlate, care, potrivit legii, trebuia să declanșeze mecanisme interne în ceea ce privește controlul de gestiune financiară, precum controlul de legalitate, controlul financiar preventiv, controlul financiar intern sau auditul.</w:t>
      </w:r>
    </w:p>
    <w:p w:rsidR="00E84E6D" w14:paraId="05BD56D9" w14:textId="77777777">
      <w:pPr>
        <w:ind w:firstLine="708"/>
        <w:jc w:val="both"/>
      </w:pPr>
      <w:r>
        <w:t xml:space="preserve"> De asemenea, constatările Curţii de Conturi sau ale unui alt organ cu atribuţii de control, precum  măsurile dispuse in sarcina entității controlate, sunt obligatori exclusiv pentru aceasta din urmă, în_condiţiile în care raportul de control constată doar producerea pagubei, fără să constituie, prin el însuși, izvor al creanţei, iar izvorul obligatiei debitorului nu îl reprezintă actul de control al Curţii de Conturi sau al unui alt organ cu atribuţii de control, ci actul sau faptul juridic ce a generat pagube invocată.</w:t>
      </w:r>
    </w:p>
    <w:p w:rsidR="00E84E6D" w14:paraId="4BB9867E" w14:textId="77777777">
      <w:pPr>
        <w:ind w:firstLine="708"/>
        <w:jc w:val="both"/>
      </w:pPr>
      <w:r>
        <w:t xml:space="preserve">Aşadar, Înalta Curte a decis ca actul de control efectuat de Curtea de Conturi sau de un alt organ cu atribuiți de control, prin care s-a stabilit în sarcina angajatorului obligația de a </w:t>
      </w:r>
      <w:r>
        <w:t>acționa pentru recuperarea unui prejudiciu produs de un salariat ori rezultat în urma plăţii către acesta a unei sume de bani necuvenite, nu marchează începutul termenului de prescripţie extinctivă a acţiunii pentru angajarea răspunderii patrimoniale a salariatului,  dispoziţii ce se aplica si în cazul funcţiei publice, în raport de reglementările din Statut, respectiv:</w:t>
      </w:r>
    </w:p>
    <w:p w:rsidR="00E84E6D" w14:paraId="27696A70" w14:textId="77777777">
      <w:pPr>
        <w:ind w:firstLine="708"/>
        <w:jc w:val="both"/>
      </w:pPr>
      <w:r>
        <w:t>Art. 84. Răspunderea civilă a funcţionarului public se angajează:</w:t>
      </w:r>
    </w:p>
    <w:p w:rsidR="00E84E6D" w14:paraId="12251C4A" w14:textId="77777777">
      <w:pPr>
        <w:numPr>
          <w:ilvl w:val="0"/>
          <w:numId w:val="1"/>
        </w:numPr>
        <w:jc w:val="both"/>
      </w:pPr>
      <w:r>
        <w:t>pentru pagubele produse cu vinovăție patrimoniului autorităţii sau instituției publice în care funcționează;</w:t>
      </w:r>
    </w:p>
    <w:p w:rsidR="00E84E6D" w14:paraId="34BAEEF1" w14:textId="77777777">
      <w:pPr>
        <w:jc w:val="both"/>
      </w:pPr>
      <w:r>
        <w:tab/>
        <w:t>Art. 85. - (1) Repararea pagubelor aduse autorității sau instituției publice în situaţiile prevăzute la art. 84 lit. a) și b) se dispune prin emiterea de către conducătorul autorității sau instituției publice unui ordin sau a unei dispoziții de imputare, în termen de 30 de zile de la constatarea pagubei.</w:t>
      </w:r>
    </w:p>
    <w:p w:rsidR="00E84E6D" w14:paraId="026D65E7" w14:textId="77777777">
      <w:pPr>
        <w:jc w:val="both"/>
      </w:pPr>
      <w:r>
        <w:tab/>
        <w:t>Concluzionând, a solicitat respingerea recursului ca fiind neîntemeiat.</w:t>
      </w:r>
    </w:p>
    <w:p w:rsidR="00E84E6D" w14:paraId="39EAF3EF" w14:textId="77777777">
      <w:pPr>
        <w:jc w:val="both"/>
      </w:pPr>
      <w:r>
        <w:t xml:space="preserve">            Referitor la excepţia nulităţii recursului invocată de intimat prin întâmpinare, curtea urmează să o respingă deoarece din cuprinsul recursului formulat rezultă atât normele de drept material pe care recurentul a apreciat că au fost încălcate de către instanţa de fond, cât şi argumentele invocate în susţinerea acestei încălcări.</w:t>
      </w:r>
    </w:p>
    <w:p w:rsidR="00E84E6D" w14:paraId="059CE754" w14:textId="77777777">
      <w:pPr>
        <w:ind w:firstLine="708"/>
        <w:jc w:val="both"/>
        <w:rPr>
          <w:rStyle w:val="Fontdeparagrafimplicit"/>
          <w:b/>
        </w:rPr>
      </w:pPr>
      <w:r>
        <w:rPr>
          <w:rStyle w:val="Fontdeparagrafimplicit"/>
          <w:b/>
        </w:rPr>
        <w:t>Examinând în continuare recursul, prin prisma motivelor de casare prevăzute de art. 488 alin. (1) pct. 8 din Codul de Procedură Civilă, Curtea constată că acesta este nefondat, pentru următoarele considerente:</w:t>
      </w:r>
    </w:p>
    <w:p w:rsidR="00E84E6D" w14:paraId="6F634147" w14:textId="36E1DDAE">
      <w:pPr>
        <w:ind w:firstLine="708"/>
        <w:jc w:val="both"/>
      </w:pPr>
      <w:r>
        <w:t xml:space="preserve">Prin cererea de chemare în judecată, reclamantul </w:t>
      </w:r>
      <w:r w:rsidR="0010507D">
        <w:t>...Y...</w:t>
      </w:r>
      <w:r>
        <w:t xml:space="preserve"> a chemat în judecată pe pârâtul PRIMARUL MUNICIPIULUI </w:t>
      </w:r>
      <w:r w:rsidR="0010507D">
        <w:t>...A...</w:t>
      </w:r>
      <w:r>
        <w:t xml:space="preserve"> solicitând anularea Dispoziției Primarului Municipiului </w:t>
      </w:r>
      <w:r w:rsidR="0010507D">
        <w:t>...A...</w:t>
      </w:r>
      <w:r>
        <w:t xml:space="preserve"> nr. </w:t>
      </w:r>
      <w:r w:rsidR="0010507D">
        <w:t>.......</w:t>
      </w:r>
      <w:r>
        <w:t>/30.08.2017 prin care i-a fost imputată suma de 1.368.896,35 lei reprezentând prejudiciu produs în perioada 16.03.2015-20.08.2015, perioadă în care a coordonat, condus, monitorizat și controlat activitatea Direcției Administrarea Domeniului Public şi Privat, precum și accesoriile calculate până la data recuperării.</w:t>
      </w:r>
    </w:p>
    <w:p w:rsidR="00E84E6D" w14:paraId="4DCC30BC" w14:textId="7A61BC92">
      <w:pPr>
        <w:ind w:firstLine="708"/>
        <w:jc w:val="both"/>
      </w:pPr>
      <w:r>
        <w:t xml:space="preserve">Prin sentința civilă recurată, instanța de fond a admis acțiunea și a anulat dispoziția nr. </w:t>
      </w:r>
      <w:r w:rsidR="0010507D">
        <w:t>.......</w:t>
      </w:r>
      <w:r>
        <w:t xml:space="preserve">/30.08.2017 emisă de Primarul municipiului </w:t>
      </w:r>
      <w:r w:rsidR="0010507D">
        <w:t>...A...</w:t>
      </w:r>
      <w:r>
        <w:t>.</w:t>
      </w:r>
    </w:p>
    <w:p w:rsidR="00E84E6D" w14:paraId="2D768486" w14:textId="1B8E710F">
      <w:pPr>
        <w:jc w:val="both"/>
      </w:pPr>
      <w:r>
        <w:tab/>
        <w:t xml:space="preserve">Prin recursul declarat împotriva acestei sentințe, recurentul Primarul Municipiului </w:t>
      </w:r>
      <w:r w:rsidR="0010507D">
        <w:t>...A...</w:t>
      </w:r>
      <w:r>
        <w:t xml:space="preserve"> a invocat motivele de casare prevăzute de dispozițiile art. 488 alin. (1) pct. 8 Cod de procedură civilă. </w:t>
      </w:r>
    </w:p>
    <w:p w:rsidR="00E84E6D" w14:paraId="36C6D58F" w14:textId="5D4FB3C0">
      <w:pPr>
        <w:ind w:firstLine="708"/>
        <w:jc w:val="both"/>
      </w:pPr>
      <w:r>
        <w:t xml:space="preserve">Astfel, prin dispoziţia de imputare nr. </w:t>
      </w:r>
      <w:r w:rsidR="0010507D">
        <w:t>.......</w:t>
      </w:r>
      <w:r>
        <w:t xml:space="preserve"> din 30.08.2017 i s-a imputat reclamantului -auditor în cadrul Biroului de Audit Intern din cadrul aparatului de specialitate al Primarului mun.</w:t>
      </w:r>
      <w:r w:rsidR="0010507D">
        <w:t>...A...</w:t>
      </w:r>
      <w:r>
        <w:t xml:space="preserve">, prejudiciul în cuantum de 1.368.866,35 lei (produs în perioada 16.03.2015-20.08.2015) reprezentând contravaloare servicii de salubrizare decontate pentru alte operaţiuni decât cele real executate şi la tarife mai mari decât cele aferente operațiunilor real executate, acesta fiind constatat de către Curtea de Conturi a României prin procesul verbal de constatare din 29 noiembrie 2016, înregistrat la Primăria Mun. </w:t>
      </w:r>
      <w:r w:rsidR="0010507D">
        <w:t>...A...</w:t>
      </w:r>
      <w:r>
        <w:t xml:space="preserve"> sub nr. </w:t>
      </w:r>
      <w:r w:rsidR="0010507D">
        <w:t>.......</w:t>
      </w:r>
      <w:r>
        <w:t xml:space="preserve">/29.11.2016, precum şi accesoriile acestuia calculate până la data recuperării. </w:t>
      </w:r>
    </w:p>
    <w:p w:rsidR="00E84E6D" w14:paraId="04FB905E" w14:textId="77777777">
      <w:pPr>
        <w:ind w:firstLine="708"/>
        <w:jc w:val="both"/>
        <w:rPr>
          <w:rStyle w:val="Fontdeparagrafimplicit"/>
        </w:rPr>
      </w:pPr>
      <w:r>
        <w:t>Temeiul de drept al emiterii actului administrativ contestat a fost reprezentat de prevederile art. 84 şi art. 85 alin. 1 din Legea nr. 188/1999 privind Statutul funcționarilor publici republicată, texte care guvernează</w:t>
      </w:r>
      <w:r>
        <w:rPr>
          <w:rStyle w:val="Fontdeparagrafimplicit"/>
        </w:rPr>
        <w:t xml:space="preserve">ă răspunderea civilă a funcționarului public și condițiile în care aceasta se angajează. </w:t>
      </w:r>
    </w:p>
    <w:p w:rsidR="00E84E6D" w14:paraId="41DE0937" w14:textId="77777777">
      <w:pPr>
        <w:ind w:firstLine="708"/>
        <w:jc w:val="both"/>
      </w:pPr>
      <w:r>
        <w:t xml:space="preserve">Cu privire la motivul de casare prevăzut de art. 488 alin. (1) pct. 8 Cod Procedură Civilă, acesta vizează încălcarea legii de drept substanțial (material), încălcare ce poate îmbrăca mai multe aspecte: aplicarea unui text de lege străin situației de fapt; extinderea normei juridice dincolo de ipotezele la care se aplică ori restrângerea nejustificată a aplicării prevederilor acesteia; textului de lege corespunzător situației de fapt i s-a dat o interpretare greșită. </w:t>
      </w:r>
    </w:p>
    <w:p w:rsidR="00E84E6D" w14:paraId="7E145D1E" w14:textId="77777777">
      <w:pPr>
        <w:ind w:firstLine="708"/>
        <w:jc w:val="both"/>
      </w:pPr>
      <w:r>
        <w:t xml:space="preserve">În esență, criticile recurentului au vizat faptul că instanța de fond a soluționat cauza cu greșita interpretare și aplicare a dispozițiilor art. 85 din Legea nr.188/1999 privind Statutul funcționarilor publici republicată. </w:t>
      </w:r>
    </w:p>
    <w:p w:rsidR="00E84E6D" w14:paraId="6E453571" w14:textId="77777777">
      <w:pPr>
        <w:ind w:firstLine="708"/>
        <w:jc w:val="both"/>
      </w:pPr>
      <w:r>
        <w:t xml:space="preserve">Norma invocată, referitoare la „ordinul sau dispoziţia de imputare”, dispune în sensul că </w:t>
      </w:r>
      <w:r>
        <w:rPr>
          <w:rStyle w:val="Fontdeparagrafimplicit"/>
          <w:b/>
        </w:rPr>
        <w:t xml:space="preserve">(1) </w:t>
      </w:r>
      <w:r>
        <w:rPr>
          <w:rStyle w:val="Fontdeparagrafimplicit"/>
          <w:b/>
          <w:i/>
        </w:rPr>
        <w:t>„</w:t>
      </w:r>
      <w:r>
        <w:rPr>
          <w:rStyle w:val="Fontdeparagrafimplicit"/>
          <w:i/>
        </w:rPr>
        <w:t xml:space="preserve">Repararea pagubelor aduse autorităţii sau instituţiei publice în situaţiile prevăzute la </w:t>
      </w:r>
      <w:r>
        <w:rPr>
          <w:rStyle w:val="Fontdeparagrafimplicit"/>
          <w:i/>
        </w:rPr>
        <w:t xml:space="preserve">art. 84 lit. a) şi b) se dispune prin emiterea de către conducătorul autorităţii sau instituţiei publice a unui ordin sau a unei dispoziţii de imputare, în termen de 30 de zile de la constatarea pagubei, sau, după caz, prin asumarea unui angajament de plată, iar în situaţia prevăzută la lit. c) a aceluiaşi articol, pe baza hotărârii judecătoreşti definitive. </w:t>
      </w:r>
      <w:r>
        <w:rPr>
          <w:rStyle w:val="Fontdeparagrafimplicit"/>
          <w:b/>
          <w:i/>
        </w:rPr>
        <w:t xml:space="preserve">(2) </w:t>
      </w:r>
      <w:r>
        <w:rPr>
          <w:rStyle w:val="Fontdeparagrafimplicit"/>
          <w:i/>
        </w:rPr>
        <w:t xml:space="preserve">Împotriva ordinului sau dispoziţiei de imputare funcţionarul public în cauză se poate adresa instanţei de contencios administrativ. </w:t>
      </w:r>
      <w:r>
        <w:rPr>
          <w:rStyle w:val="Fontdeparagrafimplicit"/>
          <w:b/>
          <w:i/>
        </w:rPr>
        <w:t>(2</w:t>
      </w:r>
      <w:r>
        <w:rPr>
          <w:rStyle w:val="Fontdeparagrafimplicit"/>
          <w:b/>
          <w:i/>
          <w:vertAlign w:val="superscript"/>
        </w:rPr>
        <w:t>1</w:t>
      </w:r>
      <w:r>
        <w:rPr>
          <w:rStyle w:val="Fontdeparagrafimplicit"/>
          <w:b/>
          <w:i/>
        </w:rPr>
        <w:t>)</w:t>
      </w:r>
      <w:r>
        <w:rPr>
          <w:rStyle w:val="Fontdeparagrafimplicit"/>
          <w:i/>
        </w:rPr>
        <w:t xml:space="preserve">Ordinul sau dispoziţia de imputare rămasă definitivă ca urmare a neintroducerii ori respingerii acţiunii la instanţa de contencios administrativ constituie titlu executoriu. </w:t>
      </w:r>
      <w:r>
        <w:rPr>
          <w:rStyle w:val="Fontdeparagrafimplicit"/>
          <w:b/>
          <w:i/>
        </w:rPr>
        <w:t xml:space="preserve">(3) </w:t>
      </w:r>
      <w:r>
        <w:rPr>
          <w:rStyle w:val="Fontdeparagrafimplicit"/>
          <w:i/>
        </w:rPr>
        <w:t>Dreptul conducătorului autorităţii sau instituţiei publice de a emite ordinul sau dispoziţia de imputare se prescrie în termen de 3 ani de la data producerii pagubei.”</w:t>
      </w:r>
      <w:r>
        <w:t xml:space="preserve"> </w:t>
      </w:r>
    </w:p>
    <w:p w:rsidR="00E84E6D" w14:paraId="70201F77" w14:textId="77777777">
      <w:pPr>
        <w:ind w:firstLine="708"/>
        <w:jc w:val="both"/>
      </w:pPr>
      <w:r>
        <w:t xml:space="preserve">Reglementarea legală are în vedere un criteriu obiectiv când stabilește termenul de 3 ani de la data producerii pagubei, respectiv un criteriu subiectiv la indicarea termenului de 30 de zile de la constatarea pagubei. Aceste termene nu se exclud, prevederile legale completându-se una pe cealaltă. </w:t>
      </w:r>
    </w:p>
    <w:p w:rsidR="00E84E6D" w14:paraId="1B641C55" w14:textId="77777777">
      <w:pPr>
        <w:ind w:firstLine="708"/>
        <w:jc w:val="both"/>
      </w:pPr>
      <w:r>
        <w:t>Termenul de 30 de zile prevăzut de dispozițiile sus citate, termen în care conducătorul unei autorități sau instituții publice poate să emită ordinul sau dispoziția de imputare pe seama funcționarului public responsabil de producerea unei pagube în patrimoniul autorități sau instituției publice, este un termen imperativ înăuntrul căruia trebuie exercitat dreptul de a emite un act administrativ, fiind un termen de decădere.</w:t>
      </w:r>
    </w:p>
    <w:p w:rsidR="00E84E6D" w14:paraId="6A9FA558" w14:textId="77777777">
      <w:pPr>
        <w:ind w:firstLine="708"/>
        <w:jc w:val="both"/>
      </w:pPr>
      <w:r>
        <w:t>Astfel, în momentul în care s-a constatat paguba, conducătorul unității are obligația de a emite decizia de imputare în termen de 30 de zile, iar dacă de la data producerii pagubei au trecut mai mult de 3 ani, dreptul de a emite decizia este prescris, indiferent când aceasta a fost constatată.</w:t>
      </w:r>
    </w:p>
    <w:p w:rsidR="00E84E6D" w14:paraId="09971137" w14:textId="77777777">
      <w:pPr>
        <w:ind w:firstLine="708"/>
        <w:jc w:val="both"/>
      </w:pPr>
      <w:r>
        <w:t xml:space="preserve">Curtea va observa că dispoziția contestată a fost emisă ca urmare a angajării răspunderii civile a funcționarului public, potrivit dispozițiilor art. 84 și 85 din Legea nr. 188/199 privind Statul Funcționarului public. </w:t>
      </w:r>
    </w:p>
    <w:p w:rsidR="00E84E6D" w14:paraId="037C2235" w14:textId="77777777">
      <w:pPr>
        <w:ind w:firstLine="708"/>
        <w:jc w:val="both"/>
      </w:pPr>
      <w:r>
        <w:t>În aplicarea dispozițiilor legale menționate, procedura de atragere a răspunderii civile a funcționarului public este precedată de o procedură administrativă prealabilă, privind constatarea pagubei produse autorități, decizia de imputare fiind obligatoriu a fi emisă în termenul de decădere de 30 de zile de la data finalizării acestor constatări.</w:t>
      </w:r>
    </w:p>
    <w:p w:rsidR="00E84E6D" w14:paraId="4C38F9B6" w14:textId="4E65E2BA">
      <w:pPr>
        <w:ind w:firstLine="708"/>
        <w:jc w:val="both"/>
      </w:pPr>
      <w:r>
        <w:t xml:space="preserve">În acord cu judecătorul fondului, Curtea constată că, în lipsa unei proceduri proprii de constatare şi evaluare a pagubei, singurul moment relevant al constatării pagubei este cel al înregistrării în evidențele autorități locale a procesului verbal de constatare nr. </w:t>
      </w:r>
      <w:r w:rsidR="0010507D">
        <w:t>.......</w:t>
      </w:r>
      <w:r>
        <w:t>/29.11.2016 al  Curții de Conturi, acesta fiind momentul la care recurentul pârât a cunoscut paguba.</w:t>
      </w:r>
    </w:p>
    <w:p w:rsidR="00E84E6D" w14:paraId="40D08645" w14:textId="77777777">
      <w:pPr>
        <w:ind w:firstLine="708"/>
        <w:jc w:val="both"/>
      </w:pPr>
      <w:r>
        <w:t xml:space="preserve">Astfel, Curtea nu poate valida interpretarea recurentului pârât în sensul că termenul de 30 zile instituit de legiuitor trebuie calculat în speță în raport de data la care s-a finalizat cauza în care a fost contestat actul de control. </w:t>
      </w:r>
    </w:p>
    <w:p w:rsidR="00E84E6D" w14:paraId="1ABBE607" w14:textId="77777777">
      <w:pPr>
        <w:ind w:firstLine="708"/>
        <w:jc w:val="both"/>
        <w:rPr>
          <w:rStyle w:val="Fontdeparagrafimplicit"/>
          <w:i/>
        </w:rPr>
      </w:pPr>
      <w:r>
        <w:t xml:space="preserve">Relevantă în cauză este și Decizia Înaltei Curți de Casație și Justiție nr. 19/2019  prin care s-a stabilit că, în interpretarea şi aplicarea unitară a dispoziţiilor art. 268 alin. (1) lit. c) din Legea nr. 53/2003 privind Codul muncii, republicată, cu modificările şi completările ulterioare, raportat la art. 8 şi 12 din Decretul nr. 167/1958 privitor la prescripţia extinctivă, republicat, şi a dispoziţiilor art. 211 lit. c) din Legea dialogului social nr. 62/2011, republicată, cu modificările şi completările ulterioare, respectiv a art. 2.526 din Codul civil, </w:t>
      </w:r>
      <w:r>
        <w:rPr>
          <w:rStyle w:val="Fontdeparagrafimplicit"/>
          <w:i/>
        </w:rPr>
        <w:t xml:space="preserve">actul de control efectuat de Curtea de Conturi sau de un alt organ cu atribuţii de control, prin care s-a stabilit în sarcina angajatorului obligaţia de a acţiona pentru recuperarea unui prejudiciu produs de un salariat ori rezultat în urma plăţii către acesta a unei sume de bani necuvenite, nu marchează începutul termenului de prescripţie extinctivă a acţiunii pentru angajarea răspunderii patrimoniale a salariatului. </w:t>
      </w:r>
    </w:p>
    <w:p w:rsidR="00E84E6D" w14:paraId="35744FAB" w14:textId="77777777">
      <w:pPr>
        <w:ind w:firstLine="708"/>
        <w:jc w:val="both"/>
        <w:rPr>
          <w:rStyle w:val="Fontdeparagrafimplicit"/>
          <w:shd w:val="clear" w:color="auto" w:fill="FFFFFF"/>
        </w:rPr>
      </w:pPr>
      <w:r>
        <w:rPr>
          <w:rStyle w:val="Fontdeparagrafimplicit"/>
          <w:shd w:val="clear" w:color="auto" w:fill="FFFFFF"/>
        </w:rPr>
        <w:t xml:space="preserve">În cuprinsul aceleiași decizii, s-a reținut că actul de control al Curţii de Conturi sau al unui alt organ cu atribuţii de control nu marchează începutul curgerii termenului de prescripţie pentru acţiunea de recuperare a prejudiciului, întrucât singurul moment al începerii cursului prescripţiei, după intrarea în vigoare a Legii nr. 62/2011 (13 mai 2011), este cel al producerii efective a pagubei. În ceea ce privește modul de calcul al termenului de prescripţie pentru </w:t>
      </w:r>
      <w:r>
        <w:rPr>
          <w:rStyle w:val="Fontdeparagrafimplicit"/>
          <w:shd w:val="clear" w:color="auto" w:fill="FFFFFF"/>
        </w:rPr>
        <w:t>acţiunea în răspundere patrimonială îndreptată împotriva salariatului, în condiţiile prevăzute de art. 211 lit. c) din Legea nr. 62/2011, s-a stabilit că acesta este unul de excepţie în situaţia conflictelor de muncă având ca obiect plata de despăgubiri, anume prin raportare la data producerii pagubei, derogatorie de la dreptul comun care se referă la data „când titularul dreptului la acţiune a cunoscut sau, după împrejurări, trebuia să cunoască naşterea lui” (art. 2.523 din Codul civil), respectiv aceea când „păgubitul a cunoscut sau trebuia să cunoască atât paguba, cât şi pe cel care răspunde pentru ea” (art. 2.528 din Codul civil).</w:t>
      </w:r>
    </w:p>
    <w:p w:rsidR="00E84E6D" w14:paraId="4A2124A5" w14:textId="141C3D3E">
      <w:pPr>
        <w:ind w:firstLine="708"/>
        <w:jc w:val="both"/>
      </w:pPr>
      <w:r>
        <w:rPr>
          <w:rStyle w:val="Fontdeparagrafimplicit"/>
          <w:shd w:val="clear" w:color="auto" w:fill="FFFFFF"/>
        </w:rPr>
        <w:t xml:space="preserve">În mod corect judecătorul fondului a statuat că </w:t>
      </w:r>
      <w:r>
        <w:t xml:space="preserve">dispoziţia contestată a fost emisă pentru ducerea la îndeplinire a măsurilor dispuse de Curtea de Conturi prin decizia nr. </w:t>
      </w:r>
      <w:r w:rsidR="005416AD">
        <w:t>...</w:t>
      </w:r>
      <w:r>
        <w:t xml:space="preserve">/2017 emisă de Curtea de Conturi a României-Camera de Conturi comunicată la data de 28.02.2017. </w:t>
      </w:r>
    </w:p>
    <w:p w:rsidR="00E84E6D" w14:paraId="74879964" w14:textId="77777777">
      <w:pPr>
        <w:ind w:firstLine="708"/>
        <w:jc w:val="both"/>
      </w:pPr>
      <w:r>
        <w:t xml:space="preserve">Simplul fapt că s-a formulat o contestație împotriva acestui act de control nu duce la suspendarea sau întreruperea termenului de decădere instituit de dispozițiile art. 85 din Legea nr. 188/1999, astfel că, nerespectarea acestuia conduce la pierderea dreptului de a emite dispoziția de imputare. </w:t>
      </w:r>
    </w:p>
    <w:p w:rsidR="00E84E6D" w14:paraId="11148E29" w14:textId="77777777">
      <w:pPr>
        <w:ind w:firstLine="720"/>
        <w:jc w:val="both"/>
        <w:rPr>
          <w:rStyle w:val="Fontdeparagrafimplicit"/>
          <w:color w:val="000000"/>
          <w:shd w:val="clear" w:color="auto" w:fill="FFFFFF"/>
        </w:rPr>
      </w:pPr>
      <w:r>
        <w:rPr>
          <w:rStyle w:val="Fontdeparagrafimplicit"/>
          <w:color w:val="000000"/>
        </w:rPr>
        <w:t xml:space="preserve">Pentru ansamblul de motive expuse precedent din care rezultă că instanţa de fond a interpretat şi aplicat corect dispoziţiile legale în materie, nefiind incident motivul de casare prevăzut de art. </w:t>
      </w:r>
      <w:r>
        <w:rPr>
          <w:rStyle w:val="Fontdeparagrafimplicit"/>
        </w:rPr>
        <w:t>488</w:t>
      </w:r>
      <w:r>
        <w:rPr>
          <w:rStyle w:val="Fontdeparagrafimplicit"/>
          <w:color w:val="000000"/>
        </w:rPr>
        <w:t xml:space="preserve"> alin.1 punct 8 </w:t>
      </w:r>
      <w:r>
        <w:rPr>
          <w:rStyle w:val="Fontdeparagrafimplicit"/>
        </w:rPr>
        <w:t xml:space="preserve">Cod Procedură Civilă, </w:t>
      </w:r>
      <w:r>
        <w:rPr>
          <w:rStyle w:val="Fontdeparagrafimplicit"/>
          <w:color w:val="000000"/>
        </w:rPr>
        <w:t xml:space="preserve">Curtea, în  baza art. </w:t>
      </w:r>
      <w:r>
        <w:rPr>
          <w:rStyle w:val="Fontdeparagrafimplicit"/>
        </w:rPr>
        <w:t xml:space="preserve">496 </w:t>
      </w:r>
      <w:r>
        <w:rPr>
          <w:rStyle w:val="Fontdeparagrafimplicit"/>
          <w:color w:val="000000"/>
        </w:rPr>
        <w:t xml:space="preserve"> alin.(1) </w:t>
      </w:r>
      <w:r>
        <w:rPr>
          <w:rStyle w:val="Fontdeparagrafimplicit"/>
        </w:rPr>
        <w:t>Cod Procedură Civilă</w:t>
      </w:r>
      <w:r>
        <w:rPr>
          <w:rStyle w:val="Fontdeparagrafimplicit"/>
          <w:color w:val="000000"/>
        </w:rPr>
        <w:t>, va respinge recursul declarat ca nefondat</w:t>
      </w:r>
      <w:r>
        <w:rPr>
          <w:rStyle w:val="Fontdeparagrafimplicit"/>
          <w:color w:val="000000"/>
          <w:shd w:val="clear" w:color="auto" w:fill="FFFFFF"/>
        </w:rPr>
        <w:t xml:space="preserve">. </w:t>
      </w:r>
    </w:p>
    <w:p w:rsidR="00E84E6D" w14:paraId="5C9E860C" w14:textId="77777777">
      <w:pPr>
        <w:jc w:val="both"/>
        <w:rPr>
          <w:rStyle w:val="Fontdeparagrafimplicit"/>
        </w:rPr>
      </w:pPr>
    </w:p>
    <w:p w:rsidR="00E84E6D" w14:paraId="48895B51" w14:textId="77777777">
      <w:pPr>
        <w:rPr>
          <w:rStyle w:val="Fontdeparagrafimplicit"/>
        </w:rPr>
      </w:pPr>
    </w:p>
    <w:p w:rsidR="00E84E6D" w14:paraId="58810DE9" w14:textId="77777777">
      <w:pPr>
        <w:jc w:val="center"/>
      </w:pPr>
      <w:r>
        <w:t>PENTRU ACESTE MOTIVE,</w:t>
      </w:r>
      <w:r>
        <w:br/>
        <w:t>ÎN NUMELE LEGII</w:t>
      </w:r>
    </w:p>
    <w:p w:rsidR="00E84E6D" w14:paraId="69FF9B87" w14:textId="77777777">
      <w:pPr>
        <w:jc w:val="center"/>
      </w:pPr>
      <w:r>
        <w:t>DECIDE</w:t>
      </w:r>
    </w:p>
    <w:p w:rsidR="00E84E6D" w14:paraId="0DFE7BDD" w14:textId="77777777">
      <w:pPr>
        <w:jc w:val="center"/>
      </w:pPr>
    </w:p>
    <w:p w:rsidR="00E84E6D" w14:paraId="76E27D63" w14:textId="6DDEDE43">
      <w:pPr>
        <w:ind w:firstLine="708"/>
        <w:jc w:val="both"/>
      </w:pPr>
      <w:r>
        <w:tab/>
        <w:t xml:space="preserve">Respinge recursul declarat de recurentul pârât PRIMARUL MUNICIPIULUI </w:t>
      </w:r>
      <w:r w:rsidR="0010507D">
        <w:t>...A...</w:t>
      </w:r>
      <w:r>
        <w:t xml:space="preserve">, cu sediul în </w:t>
      </w:r>
      <w:r w:rsidR="0010507D">
        <w:t>....................................</w:t>
      </w:r>
      <w:r>
        <w:t xml:space="preserve">, împotriva sentinţei civile nr. </w:t>
      </w:r>
      <w:r w:rsidR="0010507D">
        <w:t>.... din data de ...............</w:t>
      </w:r>
      <w:r>
        <w:t xml:space="preserve">, pronunțată de Tribunalul </w:t>
      </w:r>
      <w:r w:rsidR="0010507D">
        <w:t>...B...</w:t>
      </w:r>
      <w:r>
        <w:t xml:space="preserve">, Secția </w:t>
      </w:r>
      <w:r w:rsidR="0010507D">
        <w:t>.....</w:t>
      </w:r>
      <w:r>
        <w:t xml:space="preserve"> Civilă, de Contencios Administrativ şi Fiscal, în dosarul nr. </w:t>
      </w:r>
      <w:r w:rsidR="00012958">
        <w:t>...../..../2017</w:t>
      </w:r>
      <w:r>
        <w:t xml:space="preserve"> în contradictoriu cu intimatul reclamant </w:t>
      </w:r>
      <w:r w:rsidR="0010507D">
        <w:t>...Y...</w:t>
      </w:r>
      <w:r>
        <w:t xml:space="preserve">, cu domiciliul în </w:t>
      </w:r>
      <w:r w:rsidR="0010507D">
        <w:t>....................................</w:t>
      </w:r>
      <w:r>
        <w:t xml:space="preserve">, ca nefondat. </w:t>
      </w:r>
    </w:p>
    <w:p w:rsidR="00E84E6D" w14:paraId="69F13054" w14:textId="77777777">
      <w:pPr>
        <w:ind w:firstLine="708"/>
        <w:jc w:val="both"/>
      </w:pPr>
      <w:r>
        <w:t xml:space="preserve">Definitivă. </w:t>
      </w:r>
    </w:p>
    <w:p w:rsidR="00E84E6D" w14:paraId="64D7FFF9" w14:textId="64B7AA74">
      <w:pPr>
        <w:ind w:firstLine="708"/>
        <w:jc w:val="both"/>
      </w:pPr>
      <w:r>
        <w:tab/>
        <w:t xml:space="preserve">Pronunţată la data de </w:t>
      </w:r>
      <w:r w:rsidR="00CD60E3">
        <w:t>...............</w:t>
      </w:r>
      <w:r>
        <w:t xml:space="preserve"> prin punerea soluţiei la dispoziţia părţilor de către grefa instanţei.</w:t>
      </w:r>
      <w:bookmarkStart w:name="completul_1" w:id="4"/>
    </w:p>
    <w:tbl>
      <w:tblPr>
        <w:tblStyle w:val="TabelNormal"/>
        <w:tblW w:w="0" w:type="auto"/>
        <w:jc w:val="cente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284" w:type="dxa"/>
          <w:bottom w:w="284" w:type="dxa"/>
        </w:tblCellMar>
        <w:tblLook w:val="04A0"/>
      </w:tblPr>
      <w:tblGrid>
        <w:gridCol w:w="3096"/>
        <w:gridCol w:w="3095"/>
        <w:gridCol w:w="3095"/>
      </w:tblGrid>
      <w:tr w14:paraId="3A38B76C" w14:textId="77777777">
        <w:tblPrEx>
          <w:tblW w:w="0" w:type="auto"/>
          <w:tblLook w:val="04A0"/>
        </w:tblPrEx>
        <w:tc>
          <w:tcPr>
            <w:tcW w:w="3096" w:type="dxa"/>
          </w:tcPr>
          <w:p w:rsidR="00E84E6D" w14:paraId="4D83DE28" w14:textId="77777777">
            <w:pPr>
              <w:jc w:val="center"/>
            </w:pPr>
            <w:r>
              <w:t>Preşedinte,</w:t>
            </w:r>
          </w:p>
          <w:p w:rsidR="00E84E6D" w14:paraId="56EE712F" w14:textId="4D1520DC">
            <w:pPr>
              <w:jc w:val="center"/>
            </w:pPr>
            <w:r>
              <w:t>...............</w:t>
            </w:r>
          </w:p>
        </w:tc>
        <w:tc>
          <w:tcPr>
            <w:tcW w:w="3096" w:type="dxa"/>
          </w:tcPr>
          <w:p w:rsidR="00E84E6D" w14:paraId="1478EAF3" w14:textId="77777777">
            <w:pPr>
              <w:jc w:val="center"/>
            </w:pPr>
            <w:r>
              <w:t>Judecător,</w:t>
            </w:r>
          </w:p>
          <w:p w:rsidR="00E84E6D" w14:paraId="7DDA1BB4" w14:textId="730A120C">
            <w:pPr>
              <w:jc w:val="center"/>
            </w:pPr>
            <w:r>
              <w:t>...............</w:t>
            </w:r>
          </w:p>
        </w:tc>
        <w:tc>
          <w:tcPr>
            <w:tcW w:w="3096" w:type="dxa"/>
          </w:tcPr>
          <w:p w:rsidR="00E84E6D" w14:paraId="3365C7C5" w14:textId="77777777">
            <w:pPr>
              <w:jc w:val="center"/>
            </w:pPr>
            <w:r>
              <w:t>Judecător,</w:t>
            </w:r>
          </w:p>
          <w:p w:rsidR="00E84E6D" w14:paraId="62ADA250" w14:textId="2645F438">
            <w:pPr>
              <w:jc w:val="center"/>
            </w:pPr>
            <w:r>
              <w:t>A0001</w:t>
            </w:r>
          </w:p>
        </w:tc>
      </w:tr>
      <w:tr w14:paraId="64841BB8" w14:textId="77777777">
        <w:tblPrEx>
          <w:tblW w:w="0" w:type="auto"/>
          <w:tblLook w:val="04A0"/>
        </w:tblPrEx>
        <w:tc>
          <w:tcPr>
            <w:tcW w:w="3096" w:type="dxa"/>
          </w:tcPr>
          <w:p w:rsidR="00E84E6D" w14:paraId="2CE17457" w14:textId="77777777">
            <w:pPr>
              <w:jc w:val="center"/>
            </w:pPr>
          </w:p>
        </w:tc>
        <w:tc>
          <w:tcPr>
            <w:tcW w:w="3096" w:type="dxa"/>
          </w:tcPr>
          <w:p w:rsidR="00E84E6D" w14:paraId="6038F9BB" w14:textId="77777777">
            <w:pPr>
              <w:jc w:val="center"/>
            </w:pPr>
            <w:r>
              <w:t>Grefier,</w:t>
            </w:r>
          </w:p>
          <w:p w:rsidR="00E84E6D" w14:paraId="04D169C2" w14:textId="1287494B">
            <w:pPr>
              <w:jc w:val="center"/>
            </w:pPr>
            <w:r>
              <w:t>...............</w:t>
            </w:r>
          </w:p>
        </w:tc>
        <w:tc>
          <w:tcPr>
            <w:tcW w:w="3096" w:type="dxa"/>
          </w:tcPr>
          <w:p w:rsidR="00E84E6D" w14:paraId="70D2DD63" w14:textId="77777777">
            <w:pPr>
              <w:jc w:val="center"/>
            </w:pPr>
          </w:p>
        </w:tc>
      </w:tr>
    </w:tbl>
    <w:p w:rsidR="00E84E6D" w14:paraId="3B284C51" w14:textId="77777777">
      <w:pPr>
        <w:jc w:val="center"/>
      </w:pPr>
      <w:bookmarkEnd w:id="4"/>
    </w:p>
    <w:p w:rsidR="00E84E6D" w14:paraId="14049D8A" w14:textId="77777777">
      <w:pPr>
        <w:jc w:val="center"/>
      </w:pPr>
    </w:p>
    <w:p w:rsidR="00E84E6D" w14:paraId="101C7002" w14:textId="6405E1E5">
      <w:r>
        <w:t xml:space="preserve">Red. Jud. </w:t>
      </w:r>
      <w:r w:rsidR="00012958">
        <w:t>A0001</w:t>
      </w:r>
      <w:r>
        <w:t>/4ex./</w:t>
      </w:r>
      <w:r w:rsidR="00012958">
        <w:t>............</w:t>
      </w:r>
    </w:p>
    <w:sectPr>
      <w:footerReference w:type="default" r:id="rId4"/>
      <w:pgSz w:w="11906" w:h="16838"/>
      <w:pgMar w:top="851" w:right="851" w:bottom="851" w:left="1985"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E84E6D" w14:paraId="10F4642C" w14:textId="77777777">
    <w:pPr>
      <w:pStyle w:val="Subsol"/>
      <w:jc w:val="center"/>
    </w:pPr>
    <w:r>
      <w:fldChar w:fldCharType="begin"/>
    </w:r>
    <w:r>
      <w:instrText>PAGE   \* MERGEFORMAT</w:instrText>
    </w:r>
    <w:r>
      <w:fldChar w:fldCharType="separate"/>
    </w:r>
    <w:r>
      <w:t>#</w:t>
    </w:r>
    <w:r>
      <w:fldChar w:fldCharType="end"/>
    </w:r>
  </w:p>
  <w:p w:rsidR="00E84E6D" w14:paraId="0AB3AEE6" w14:textId="77777777">
    <w:pPr>
      <w:pStyle w:val="Subsol"/>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7A8D4BAA"/>
    <w:multiLevelType w:val="multilevel"/>
    <w:tmpl w:val="36526E2E"/>
    <w:lvl w:ilvl="0">
      <w:start w:val="1"/>
      <w:numFmt w:val="lowerLetter"/>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num w:numId="1" w16cid:durableId="15307521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2"/>
  <w:defaultTabStop w:val="720"/>
  <w:hyphenationZone w:val="425"/>
  <w:characterSpacingControl w:val="doNotCompress"/>
  <w:compat>
    <w:compatSetting w:name="compatibilityMode" w:uri="http://schemas.microsoft.com/office/word" w:val="12"/>
    <w:compatSetting w:name="useWord2013TrackBottomHyphenation" w:uri="http://schemas.microsoft.com/office/word" w:val="1"/>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4E6D"/>
    <w:rsid w:val="00012958"/>
    <w:rsid w:val="0010507D"/>
    <w:rsid w:val="0032374F"/>
    <w:rsid w:val="005416AD"/>
    <w:rsid w:val="00A42859"/>
    <w:rsid w:val="00CD60E3"/>
    <w:rsid w:val="00E84E6D"/>
  </w:rsids>
  <w:docVars>
    <w:docVar w:name="url" w:val="http://10.19.48.53:80/ecris_cdms/document_upload.aspx?id_document=5400000001714687&amp;id_departament=5&amp;id_sesiune=2602830&amp;id_user=234&amp;id_institutie=54&amp;actiune=modifica"/>
  </w:docVars>
  <m:mathPr>
    <m:mathFont m:val="Cambria Math"/>
  </m:mathPr>
  <w:themeFontLang w:val="ro-RO"/>
  <w:clrSchemeMapping w:bg1="light1" w:t1="dark1" w:bg2="light2" w:t2="dark2" w:accent1="accent1" w:accent2="accent2" w:accent3="accent3" w:accent4="accent4" w:accent5="accent5" w:accent6="accent6" w:hyperlink="hyperlink" w:followedHyperlink="followedHyperlink"/>
  <w14:docId w14:val="314F460C"/>
  <w15:docId w15:val="{F8C3B7E6-170F-443D-A188-B057690742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lang w:val="ro-RO" w:eastAsia="ro-R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lu1">
    <w:name w:val="Titlu 1"/>
    <w:basedOn w:val="Normal"/>
    <w:next w:val="Normal"/>
    <w:qFormat/>
    <w:pPr>
      <w:keepNext/>
      <w:jc w:val="center"/>
      <w:outlineLvl w:val="0"/>
    </w:pPr>
    <w:rPr>
      <w:b/>
      <w:sz w:val="28"/>
      <w:lang w:val="en-US"/>
    </w:rPr>
  </w:style>
  <w:style w:type="paragraph" w:styleId="NormalWeb">
    <w:name w:val="Normal (Web)"/>
    <w:basedOn w:val="Normal"/>
    <w:pPr>
      <w:spacing w:before="100" w:beforeAutospacing="1" w:after="100" w:afterAutospacing="1"/>
    </w:pPr>
  </w:style>
  <w:style w:type="paragraph" w:customStyle="1" w:styleId="Antet">
    <w:name w:val="Antet"/>
    <w:basedOn w:val="Normal"/>
    <w:link w:val="AntetCaracter"/>
    <w:pPr>
      <w:tabs>
        <w:tab w:val="center" w:pos="4536"/>
        <w:tab w:val="right" w:pos="9072"/>
      </w:tabs>
    </w:pPr>
  </w:style>
  <w:style w:type="paragraph" w:customStyle="1" w:styleId="Subsol">
    <w:name w:val="Subsol"/>
    <w:basedOn w:val="Normal"/>
    <w:link w:val="SubsolCaracter"/>
    <w:pPr>
      <w:tabs>
        <w:tab w:val="center" w:pos="4536"/>
        <w:tab w:val="right" w:pos="9072"/>
      </w:tabs>
    </w:pPr>
  </w:style>
  <w:style w:type="character" w:styleId="LineNumber">
    <w:name w:val="line number"/>
    <w:basedOn w:val="DefaultParagraphFont"/>
    <w:semiHidden/>
  </w:style>
  <w:style w:type="character" w:styleId="Hyperlink">
    <w:name w:val="Hyperlink"/>
    <w:rPr>
      <w:color w:val="0000FF"/>
      <w:u w:val="single"/>
    </w:rPr>
  </w:style>
  <w:style w:type="character" w:customStyle="1" w:styleId="Fontdeparagrafimplicit">
    <w:name w:val="Font de paragraf implicit"/>
  </w:style>
  <w:style w:type="character" w:customStyle="1" w:styleId="AntetCaracter">
    <w:name w:val="Antet Caracter"/>
    <w:link w:val="Antet"/>
  </w:style>
  <w:style w:type="character" w:customStyle="1" w:styleId="SubsolCaracter">
    <w:name w:val="Subsol Caracter"/>
    <w:link w:val="Subsol"/>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Normal">
    <w:name w:val="Tabel Normal"/>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ap:Template>
  <ap:SharedDoc>false</ap:SharedDoc>
  <ap:LinksUpToDate>false</ap:LinksUpToDate>
  <ap:HyperlinkBase/>
  <ap:Manager/>
  <ap:Company/>
  <ap:TotalTime>19</ap:TotalTime>
  <ap:Pages>6</ap:Pages>
  <ap:Words>3388</ap:Words>
  <ap:Characters>19651</ap:Characters>
  <ap:Application>Microsoft Office Word</ap:Application>
  <ap:DocSecurity>0</ap:DocSecurity>
  <ap:Lines>163</ap:Lines>
  <ap:Paragraphs>45</ap:Paragraphs>
  <ap:ScaleCrop>false</ap:ScaleCrop>
  <ap:HeadingPairs>
    <vt:vector baseType="variant" size="2">
      <vt:variant>
        <vt:lpstr>Title</vt:lpstr>
      </vt:variant>
      <vt:variant>
        <vt:i4>1</vt:i4>
      </vt:variant>
    </vt:vector>
  </ap:HeadingPairs>
  <ap:TitlesOfParts>
    <vt:vector baseType="lpstr" size="1">
      <vt:lpstr>Numar dosar ﷡﷡﷡﷡﷡</vt:lpstr>
    </vt:vector>
  </ap:TitlesOfParts>
  <ap:CharactersWithSpaces>22994</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dc:subject/>
  <dc:description/>
  <keywords/>
  <category/>
  <contentStatus/>
  <dc:identifier/>
  <dc:language/>
  <version/>
</coreProperties>
</file>