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A03439" w14:paraId="24307CDC" w14:textId="7DB7FE72">
      <w:pPr>
        <w:rPr>
          <w:rStyle w:val="Fontdeparagrafimplicit"/>
          <w:b/>
        </w:rPr>
      </w:pPr>
      <w:r w:rsidRPr="00A03439">
        <w:rPr>
          <w:rStyle w:val="Fontdeparagrafimplicit"/>
          <w:b/>
        </w:rPr>
        <w:t>Hot. 27</w:t>
      </w:r>
    </w:p>
    <w:p w:rsidR="001D725E" w14:paraId="48A436D0" w14:textId="369B2413">
      <w:pPr>
        <w:rPr>
          <w:rStyle w:val="Fontdeparagrafimplicit"/>
          <w:b/>
        </w:rPr>
      </w:pPr>
      <w:r>
        <w:rPr>
          <w:rStyle w:val="Fontdeparagrafimplicit"/>
          <w:b/>
        </w:rPr>
        <w:t xml:space="preserve">Dosar nr. </w:t>
      </w:r>
      <w:r w:rsidR="00A03439">
        <w:rPr>
          <w:rStyle w:val="Fontdeparagrafimplicit"/>
          <w:b/>
        </w:rPr>
        <w:t>.......................</w:t>
      </w:r>
    </w:p>
    <w:p w:rsidR="001D725E" w14:paraId="5ED79790" w14:textId="77777777">
      <w:pPr>
        <w:keepNext/>
        <w:jc w:val="center"/>
        <w:outlineLvl w:val="2"/>
        <w:rPr>
          <w:rStyle w:val="Fontdeparagrafimplicit"/>
          <w:b/>
        </w:rPr>
      </w:pPr>
      <w:r>
        <w:rPr>
          <w:rStyle w:val="Fontdeparagrafimplicit"/>
          <w:b/>
        </w:rPr>
        <w:t>R O M Â N I A</w:t>
      </w:r>
    </w:p>
    <w:p w:rsidR="001D725E" w14:paraId="0FDE4C87" w14:textId="3AB82E2D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CURTEA DE APEL </w:t>
      </w:r>
      <w:r w:rsidR="00A03439">
        <w:rPr>
          <w:rStyle w:val="Fontdeparagrafimplicit"/>
          <w:b/>
        </w:rPr>
        <w:t>.......................</w:t>
      </w:r>
    </w:p>
    <w:p w:rsidR="001D725E" w14:paraId="5E2A8905" w14:textId="2148714D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SECŢIA </w:t>
      </w:r>
      <w:r w:rsidR="00A03439">
        <w:rPr>
          <w:rStyle w:val="Fontdeparagrafimplicit"/>
          <w:b/>
        </w:rPr>
        <w:t>.......................</w:t>
      </w:r>
      <w:r>
        <w:rPr>
          <w:rStyle w:val="Fontdeparagrafimplicit"/>
          <w:b/>
        </w:rPr>
        <w:t>CONTENCIOS ADMINISTRATIV ŞI FISCAL</w:t>
      </w:r>
    </w:p>
    <w:p w:rsidR="001D725E" w14:paraId="20D76494" w14:textId="60259936">
      <w:pPr>
        <w:keepNext/>
        <w:jc w:val="center"/>
        <w:outlineLvl w:val="1"/>
        <w:rPr>
          <w:rStyle w:val="Fontdeparagrafimplicit"/>
          <w:b/>
          <w:u w:val="single"/>
        </w:rPr>
      </w:pPr>
      <w:r>
        <w:rPr>
          <w:rStyle w:val="Fontdeparagrafimplicit"/>
          <w:b/>
          <w:u w:val="single"/>
        </w:rPr>
        <w:t xml:space="preserve">DECIZIA CIVILĂ NR. </w:t>
      </w:r>
      <w:r w:rsidR="00A03439">
        <w:rPr>
          <w:rStyle w:val="Fontdeparagrafimplicit"/>
          <w:b/>
          <w:u w:val="single"/>
        </w:rPr>
        <w:t>.......................</w:t>
      </w:r>
    </w:p>
    <w:p w:rsidR="001D725E" w14:paraId="023A3A7E" w14:textId="690BEADA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Şedinţa</w:t>
      </w:r>
      <w:r>
        <w:rPr>
          <w:rStyle w:val="Fontdeparagrafimplicit"/>
          <w:b/>
        </w:rPr>
        <w:t xml:space="preserve"> publică de la </w:t>
      </w:r>
      <w:r w:rsidR="00A03439">
        <w:rPr>
          <w:rStyle w:val="Fontdeparagrafimplicit"/>
          <w:b/>
        </w:rPr>
        <w:t>.......................</w:t>
      </w:r>
      <w:r>
        <w:rPr>
          <w:rStyle w:val="Fontdeparagrafimplicit"/>
          <w:b/>
        </w:rPr>
        <w:t>2016</w:t>
      </w:r>
    </w:p>
    <w:p w:rsidR="001D725E" w14:paraId="0EE29425" w14:textId="77777777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Completul constituit din:</w:t>
      </w:r>
    </w:p>
    <w:p w:rsidR="001D725E" w14:paraId="255A14E7" w14:textId="646A6EF5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PREŞEDINTE: </w:t>
      </w:r>
      <w:r w:rsidR="00A03439">
        <w:rPr>
          <w:rStyle w:val="Fontdeparagrafimplicit"/>
          <w:b/>
        </w:rPr>
        <w:t>.......................</w:t>
      </w:r>
    </w:p>
    <w:p w:rsidR="001D725E" w14:paraId="0BE0BB03" w14:textId="359F9FFA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JUDECĂTOR: </w:t>
      </w:r>
      <w:r w:rsidR="00A03439">
        <w:rPr>
          <w:rStyle w:val="Fontdeparagrafimplicit"/>
          <w:b/>
        </w:rPr>
        <w:t>A0016</w:t>
      </w:r>
    </w:p>
    <w:p w:rsidR="001D725E" w14:paraId="47731471" w14:textId="2C21F565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JUDECĂTOR: </w:t>
      </w:r>
      <w:r w:rsidR="00A03439">
        <w:rPr>
          <w:rStyle w:val="Fontdeparagrafimplicit"/>
          <w:b/>
        </w:rPr>
        <w:t>.......................</w:t>
      </w:r>
    </w:p>
    <w:p w:rsidR="001D725E" w14:paraId="24E40F4A" w14:textId="128F9B8E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 GREFIER: </w:t>
      </w:r>
      <w:r w:rsidR="00A03439">
        <w:rPr>
          <w:rStyle w:val="Fontdeparagrafimplicit"/>
          <w:b/>
        </w:rPr>
        <w:t>.......................</w:t>
      </w:r>
    </w:p>
    <w:p w:rsidR="001D725E" w14:paraId="5C2B545C" w14:textId="77777777">
      <w:pPr>
        <w:ind w:right="-11" w:firstLine="708"/>
        <w:jc w:val="both"/>
        <w:rPr>
          <w:rStyle w:val="Fontdeparagrafimplicit"/>
        </w:rPr>
      </w:pPr>
    </w:p>
    <w:p w:rsidR="001D725E" w14:paraId="05503C65" w14:textId="632E1E97">
      <w:pPr>
        <w:ind w:firstLine="720"/>
        <w:jc w:val="both"/>
        <w:rPr>
          <w:rStyle w:val="Fontdeparagrafimplicit"/>
          <w:b/>
        </w:rPr>
      </w:pPr>
      <w:r>
        <w:t xml:space="preserve">Pe rol </w:t>
      </w:r>
      <w:r>
        <w:t>soluţionarea</w:t>
      </w:r>
      <w:r>
        <w:t xml:space="preserve"> recursului declarat de </w:t>
      </w:r>
      <w:r>
        <w:t>recurenţii</w:t>
      </w:r>
      <w:r>
        <w:t xml:space="preserve"> - </w:t>
      </w:r>
      <w:r>
        <w:t>reclamanţi</w:t>
      </w:r>
      <w:r>
        <w:t xml:space="preserve"> </w:t>
      </w:r>
      <w:bookmarkStart w:name="_Hlk238734723" w:id="0"/>
      <w:r w:rsidR="00A03439">
        <w:rPr>
          <w:rStyle w:val="Fontdeparagrafimplicit"/>
          <w:b/>
        </w:rPr>
        <w:t>R1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 xml:space="preserve">R25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</w:t>
      </w:r>
      <w:r w:rsidR="00A03439">
        <w:rPr>
          <w:rStyle w:val="Fontdeparagrafimplicit"/>
          <w:b/>
        </w:rPr>
        <w:t>R26</w:t>
      </w:r>
      <w:bookmarkEnd w:id="0"/>
      <w:r w:rsidR="00A03439">
        <w:rPr>
          <w:rStyle w:val="Fontdeparagrafimplicit"/>
          <w:b/>
        </w:rPr>
        <w:t xml:space="preserve"> </w:t>
      </w:r>
      <w:r>
        <w:t xml:space="preserve">împotriva </w:t>
      </w:r>
      <w:r>
        <w:t>sentinţei</w:t>
      </w:r>
      <w:r>
        <w:t xml:space="preserve"> civile nr. </w:t>
      </w:r>
      <w:r w:rsidR="00A03439">
        <w:t>SC1/</w:t>
      </w:r>
      <w:r>
        <w:t xml:space="preserve">.2015, </w:t>
      </w:r>
      <w:r>
        <w:t>pronunţate</w:t>
      </w:r>
      <w:r>
        <w:t xml:space="preserve"> de Tribunalul </w:t>
      </w:r>
      <w:r w:rsidR="00A03439">
        <w:t>.............</w:t>
      </w:r>
      <w:r>
        <w:t xml:space="preserve">, în dosarul nr. </w:t>
      </w:r>
      <w:r w:rsidR="00A03439">
        <w:t>.......................</w:t>
      </w:r>
      <w:r>
        <w:t xml:space="preserve">, în contradictoriu cu </w:t>
      </w:r>
      <w:r>
        <w:t>intimaţii</w:t>
      </w:r>
      <w:r>
        <w:t xml:space="preserve"> – </w:t>
      </w:r>
      <w:r>
        <w:t>pârâţi</w:t>
      </w:r>
      <w:r>
        <w:t xml:space="preserve"> </w:t>
      </w:r>
      <w:r>
        <w:rPr>
          <w:rStyle w:val="Fontdeparagrafimplicit"/>
          <w:b/>
        </w:rPr>
        <w:t xml:space="preserve">DIRECŢIA DE SĂNĂTATE PUBLICĂ </w:t>
      </w:r>
      <w:r w:rsidR="00A03439">
        <w:rPr>
          <w:rStyle w:val="Fontdeparagrafimplicit"/>
          <w:b/>
        </w:rPr>
        <w:t>.............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MINISTERUL SĂNĂTĂŢII.</w:t>
      </w:r>
    </w:p>
    <w:p w:rsidR="001D725E" w14:paraId="7229A28A" w14:textId="18CA7BAB">
      <w:pPr>
        <w:ind w:right="-11" w:firstLine="708"/>
        <w:jc w:val="both"/>
      </w:pPr>
      <w:r>
        <w:t xml:space="preserve">La apelul nominal făcut în </w:t>
      </w:r>
      <w:r>
        <w:t>şedinţa</w:t>
      </w:r>
      <w:r>
        <w:t xml:space="preserve"> publică, în ordinea listei, au răspuns </w:t>
      </w:r>
      <w:r>
        <w:t>recurenţii</w:t>
      </w:r>
      <w:r>
        <w:t xml:space="preserve"> </w:t>
      </w:r>
      <w:r>
        <w:t>reclamanţi</w:t>
      </w:r>
      <w:r>
        <w:t xml:space="preserve">, prin avocat </w:t>
      </w:r>
      <w:r w:rsidR="00A03439">
        <w:t>.............</w:t>
      </w:r>
      <w:r>
        <w:t xml:space="preserve">, cu împuternicire </w:t>
      </w:r>
      <w:r>
        <w:t>avocaţială</w:t>
      </w:r>
      <w:r>
        <w:t xml:space="preserve"> la dosar, lipsind </w:t>
      </w:r>
      <w:r>
        <w:t>intimaţii</w:t>
      </w:r>
      <w:r>
        <w:t xml:space="preserve"> </w:t>
      </w:r>
      <w:r>
        <w:t>pârâţi</w:t>
      </w:r>
      <w:r>
        <w:t>.</w:t>
      </w:r>
    </w:p>
    <w:p w:rsidR="001D725E" w14:paraId="424D7CA6" w14:textId="77777777">
      <w:pPr>
        <w:ind w:right="-11" w:firstLine="708"/>
        <w:jc w:val="both"/>
      </w:pPr>
      <w:r>
        <w:t>Procedura de citare este legal îndeplinită.</w:t>
      </w:r>
    </w:p>
    <w:p w:rsidR="001D725E" w14:paraId="31B3B12A" w14:textId="77777777">
      <w:pPr>
        <w:ind w:right="-11" w:firstLine="708"/>
        <w:jc w:val="both"/>
      </w:pPr>
      <w:r>
        <w:t xml:space="preserve">S-a făcut referatul cauzei de către grefierul de </w:t>
      </w:r>
      <w:r>
        <w:t>şedinţă</w:t>
      </w:r>
      <w:r>
        <w:t>, după care:</w:t>
      </w:r>
    </w:p>
    <w:p w:rsidR="001D725E" w14:paraId="55A06F53" w14:textId="459FD507">
      <w:pPr>
        <w:ind w:right="-11" w:firstLine="708"/>
        <w:jc w:val="both"/>
      </w:pPr>
      <w:r>
        <w:t xml:space="preserve">Avocatul </w:t>
      </w:r>
      <w:r>
        <w:t>recurenţilor</w:t>
      </w:r>
      <w:r>
        <w:t xml:space="preserve"> </w:t>
      </w:r>
      <w:r>
        <w:t>reclamanţi</w:t>
      </w:r>
      <w:r>
        <w:t xml:space="preserve"> învederează că din eroare în </w:t>
      </w:r>
      <w:r>
        <w:t>citativ</w:t>
      </w:r>
      <w:r>
        <w:t xml:space="preserve"> a fost </w:t>
      </w:r>
      <w:r>
        <w:t>menţionat</w:t>
      </w:r>
      <w:r>
        <w:t xml:space="preserve"> </w:t>
      </w:r>
      <w:r>
        <w:t>şi</w:t>
      </w:r>
      <w:r>
        <w:t xml:space="preserve"> </w:t>
      </w:r>
      <w:r w:rsidR="00A03439">
        <w:t>UUL...</w:t>
      </w:r>
      <w:r>
        <w:t xml:space="preserve">, </w:t>
      </w:r>
      <w:r>
        <w:t>deşi</w:t>
      </w:r>
      <w:r>
        <w:t xml:space="preserve"> acesta a formulat cerere de </w:t>
      </w:r>
      <w:r>
        <w:t>renunţare</w:t>
      </w:r>
      <w:r>
        <w:t xml:space="preserve"> la judecată în </w:t>
      </w:r>
      <w:r>
        <w:t>faţa</w:t>
      </w:r>
      <w:r>
        <w:t xml:space="preserve"> </w:t>
      </w:r>
      <w:r>
        <w:t>instanţei</w:t>
      </w:r>
      <w:r>
        <w:t xml:space="preserve"> de fond. </w:t>
      </w:r>
    </w:p>
    <w:p w:rsidR="001D725E" w14:paraId="06DB9F8B" w14:textId="14FFCCCB">
      <w:pPr>
        <w:ind w:right="-11" w:firstLine="708"/>
        <w:jc w:val="both"/>
      </w:pPr>
      <w:r>
        <w:t xml:space="preserve">Curtea ia act de </w:t>
      </w:r>
      <w:r>
        <w:t>susţinerile</w:t>
      </w:r>
      <w:r>
        <w:t xml:space="preserve"> avocatului </w:t>
      </w:r>
      <w:r>
        <w:t>recurenţilor</w:t>
      </w:r>
      <w:r>
        <w:t xml:space="preserve"> </w:t>
      </w:r>
      <w:r>
        <w:t>reclamanţi</w:t>
      </w:r>
      <w:r>
        <w:t xml:space="preserve"> </w:t>
      </w:r>
      <w:r>
        <w:t>şi</w:t>
      </w:r>
      <w:r>
        <w:t xml:space="preserve"> dispune rectificarea </w:t>
      </w:r>
      <w:r>
        <w:t>citativului</w:t>
      </w:r>
      <w:r>
        <w:t xml:space="preserve">, în sensul că </w:t>
      </w:r>
      <w:r w:rsidR="00A03439">
        <w:t>UUL...</w:t>
      </w:r>
      <w:r>
        <w:t xml:space="preserve"> nu mai are calitatea de parte în prezenta cauză.</w:t>
      </w:r>
    </w:p>
    <w:p w:rsidR="001D725E" w14:paraId="3284498D" w14:textId="77777777">
      <w:pPr>
        <w:ind w:right="-11" w:firstLine="708"/>
        <w:jc w:val="both"/>
      </w:pPr>
      <w:r>
        <w:t xml:space="preserve">Nemaifiind cereri de formulat sau probe de administrat, Curtea acordă cuvântul în dezbaterea recursului. </w:t>
      </w:r>
    </w:p>
    <w:p w:rsidR="001D725E" w14:paraId="18066697" w14:textId="77777777">
      <w:pPr>
        <w:ind w:right="-11" w:firstLine="708"/>
        <w:jc w:val="both"/>
      </w:pPr>
      <w:r>
        <w:t>Recurenţii</w:t>
      </w:r>
      <w:r>
        <w:t xml:space="preserve"> </w:t>
      </w:r>
      <w:r>
        <w:t>reclamanţi</w:t>
      </w:r>
      <w:r>
        <w:t xml:space="preserve">, prin avocat, solicită admiterea recursului, casarea </w:t>
      </w:r>
      <w:r>
        <w:t>sentinţei</w:t>
      </w:r>
      <w:r>
        <w:t xml:space="preserve"> </w:t>
      </w:r>
      <w:r>
        <w:t>recurate</w:t>
      </w:r>
      <w:r>
        <w:t xml:space="preserve"> </w:t>
      </w:r>
      <w:r>
        <w:t>şi</w:t>
      </w:r>
      <w:r>
        <w:t xml:space="preserve">, pe fond, admiterea </w:t>
      </w:r>
      <w:r>
        <w:t>acţiunii</w:t>
      </w:r>
      <w:r>
        <w:t xml:space="preserve"> în sensul obligării pârâtelor la acordarea </w:t>
      </w:r>
      <w:r>
        <w:t>diferenţei</w:t>
      </w:r>
      <w:r>
        <w:t xml:space="preserve"> drepturilor salariale începând cu luna ianuarie 2011 când a încetat aplicarea reducerii salariale de 25%. Învederează că, </w:t>
      </w:r>
      <w:r>
        <w:t>deşi</w:t>
      </w:r>
      <w:r>
        <w:t xml:space="preserve"> Legea nr. 118/2010 a precizat că reducerea salarială de 25% se aplica până la data de 31 decembrie 2010, din luna ianuarie 2011 nu s-a revenit la cuantumul salariilor </w:t>
      </w:r>
      <w:r>
        <w:t>şi</w:t>
      </w:r>
      <w:r>
        <w:t xml:space="preserve"> </w:t>
      </w:r>
      <w:r>
        <w:t>indemnizaţiilor</w:t>
      </w:r>
      <w:r>
        <w:t xml:space="preserve"> de dinainte de adoptarea măsu</w:t>
      </w:r>
      <w:r>
        <w:t>rilor de diminuare, motiv pentru care solicită restituirea acestor sume. Depune la dosarul cauzei concluzii scrise.</w:t>
      </w:r>
    </w:p>
    <w:p w:rsidR="001D725E" w14:paraId="489A6374" w14:textId="77777777">
      <w:pPr>
        <w:ind w:right="-11" w:firstLine="708"/>
        <w:jc w:val="both"/>
      </w:pPr>
      <w:r>
        <w:t xml:space="preserve">Curtea declară dezbaterile închise </w:t>
      </w:r>
      <w:r>
        <w:t>şi</w:t>
      </w:r>
      <w:r>
        <w:t xml:space="preserve"> </w:t>
      </w:r>
      <w:r>
        <w:t>reţine</w:t>
      </w:r>
      <w:r>
        <w:t xml:space="preserve"> cauza în </w:t>
      </w:r>
      <w:r>
        <w:t>pronunţare</w:t>
      </w:r>
      <w:r>
        <w:t>.</w:t>
      </w:r>
    </w:p>
    <w:p w:rsidR="001D725E" w14:paraId="65E6469C" w14:textId="77777777">
      <w:pPr>
        <w:ind w:right="-11" w:firstLine="708"/>
        <w:jc w:val="both"/>
      </w:pPr>
    </w:p>
    <w:p w:rsidR="001D725E" w14:paraId="4E2FB6F9" w14:textId="77777777">
      <w:pPr>
        <w:ind w:right="-11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CURTEA,</w:t>
      </w:r>
    </w:p>
    <w:p w:rsidR="001D725E" w14:paraId="178B424E" w14:textId="77777777">
      <w:pPr>
        <w:ind w:right="-11"/>
        <w:jc w:val="both"/>
        <w:rPr>
          <w:rStyle w:val="Fontdeparagrafimplicit"/>
        </w:rPr>
      </w:pPr>
    </w:p>
    <w:p w:rsidR="001D725E" w14:paraId="547B67A0" w14:textId="77777777">
      <w:pPr>
        <w:ind w:firstLine="567"/>
        <w:jc w:val="both"/>
      </w:pPr>
      <w:r>
        <w:t xml:space="preserve">Deliberând asupra recursului de </w:t>
      </w:r>
      <w:r>
        <w:t>faţă</w:t>
      </w:r>
      <w:r>
        <w:t>, constată următoarele:</w:t>
      </w:r>
    </w:p>
    <w:p w:rsidR="001D725E" w14:paraId="1D43554C" w14:textId="77777777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1. Hotărârea </w:t>
      </w:r>
      <w:r>
        <w:rPr>
          <w:rStyle w:val="Fontdeparagrafimplicit"/>
          <w:b/>
        </w:rPr>
        <w:t>instanţei</w:t>
      </w:r>
      <w:r>
        <w:rPr>
          <w:rStyle w:val="Fontdeparagrafimplicit"/>
          <w:b/>
        </w:rPr>
        <w:t xml:space="preserve"> de fond</w:t>
      </w:r>
    </w:p>
    <w:p w:rsidR="001D725E" w14:paraId="3B2BF4DD" w14:textId="0F4B77D5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color w:val="000000"/>
        </w:rPr>
        <w:t xml:space="preserve">Prin </w:t>
      </w:r>
      <w:r>
        <w:rPr>
          <w:rStyle w:val="Fontdeparagrafimplicit"/>
          <w:color w:val="000000"/>
        </w:rPr>
        <w:t>sentinţa</w:t>
      </w:r>
      <w:r>
        <w:rPr>
          <w:rStyle w:val="Fontdeparagrafimplicit"/>
          <w:color w:val="000000"/>
        </w:rPr>
        <w:t xml:space="preserve"> civilă nr. </w:t>
      </w:r>
      <w:r w:rsidR="00A03439">
        <w:t>SC1/</w:t>
      </w:r>
      <w:r>
        <w:t xml:space="preserve">.2015 Tribunalul </w:t>
      </w:r>
      <w:r w:rsidR="00A03439">
        <w:t>.............</w:t>
      </w:r>
      <w:r>
        <w:t xml:space="preserve"> a respins ca neîntemeiată cererea </w:t>
      </w:r>
      <w:r>
        <w:t>reclamanţilor</w:t>
      </w:r>
      <w:r>
        <w:t xml:space="preserve"> </w:t>
      </w:r>
      <w:r w:rsidR="00A03439">
        <w:t>R1</w:t>
      </w:r>
      <w:r>
        <w:t xml:space="preserve">, </w:t>
      </w:r>
      <w:r w:rsidR="00A03439">
        <w:t>R2</w:t>
      </w:r>
      <w:r>
        <w:t xml:space="preserve">, </w:t>
      </w:r>
      <w:r w:rsidR="00A03439">
        <w:t>R3</w:t>
      </w:r>
      <w:r>
        <w:t xml:space="preserve">, </w:t>
      </w:r>
      <w:r w:rsidR="00A03439">
        <w:t>R4</w:t>
      </w:r>
      <w:r>
        <w:t xml:space="preserve">, </w:t>
      </w:r>
      <w:r w:rsidR="00A03439">
        <w:t>R5</w:t>
      </w:r>
      <w:r>
        <w:t xml:space="preserve">, </w:t>
      </w:r>
      <w:r w:rsidR="00A03439">
        <w:t>R6</w:t>
      </w:r>
      <w:r>
        <w:t xml:space="preserve">, </w:t>
      </w:r>
      <w:r w:rsidR="00A03439">
        <w:t>R7</w:t>
      </w:r>
      <w:r>
        <w:t xml:space="preserve">, </w:t>
      </w:r>
      <w:r w:rsidR="00A03439">
        <w:t>R8</w:t>
      </w:r>
      <w:r>
        <w:t xml:space="preserve">, </w:t>
      </w:r>
      <w:r w:rsidR="00A03439">
        <w:t>R9</w:t>
      </w:r>
      <w:r>
        <w:t xml:space="preserve">, </w:t>
      </w:r>
      <w:r w:rsidR="00A03439">
        <w:t>R10</w:t>
      </w:r>
      <w:r>
        <w:t xml:space="preserve">, </w:t>
      </w:r>
      <w:r w:rsidR="00A03439">
        <w:t>UUL...</w:t>
      </w:r>
      <w:r>
        <w:t xml:space="preserve">, </w:t>
      </w:r>
      <w:r w:rsidR="00A03439">
        <w:t>R11</w:t>
      </w:r>
      <w:r>
        <w:t xml:space="preserve">, </w:t>
      </w:r>
      <w:r w:rsidR="00A03439">
        <w:t>R12</w:t>
      </w:r>
      <w:r>
        <w:t xml:space="preserve">, </w:t>
      </w:r>
      <w:r w:rsidR="00A03439">
        <w:t>R13</w:t>
      </w:r>
      <w:r>
        <w:t xml:space="preserve">, </w:t>
      </w:r>
      <w:r w:rsidR="00A03439">
        <w:t>R14</w:t>
      </w:r>
      <w:r>
        <w:t xml:space="preserve">, </w:t>
      </w:r>
      <w:r w:rsidR="00A03439">
        <w:t>R15</w:t>
      </w:r>
      <w:r>
        <w:t xml:space="preserve">, </w:t>
      </w:r>
      <w:r w:rsidR="00A03439">
        <w:t>R16</w:t>
      </w:r>
      <w:r>
        <w:t xml:space="preserve">, </w:t>
      </w:r>
      <w:r w:rsidR="00A03439">
        <w:t>R17</w:t>
      </w:r>
      <w:r>
        <w:t xml:space="preserve">, </w:t>
      </w:r>
      <w:r w:rsidR="00A03439">
        <w:t>R18</w:t>
      </w:r>
      <w:r>
        <w:t xml:space="preserve">, </w:t>
      </w:r>
      <w:r w:rsidR="00A03439">
        <w:t>R19</w:t>
      </w:r>
      <w:r>
        <w:t xml:space="preserve">, </w:t>
      </w:r>
      <w:r w:rsidR="00A03439">
        <w:t>R20</w:t>
      </w:r>
      <w:r>
        <w:t xml:space="preserve">, </w:t>
      </w:r>
      <w:r w:rsidR="00A03439">
        <w:t>R21</w:t>
      </w:r>
      <w:r>
        <w:t xml:space="preserve">, </w:t>
      </w:r>
      <w:r w:rsidR="00A03439">
        <w:t>R22</w:t>
      </w:r>
      <w:r>
        <w:t xml:space="preserve">, </w:t>
      </w:r>
      <w:r w:rsidR="00A03439">
        <w:t>R23</w:t>
      </w:r>
      <w:r>
        <w:t xml:space="preserve">, </w:t>
      </w:r>
      <w:r w:rsidR="00A03439">
        <w:t>R24</w:t>
      </w:r>
      <w:r>
        <w:t>, R25</w:t>
      </w:r>
      <w:r>
        <w:t xml:space="preserve">, </w:t>
      </w:r>
      <w:r w:rsidR="00A03439">
        <w:t>R26</w:t>
      </w:r>
      <w:r>
        <w:t xml:space="preserve">, </w:t>
      </w:r>
      <w:r>
        <w:t xml:space="preserve">în contradictoriu cu </w:t>
      </w:r>
      <w:r>
        <w:t>pârâţii</w:t>
      </w:r>
      <w:r>
        <w:t xml:space="preserve"> </w:t>
      </w:r>
      <w:r>
        <w:t>Direcţia</w:t>
      </w:r>
      <w:r>
        <w:t xml:space="preserve"> De Sănătate Publică </w:t>
      </w:r>
      <w:r w:rsidR="00A03439">
        <w:t>.............</w:t>
      </w:r>
      <w:r>
        <w:t xml:space="preserve"> </w:t>
      </w:r>
      <w:r>
        <w:t>şi</w:t>
      </w:r>
      <w:r>
        <w:t xml:space="preserve"> Ministerul </w:t>
      </w:r>
      <w:r>
        <w:t>Sănătăţii</w:t>
      </w:r>
      <w:r>
        <w:rPr>
          <w:rStyle w:val="Fontdeparagrafimplicit"/>
          <w:b/>
        </w:rPr>
        <w:t>.</w:t>
      </w:r>
    </w:p>
    <w:p w:rsidR="001D725E" w14:paraId="205D9B3A" w14:textId="5D40D73B">
      <w:pPr>
        <w:ind w:firstLine="567"/>
        <w:jc w:val="both"/>
        <w:rPr>
          <w:rStyle w:val="Fontdeparagrafimplicit"/>
          <w:b/>
          <w:color w:val="000000"/>
          <w:shd w:val="clear" w:color="auto" w:fill="FFFFFF"/>
        </w:rPr>
      </w:pPr>
      <w:r>
        <w:rPr>
          <w:rStyle w:val="Fontdeparagrafimplicit"/>
          <w:b/>
        </w:rPr>
        <w:t xml:space="preserve">2. Recursul formulat de </w:t>
      </w:r>
      <w:r>
        <w:rPr>
          <w:rStyle w:val="Fontdeparagrafimplicit"/>
          <w:b/>
        </w:rPr>
        <w:t>reclamanţii</w:t>
      </w:r>
      <w:r>
        <w:rPr>
          <w:rStyle w:val="Fontdeparagrafimplicit"/>
          <w:b/>
        </w:rPr>
        <w:t xml:space="preserve"> </w:t>
      </w:r>
      <w:r w:rsidR="00A03439">
        <w:rPr>
          <w:rStyle w:val="Fontdeparagrafimplicit"/>
          <w:b/>
        </w:rPr>
        <w:t>R1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R25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</w:t>
      </w:r>
      <w:r w:rsidR="00A03439">
        <w:rPr>
          <w:rStyle w:val="Fontdeparagrafimplicit"/>
          <w:b/>
        </w:rPr>
        <w:t>R26</w:t>
      </w:r>
    </w:p>
    <w:p w:rsidR="001D725E" w14:paraId="4218CAD9" w14:textId="77777777">
      <w:pPr>
        <w:ind w:firstLine="567"/>
        <w:jc w:val="both"/>
      </w:pPr>
      <w:r>
        <w:rPr>
          <w:rStyle w:val="Fontdeparagrafimplicit"/>
          <w:color w:val="000000"/>
          <w:shd w:val="clear" w:color="auto" w:fill="FFFFFF"/>
        </w:rPr>
        <w:t xml:space="preserve">Împotriva acestei </w:t>
      </w:r>
      <w:r>
        <w:rPr>
          <w:rStyle w:val="Fontdeparagrafimplicit"/>
          <w:color w:val="000000"/>
          <w:shd w:val="clear" w:color="auto" w:fill="FFFFFF"/>
        </w:rPr>
        <w:t>sentinţei</w:t>
      </w:r>
      <w:r>
        <w:rPr>
          <w:rStyle w:val="Fontdeparagrafimplicit"/>
          <w:color w:val="000000"/>
          <w:shd w:val="clear" w:color="auto" w:fill="FFFFFF"/>
        </w:rPr>
        <w:t xml:space="preserve"> au declarat recurs </w:t>
      </w:r>
      <w:r>
        <w:rPr>
          <w:rStyle w:val="Fontdeparagrafimplicit"/>
          <w:color w:val="000000"/>
          <w:shd w:val="clear" w:color="auto" w:fill="FFFFFF"/>
        </w:rPr>
        <w:t>recurenţii</w:t>
      </w:r>
      <w:r>
        <w:rPr>
          <w:rStyle w:val="Fontdeparagrafimplicit"/>
          <w:color w:val="000000"/>
          <w:shd w:val="clear" w:color="auto" w:fill="FFFFFF"/>
        </w:rPr>
        <w:t xml:space="preserve"> </w:t>
      </w:r>
      <w:r>
        <w:rPr>
          <w:rStyle w:val="Fontdeparagrafimplicit"/>
          <w:color w:val="000000"/>
          <w:shd w:val="clear" w:color="auto" w:fill="FFFFFF"/>
        </w:rPr>
        <w:t>reclamanţi</w:t>
      </w:r>
      <w:r>
        <w:rPr>
          <w:rStyle w:val="Fontdeparagrafimplicit"/>
          <w:color w:val="000000"/>
          <w:shd w:val="clear" w:color="auto" w:fill="FFFFFF"/>
        </w:rPr>
        <w:t xml:space="preserve">, solicitând admiterea </w:t>
      </w:r>
      <w:r>
        <w:rPr>
          <w:rStyle w:val="Fontdeparagrafimplicit"/>
          <w:color w:val="000000"/>
          <w:shd w:val="clear" w:color="auto" w:fill="FFFFFF"/>
        </w:rPr>
        <w:t>recurusului</w:t>
      </w:r>
      <w:r>
        <w:rPr>
          <w:rStyle w:val="Fontdeparagrafimplicit"/>
          <w:color w:val="000000"/>
          <w:shd w:val="clear" w:color="auto" w:fill="FFFFFF"/>
        </w:rPr>
        <w:t xml:space="preserve">, </w:t>
      </w:r>
      <w:r>
        <w:t xml:space="preserve">casarea in totalitate a </w:t>
      </w:r>
      <w:r>
        <w:t>sentinţei</w:t>
      </w:r>
      <w:r>
        <w:t xml:space="preserve"> </w:t>
      </w:r>
      <w:r>
        <w:t>recurate</w:t>
      </w:r>
      <w:r>
        <w:t xml:space="preserve"> si pe fond, admiterea in parte a </w:t>
      </w:r>
      <w:r>
        <w:t>actiunii</w:t>
      </w:r>
      <w:r>
        <w:t xml:space="preserve">, in sensul </w:t>
      </w:r>
      <w:r>
        <w:t>obligarii</w:t>
      </w:r>
      <w:r>
        <w:t xml:space="preserve"> paratelor la acordarea </w:t>
      </w:r>
      <w:r>
        <w:t>diferentei</w:t>
      </w:r>
      <w:r>
        <w:t xml:space="preserve"> drepturilor salariale </w:t>
      </w:r>
      <w:r>
        <w:t>incepand</w:t>
      </w:r>
      <w:r>
        <w:t xml:space="preserve"> cu luna ianuarie 20l1, </w:t>
      </w:r>
      <w:r>
        <w:t>cand</w:t>
      </w:r>
      <w:r>
        <w:t xml:space="preserve"> a </w:t>
      </w:r>
      <w:r>
        <w:t>incetat</w:t>
      </w:r>
      <w:r>
        <w:t xml:space="preserve"> aplicarea reducerii salariale de 25% conform art. 16 din Legea nr. 118 din 30 iunie 2010.</w:t>
      </w:r>
    </w:p>
    <w:p w:rsidR="001D725E" w14:paraId="4C2ACB4F" w14:textId="77777777">
      <w:pPr>
        <w:ind w:firstLine="567"/>
        <w:jc w:val="both"/>
      </w:pPr>
      <w:r>
        <w:t xml:space="preserve">În motivarea cererii, </w:t>
      </w:r>
      <w:r>
        <w:t>recurenţii</w:t>
      </w:r>
      <w:r>
        <w:t xml:space="preserve"> arată că prima </w:t>
      </w:r>
      <w:r>
        <w:t>instanţă</w:t>
      </w:r>
      <w:r>
        <w:t xml:space="preserve"> a respins </w:t>
      </w:r>
      <w:r>
        <w:t>actiunea</w:t>
      </w:r>
      <w:r>
        <w:t xml:space="preserve"> formulată </w:t>
      </w:r>
      <w:r>
        <w:t>reţinând</w:t>
      </w:r>
      <w:r>
        <w:t xml:space="preserve"> că in cauza s-a demonstrat ca </w:t>
      </w:r>
      <w:r>
        <w:t>masura</w:t>
      </w:r>
      <w:r>
        <w:t xml:space="preserve"> </w:t>
      </w:r>
      <w:r>
        <w:t>diminuarii</w:t>
      </w:r>
      <w:r>
        <w:t xml:space="preserve"> salariului cu 25% nu </w:t>
      </w:r>
      <w:r>
        <w:t>incalca</w:t>
      </w:r>
      <w:r>
        <w:t xml:space="preserve"> </w:t>
      </w:r>
      <w:r>
        <w:t>conditiile</w:t>
      </w:r>
      <w:r>
        <w:t xml:space="preserve"> reglementate </w:t>
      </w:r>
      <w:r>
        <w:t xml:space="preserve">de </w:t>
      </w:r>
      <w:r>
        <w:t>legislatie</w:t>
      </w:r>
      <w:r>
        <w:t xml:space="preserve"> </w:t>
      </w:r>
      <w:r>
        <w:t>asa</w:t>
      </w:r>
      <w:r>
        <w:t xml:space="preserve"> cum s-a </w:t>
      </w:r>
      <w:r>
        <w:t>pronuntat</w:t>
      </w:r>
      <w:r>
        <w:t xml:space="preserve"> si Curtea </w:t>
      </w:r>
      <w:r>
        <w:t>Constitutionala</w:t>
      </w:r>
      <w:r>
        <w:t xml:space="preserve"> prin Deciziile nr. 872 si 874 din 25.06.2010.</w:t>
      </w:r>
    </w:p>
    <w:p w:rsidR="001D725E" w14:paraId="20C685CB" w14:textId="77777777">
      <w:pPr>
        <w:ind w:firstLine="567"/>
        <w:jc w:val="both"/>
      </w:pPr>
      <w:r>
        <w:t xml:space="preserve">Judecătorul fondului a analizat </w:t>
      </w:r>
      <w:r>
        <w:t>partial</w:t>
      </w:r>
      <w:r>
        <w:t xml:space="preserve"> </w:t>
      </w:r>
      <w:r>
        <w:t>actiunea</w:t>
      </w:r>
      <w:r>
        <w:t xml:space="preserve"> si nu a </w:t>
      </w:r>
      <w:r>
        <w:t>ţinut</w:t>
      </w:r>
      <w:r>
        <w:t xml:space="preserve"> seama de un aspect </w:t>
      </w:r>
      <w:r>
        <w:t>esenţial</w:t>
      </w:r>
      <w:r>
        <w:t xml:space="preserve">, anume că din motivarea deciziilor nr. 872 si 874 din 2010 </w:t>
      </w:r>
      <w:r>
        <w:t>pronuntate</w:t>
      </w:r>
      <w:r>
        <w:t xml:space="preserve"> de Curtea </w:t>
      </w:r>
      <w:r>
        <w:t>Constitutionala</w:t>
      </w:r>
      <w:r>
        <w:t xml:space="preserve"> se impunea admiterea in parte a </w:t>
      </w:r>
      <w:r>
        <w:t>actiunii</w:t>
      </w:r>
      <w:r>
        <w:t xml:space="preserve">. Astfel, </w:t>
      </w:r>
      <w:r>
        <w:t>reclamanţilor</w:t>
      </w:r>
      <w:r>
        <w:t xml:space="preserve"> li se cuvine acordarea </w:t>
      </w:r>
      <w:r>
        <w:t>diferentei</w:t>
      </w:r>
      <w:r>
        <w:t xml:space="preserve"> drepturilor salariale </w:t>
      </w:r>
      <w:r>
        <w:t>incepand</w:t>
      </w:r>
      <w:r>
        <w:t xml:space="preserve"> cu luna ianuarie 2011, iar </w:t>
      </w:r>
      <w:r>
        <w:t>instanta</w:t>
      </w:r>
      <w:r>
        <w:t xml:space="preserve"> de fond nu a analizat din niciun punct de vedere </w:t>
      </w:r>
      <w:r>
        <w:t>dispozitiile</w:t>
      </w:r>
      <w:r>
        <w:t xml:space="preserve"> legale invocate si nu a motivat deloc de ce a fost respinsa </w:t>
      </w:r>
      <w:r>
        <w:t>actiunea</w:t>
      </w:r>
      <w:r>
        <w:t xml:space="preserve"> in totalitate. </w:t>
      </w:r>
    </w:p>
    <w:p w:rsidR="001D725E" w14:paraId="7B078C64" w14:textId="77777777">
      <w:pPr>
        <w:ind w:firstLine="567"/>
        <w:jc w:val="both"/>
      </w:pPr>
      <w:r>
        <w:t xml:space="preserve">Legiuitorul a limitat reducerea de 25% a drepturilor salariale pana la data de 31.12.2010, iar Curtea </w:t>
      </w:r>
      <w:r>
        <w:t>Constitutionala</w:t>
      </w:r>
      <w:r>
        <w:t xml:space="preserve"> a stabilit prin Deciziile nr. 872/2010 si nr. 874/2010 ca </w:t>
      </w:r>
      <w:r>
        <w:t>dispozitiile</w:t>
      </w:r>
      <w:r>
        <w:t xml:space="preserve"> legii nr. 11812010 sunt </w:t>
      </w:r>
      <w:r>
        <w:t>constitutionale</w:t>
      </w:r>
      <w:r>
        <w:t xml:space="preserve"> motivat de faptul ca aplicarea </w:t>
      </w:r>
      <w:r>
        <w:t>masurii</w:t>
      </w:r>
      <w:r>
        <w:t xml:space="preserve"> de reducere a salariilor a fost limitata pana la data de 31.12.2010, </w:t>
      </w:r>
      <w:r>
        <w:t>avand</w:t>
      </w:r>
      <w:r>
        <w:t xml:space="preserve"> un caracter temporar. Deci, pentru a respecta art. 16 din Legea nr. 118/2010 si Decizia </w:t>
      </w:r>
      <w:r>
        <w:t>Curtii</w:t>
      </w:r>
      <w:r>
        <w:t xml:space="preserve"> </w:t>
      </w:r>
      <w:r>
        <w:t>Constitutionale</w:t>
      </w:r>
      <w:r>
        <w:t xml:space="preserve"> nr. 872/2010, se impune sa se acorde </w:t>
      </w:r>
      <w:r>
        <w:t>diferenta</w:t>
      </w:r>
      <w:r>
        <w:t xml:space="preserve"> drepturilor salariale </w:t>
      </w:r>
      <w:r>
        <w:t>incepand</w:t>
      </w:r>
      <w:r>
        <w:t xml:space="preserve"> cu data de 01.01.2011 astfel: </w:t>
      </w:r>
    </w:p>
    <w:p w:rsidR="001D725E" w14:paraId="6BA1DBC0" w14:textId="77777777">
      <w:pPr>
        <w:ind w:firstLine="567"/>
        <w:jc w:val="both"/>
      </w:pPr>
      <w:r>
        <w:t xml:space="preserve">~in perioada 01.01.2011 - 01.06.2012 trebuie sa se acorde </w:t>
      </w:r>
      <w:r>
        <w:t>diferenta</w:t>
      </w:r>
      <w:r>
        <w:t xml:space="preserve"> de 10% din drepturile salariale motivat de faptul ca prin Legea nr. 285/28.12.2010 privind salarizarea in anul 2011 a personalului </w:t>
      </w:r>
      <w:r>
        <w:t>platit</w:t>
      </w:r>
      <w:r>
        <w:t xml:space="preserve"> din fonduri publice, se </w:t>
      </w:r>
      <w:r>
        <w:t>majoreaza</w:t>
      </w:r>
      <w:r>
        <w:t xml:space="preserve"> cu 15%, cuantumul brut al salariilor de baza, </w:t>
      </w:r>
      <w:r>
        <w:t>incepand</w:t>
      </w:r>
      <w:r>
        <w:t xml:space="preserve"> cu 01.01.2011. </w:t>
      </w:r>
      <w:r>
        <w:t>Adica</w:t>
      </w:r>
      <w:r>
        <w:t xml:space="preserve">, prin acest act normativ s-a acordat 15% din 25% cat era legal si se impune ca </w:t>
      </w:r>
      <w:r>
        <w:t>instanta</w:t>
      </w:r>
      <w:r>
        <w:t xml:space="preserve"> sa acorde </w:t>
      </w:r>
      <w:r>
        <w:t>diferenta</w:t>
      </w:r>
      <w:r>
        <w:t xml:space="preserve"> de 10%, pentru perioada 01.01.2011 - 01.06.2012. </w:t>
      </w:r>
    </w:p>
    <w:p w:rsidR="001D725E" w14:paraId="3B7845AB" w14:textId="77777777">
      <w:pPr>
        <w:ind w:firstLine="567"/>
        <w:jc w:val="both"/>
      </w:pPr>
      <w:r>
        <w:t xml:space="preserve">~ in perioada 01.06.2012 -01.12.2012 trebuie sa se acorde </w:t>
      </w:r>
      <w:r>
        <w:t>diferenta</w:t>
      </w:r>
      <w:r>
        <w:t xml:space="preserve"> de 2% din drepturile salariale motivat de faptul ca prin O.U.G. nr. 19/2012 privind aprobarea unor masuri pentru recuperarea reducerilor salariale, salariile brute ale personalului </w:t>
      </w:r>
      <w:r>
        <w:t>platit</w:t>
      </w:r>
      <w:r>
        <w:t xml:space="preserve"> din fonduri publice se </w:t>
      </w:r>
      <w:r>
        <w:t>majoreaza</w:t>
      </w:r>
      <w:r>
        <w:t xml:space="preserve"> cu 8% </w:t>
      </w:r>
      <w:r>
        <w:t>incepand</w:t>
      </w:r>
      <w:r>
        <w:t xml:space="preserve"> cu data de 01.06.2012. </w:t>
      </w:r>
      <w:r>
        <w:t>Adica</w:t>
      </w:r>
      <w:r>
        <w:t xml:space="preserve">, prin acest act normativ s-a acordat </w:t>
      </w:r>
      <w:r>
        <w:t>inca</w:t>
      </w:r>
      <w:r>
        <w:t xml:space="preserve"> 8% </w:t>
      </w:r>
      <w:r>
        <w:t>incepand</w:t>
      </w:r>
      <w:r>
        <w:t xml:space="preserve"> cu 01.06.2012 plus 15% </w:t>
      </w:r>
      <w:r>
        <w:t>acordati</w:t>
      </w:r>
      <w:r>
        <w:t xml:space="preserve"> anterior s-a ajuns la 23% din 25% cat era legal, </w:t>
      </w:r>
      <w:r>
        <w:t>situatie</w:t>
      </w:r>
      <w:r>
        <w:t xml:space="preserve"> in care se impune ca </w:t>
      </w:r>
      <w:r>
        <w:t>instanta</w:t>
      </w:r>
      <w:r>
        <w:t xml:space="preserve"> sa ne acorde </w:t>
      </w:r>
      <w:r>
        <w:t>diferenta</w:t>
      </w:r>
      <w:r>
        <w:t xml:space="preserve"> de 2%, pentru perioada 01.06.2012 - 01.1</w:t>
      </w:r>
      <w:r>
        <w:t xml:space="preserve">2.2012. </w:t>
      </w:r>
    </w:p>
    <w:p w:rsidR="001D725E" w14:paraId="101580C6" w14:textId="77777777">
      <w:pPr>
        <w:ind w:firstLine="567"/>
        <w:jc w:val="both"/>
      </w:pPr>
      <w:r>
        <w:t xml:space="preserve">În drept, sunt invocate: prevederile art.488 pct.8 </w:t>
      </w:r>
      <w:r>
        <w:t>C.pr.civ</w:t>
      </w:r>
      <w:r>
        <w:t xml:space="preserve">., art.453 </w:t>
      </w:r>
      <w:r>
        <w:t>C.pr.civ</w:t>
      </w:r>
      <w:r>
        <w:t xml:space="preserve">., art. 20 din </w:t>
      </w:r>
      <w:r>
        <w:t>Constituţia</w:t>
      </w:r>
      <w:r>
        <w:t xml:space="preserve"> României, art. 41 din </w:t>
      </w:r>
      <w:r>
        <w:t>Conventie</w:t>
      </w:r>
      <w:r>
        <w:t xml:space="preserve">, art. 16 din Legea nr. 118 din 30 iunie 2010, Deciziile nr. 872 si 874 din 25.06.2010 ale </w:t>
      </w:r>
      <w:r>
        <w:t>Curtii</w:t>
      </w:r>
      <w:r>
        <w:t xml:space="preserve"> </w:t>
      </w:r>
      <w:r>
        <w:t>Consitutionale</w:t>
      </w:r>
      <w:r>
        <w:t xml:space="preserve">. </w:t>
      </w:r>
    </w:p>
    <w:p w:rsidR="001D725E" w14:paraId="23F9E2A1" w14:textId="49BF7407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3. </w:t>
      </w:r>
      <w:r>
        <w:rPr>
          <w:rStyle w:val="Fontdeparagrafimplicit"/>
          <w:b/>
        </w:rPr>
        <w:t>Poziţia</w:t>
      </w:r>
      <w:r>
        <w:rPr>
          <w:rStyle w:val="Fontdeparagrafimplicit"/>
          <w:b/>
        </w:rPr>
        <w:t xml:space="preserve"> procesuală a </w:t>
      </w:r>
      <w:r>
        <w:rPr>
          <w:rStyle w:val="Fontdeparagrafimplicit"/>
          <w:b/>
        </w:rPr>
        <w:t>intimaţilor</w:t>
      </w:r>
      <w:r>
        <w:rPr>
          <w:rStyle w:val="Fontdeparagrafimplicit"/>
          <w:b/>
        </w:rPr>
        <w:t>–</w:t>
      </w:r>
      <w:r>
        <w:rPr>
          <w:rStyle w:val="Fontdeparagrafimplicit"/>
          <w:b/>
        </w:rPr>
        <w:t>pârâţi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Direcţia</w:t>
      </w:r>
      <w:r>
        <w:rPr>
          <w:rStyle w:val="Fontdeparagrafimplicit"/>
          <w:b/>
        </w:rPr>
        <w:t xml:space="preserve"> de Sănătate Publică </w:t>
      </w:r>
      <w:r w:rsidR="00A03439">
        <w:rPr>
          <w:rStyle w:val="Fontdeparagrafimplicit"/>
          <w:b/>
        </w:rPr>
        <w:t>.............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Ministerul </w:t>
      </w:r>
      <w:r>
        <w:rPr>
          <w:rStyle w:val="Fontdeparagrafimplicit"/>
          <w:b/>
        </w:rPr>
        <w:t>Sănătăţii</w:t>
      </w:r>
      <w:r>
        <w:rPr>
          <w:rStyle w:val="Fontdeparagrafimplicit"/>
          <w:b/>
        </w:rPr>
        <w:t xml:space="preserve"> </w:t>
      </w:r>
    </w:p>
    <w:p w:rsidR="001D725E" w14:paraId="447804E4" w14:textId="77777777">
      <w:pPr>
        <w:ind w:firstLine="567"/>
        <w:jc w:val="both"/>
      </w:pPr>
      <w:r>
        <w:t xml:space="preserve">Prin întâmpinarea formulată, intimatul-pârât Ministerul </w:t>
      </w:r>
      <w:r>
        <w:t>Sănătăţii</w:t>
      </w:r>
      <w:r>
        <w:t xml:space="preserve"> a solicitat respingerea ca nefondat a recursului formulat de </w:t>
      </w:r>
      <w:r>
        <w:t>reclamanţi</w:t>
      </w:r>
      <w:r>
        <w:t xml:space="preserve">, arătând că în conformitate cu prevederile art. 1 din Legea nr. 285/2010 privind salarizarea în anul 2011 a personalului plătit din fonduri publice începând cu 1 ianuarie 2011, cuantumul brut al salariilor de bază/soldelor </w:t>
      </w:r>
      <w:r>
        <w:t>funcţiei</w:t>
      </w:r>
      <w:r>
        <w:t xml:space="preserve"> de bază/salariilor </w:t>
      </w:r>
      <w:r>
        <w:t>funcţiei</w:t>
      </w:r>
      <w:r>
        <w:t xml:space="preserve"> de bază/</w:t>
      </w:r>
      <w:r>
        <w:t>indemnizaţiilor</w:t>
      </w:r>
      <w:r>
        <w:t xml:space="preserve"> de încadrare, astfel cum au fost acordate personalului plătit din fonduri publice pentru luna octombrie 2010, se majorează cu 15%. </w:t>
      </w:r>
    </w:p>
    <w:p w:rsidR="001D725E" w14:paraId="4B6086D4" w14:textId="77777777">
      <w:pPr>
        <w:ind w:firstLine="567"/>
        <w:jc w:val="both"/>
      </w:pPr>
      <w:r>
        <w:t xml:space="preserve">Începând cu 1 ianuarie 2011, cuantumul sporurilor, </w:t>
      </w:r>
      <w:r>
        <w:t>indemnizaţiilor</w:t>
      </w:r>
      <w:r>
        <w:t xml:space="preserve">, </w:t>
      </w:r>
      <w:r>
        <w:t>compensaţii</w:t>
      </w:r>
      <w:r>
        <w:t xml:space="preserve"> lor </w:t>
      </w:r>
      <w:r>
        <w:t>şi</w:t>
      </w:r>
      <w:r>
        <w:t xml:space="preserve"> al celorlalte elemente ale sistemului de salarizare care fac parte, potrivit legii, din salariul brut, solda lunară brută/salariul lunar brut, </w:t>
      </w:r>
      <w:r>
        <w:t>indemnizaţia</w:t>
      </w:r>
      <w:r>
        <w:t xml:space="preserve"> brută de încadrare, astfel cum au fost acordate personalului plătit din fonduri publice pentru luna octombrie 2010, se majorează cu 15%, în măsura în care personalul </w:t>
      </w:r>
      <w:r>
        <w:t>îşi</w:t>
      </w:r>
      <w:r>
        <w:t xml:space="preserve"> </w:t>
      </w:r>
      <w:r>
        <w:t>desfăşoară</w:t>
      </w:r>
      <w:r>
        <w:t xml:space="preserve"> activitatea în </w:t>
      </w:r>
      <w:r>
        <w:t>aceleaşi</w:t>
      </w:r>
      <w:r>
        <w:t xml:space="preserve"> </w:t>
      </w:r>
      <w:r>
        <w:t>condiţii</w:t>
      </w:r>
      <w:r>
        <w:t xml:space="preserve">. </w:t>
      </w:r>
    </w:p>
    <w:p w:rsidR="001D725E" w14:paraId="5121515A" w14:textId="77777777">
      <w:pPr>
        <w:ind w:firstLine="567"/>
        <w:jc w:val="both"/>
      </w:pPr>
      <w:r>
        <w:t xml:space="preserve">Cuantumul brut al drepturilor prevăzute la alin. (1) </w:t>
      </w:r>
      <w:r>
        <w:t>şi</w:t>
      </w:r>
      <w:r>
        <w:t xml:space="preserve"> (2) se va stabili în anul 2011 </w:t>
      </w:r>
      <w:r>
        <w:t>ţinându</w:t>
      </w:r>
      <w:r>
        <w:t xml:space="preserve">-se seama de gradul sau treapta profesională, vechimea În muncă, vechimea În </w:t>
      </w:r>
      <w:r>
        <w:t>funcţie</w:t>
      </w:r>
      <w:r>
        <w:t xml:space="preserve"> sau, după caz, În specialitate, dobândite În </w:t>
      </w:r>
      <w:r>
        <w:t>condiţiile</w:t>
      </w:r>
      <w:r>
        <w:t xml:space="preserve"> legii până la 31 decembrie 2010. </w:t>
      </w:r>
    </w:p>
    <w:p w:rsidR="001D725E" w14:paraId="063AB77A" w14:textId="77777777">
      <w:pPr>
        <w:ind w:firstLine="567"/>
        <w:jc w:val="both"/>
      </w:pPr>
      <w:r>
        <w:t xml:space="preserve">Cuantumul soldei de grad/salariului gradului profesional, al soldei de comandă/salariului de comandă, precum </w:t>
      </w:r>
      <w:r>
        <w:t>şi</w:t>
      </w:r>
      <w:r>
        <w:t xml:space="preserve"> cuantumul </w:t>
      </w:r>
      <w:r>
        <w:t>gradaţiilor</w:t>
      </w:r>
      <w:r>
        <w:t xml:space="preserve">, astfel cum au fost acordate personalului plătit din fonduri publice pentru luna octombrie 2010, se majorează cu 15%. </w:t>
      </w:r>
    </w:p>
    <w:p w:rsidR="001D725E" w14:paraId="159D6544" w14:textId="4ACF2872">
      <w:pPr>
        <w:ind w:firstLine="567"/>
        <w:jc w:val="both"/>
      </w:pPr>
      <w:r>
        <w:t xml:space="preserve">Intimata-pârâtă </w:t>
      </w:r>
      <w:r>
        <w:t>Direcţia</w:t>
      </w:r>
      <w:r>
        <w:t xml:space="preserve"> de Sănătate Publică </w:t>
      </w:r>
      <w:r w:rsidR="00A03439">
        <w:t>.............</w:t>
      </w:r>
      <w:r>
        <w:t xml:space="preserve"> nu a formulat întâmpinare.</w:t>
      </w:r>
    </w:p>
    <w:p w:rsidR="001D725E" w14:paraId="5242A00B" w14:textId="77777777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4. Aspecte procesuale </w:t>
      </w:r>
    </w:p>
    <w:p w:rsidR="001D725E" w14:paraId="6102A4A1" w14:textId="77777777">
      <w:pPr>
        <w:ind w:firstLine="567"/>
        <w:jc w:val="both"/>
      </w:pPr>
      <w:r>
        <w:t xml:space="preserve">În </w:t>
      </w:r>
      <w:r>
        <w:t>faţa</w:t>
      </w:r>
      <w:r>
        <w:t xml:space="preserve"> </w:t>
      </w:r>
      <w:r>
        <w:t>instanţei</w:t>
      </w:r>
      <w:r>
        <w:t xml:space="preserve"> de recurs nu au fost administrate probe noi.</w:t>
      </w:r>
    </w:p>
    <w:p w:rsidR="001D725E" w14:paraId="3D729E23" w14:textId="77777777">
      <w:pPr>
        <w:ind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>5. Asupra cererii de recurs</w:t>
      </w:r>
    </w:p>
    <w:p w:rsidR="001D725E" w14:paraId="712982E6" w14:textId="77777777">
      <w:pPr>
        <w:ind w:firstLine="570"/>
        <w:jc w:val="both"/>
      </w:pPr>
      <w:r>
        <w:t xml:space="preserve">Analizând recursul prin prisma criticilor formulate </w:t>
      </w:r>
      <w:r>
        <w:t>şi</w:t>
      </w:r>
      <w:r>
        <w:t xml:space="preserve"> în conformitate cu </w:t>
      </w:r>
      <w:r>
        <w:t>dispoziţiile</w:t>
      </w:r>
      <w:r>
        <w:t xml:space="preserve"> art. 496 </w:t>
      </w:r>
      <w:r>
        <w:t>C.pr.civ</w:t>
      </w:r>
      <w:r>
        <w:t>., curtea constată că acesta este nefondat, urmând a fi respins pentru următoarele considerente:</w:t>
      </w:r>
    </w:p>
    <w:p w:rsidR="001D725E" w14:paraId="608F97C1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În </w:t>
      </w:r>
      <w:r>
        <w:t>privinţa</w:t>
      </w:r>
      <w:r>
        <w:t xml:space="preserve"> motivelor invocate de recurentă cu privire la încălcarea sau aplicarea </w:t>
      </w:r>
      <w:r>
        <w:t>greşită</w:t>
      </w:r>
      <w:r>
        <w:t xml:space="preserve"> a normelor de drept material, Curtea </w:t>
      </w:r>
      <w:r>
        <w:t>reţine</w:t>
      </w:r>
      <w:r>
        <w:t xml:space="preserve"> că </w:t>
      </w:r>
      <w:r>
        <w:t>instanţa</w:t>
      </w:r>
      <w:r>
        <w:t xml:space="preserve"> de fond a realizat o analiză judicioasă a </w:t>
      </w:r>
      <w:r>
        <w:t>dispoziţiilor</w:t>
      </w:r>
      <w:r>
        <w:t xml:space="preserve"> legale incidente în cauză, fiind prezentate argumentele de fapt </w:t>
      </w:r>
      <w:r>
        <w:t>şi</w:t>
      </w:r>
      <w:r>
        <w:t xml:space="preserve"> de drept ce au format convingerea </w:t>
      </w:r>
      <w:r>
        <w:t>instanţei</w:t>
      </w:r>
      <w:r>
        <w:t xml:space="preserve">. </w:t>
      </w:r>
    </w:p>
    <w:p w:rsidR="001D725E" w14:paraId="7FBDBE05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In drept, Curtea </w:t>
      </w:r>
      <w:r>
        <w:t>reţine</w:t>
      </w:r>
      <w:r>
        <w:t xml:space="preserve"> că diminuarea cu 25% a veniturilor a fost stabilită prin art. 1 din Legea nr. 118/2010.</w:t>
      </w:r>
    </w:p>
    <w:p w:rsidR="001D725E" w14:paraId="2D2FD023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In plan intern, prin deciziile nr. 872/25.06.2010 si nr. 874/25.06.2010, Curtea </w:t>
      </w:r>
      <w:r>
        <w:t>Constituţională</w:t>
      </w:r>
      <w:r>
        <w:t xml:space="preserve"> a apreciat că </w:t>
      </w:r>
      <w:r>
        <w:t>susţinerea</w:t>
      </w:r>
      <w:r>
        <w:t xml:space="preserve"> ce vizează </w:t>
      </w:r>
      <w:r>
        <w:t>neconstituţionalitatea</w:t>
      </w:r>
      <w:r>
        <w:t xml:space="preserve"> diminuării cu 25% a cuantumului salariului personalului bugetar este neîntemeiată. Curtea a apreciat ca dreptul la munca este un drept complex care include si dreptul la salariu, care este o componenta „a dreptului la muncă </w:t>
      </w:r>
      <w:r>
        <w:t>şi</w:t>
      </w:r>
      <w:r>
        <w:t xml:space="preserve"> reprezintă </w:t>
      </w:r>
      <w:r>
        <w:t>contraprestaţia</w:t>
      </w:r>
      <w:r>
        <w:t xml:space="preserve"> angajatorului în raport cu munca prestată de către angajat în baza unor raporturi de muncă. Efectele raporturilor de muncă stabilite între angajat </w:t>
      </w:r>
      <w:r>
        <w:t>şi</w:t>
      </w:r>
      <w:r>
        <w:t xml:space="preserve"> angajator se concretizează în </w:t>
      </w:r>
      <w:r>
        <w:t>obl</w:t>
      </w:r>
      <w:r>
        <w:t>igaţii</w:t>
      </w:r>
      <w:r>
        <w:t xml:space="preserve"> de ambele </w:t>
      </w:r>
      <w:r>
        <w:t>părţi</w:t>
      </w:r>
      <w:r>
        <w:t xml:space="preserve">, iar una dintre </w:t>
      </w:r>
      <w:r>
        <w:t>obligaţiile</w:t>
      </w:r>
      <w:r>
        <w:t xml:space="preserve"> </w:t>
      </w:r>
      <w:r>
        <w:t>esenţiale</w:t>
      </w:r>
      <w:r>
        <w:t xml:space="preserve"> ale angajatorului este plata salariului angajatului pentru munca prestată. </w:t>
      </w:r>
    </w:p>
    <w:p w:rsidR="001D725E" w14:paraId="1E508E2E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Întrucât dreptul la salariu este corolarul unui drept </w:t>
      </w:r>
      <w:r>
        <w:t>constituţional</w:t>
      </w:r>
      <w:r>
        <w:t xml:space="preserve">, </w:t>
      </w:r>
      <w:r>
        <w:t>şi</w:t>
      </w:r>
      <w:r>
        <w:t xml:space="preserve"> anume dreptul la muncă, se constată că diminuarea sa se constituie într-o veritabilă restrângere a </w:t>
      </w:r>
      <w:r>
        <w:t>exerciţiului</w:t>
      </w:r>
      <w:r>
        <w:t xml:space="preserve"> dreptului la muncă. O atare măsură se poate realiza numai în </w:t>
      </w:r>
      <w:r>
        <w:t>condiţiile</w:t>
      </w:r>
      <w:r>
        <w:t xml:space="preserve"> strict </w:t>
      </w:r>
      <w:r>
        <w:t>şi</w:t>
      </w:r>
      <w:r>
        <w:t xml:space="preserve"> limitativ prevăzute de art. 53 din </w:t>
      </w:r>
      <w:r>
        <w:t>Constituţie</w:t>
      </w:r>
      <w:r>
        <w:t xml:space="preserve">. </w:t>
      </w:r>
    </w:p>
    <w:p w:rsidR="001D725E" w14:paraId="136B4EC9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Pentru ca restrângerea </w:t>
      </w:r>
      <w:r>
        <w:t>menţionată</w:t>
      </w:r>
      <w:r>
        <w:t xml:space="preserve"> să poată fi justificată trebuie întrunite, în mod cumulativ, </w:t>
      </w:r>
      <w:r>
        <w:t>cerinţele</w:t>
      </w:r>
      <w:r>
        <w:t xml:space="preserve"> expres prevăzute de art. 53 din </w:t>
      </w:r>
      <w:r>
        <w:t>Constituţie</w:t>
      </w:r>
      <w:r>
        <w:t xml:space="preserve">, </w:t>
      </w:r>
      <w:r>
        <w:t>şi</w:t>
      </w:r>
      <w:r>
        <w:t xml:space="preserve"> anume: să fie prevăzută prin lege; să se impună restrângerea sa; restrângerea să se circumscrie motivelor expres prevăzute de textul </w:t>
      </w:r>
      <w:r>
        <w:t>constituţional</w:t>
      </w:r>
      <w:r>
        <w:t xml:space="preserve">, </w:t>
      </w:r>
      <w:r>
        <w:t>şi</w:t>
      </w:r>
      <w:r>
        <w:t xml:space="preserve"> anume pentru apărarea </w:t>
      </w:r>
      <w:r>
        <w:t>securităţii</w:t>
      </w:r>
      <w:r>
        <w:t xml:space="preserve"> </w:t>
      </w:r>
      <w:r>
        <w:t>naţionale</w:t>
      </w:r>
      <w:r>
        <w:t xml:space="preserve">, a ordinii, a </w:t>
      </w:r>
      <w:r>
        <w:t>sănătăţii</w:t>
      </w:r>
      <w:r>
        <w:t xml:space="preserve"> ori a moralei publice, a drepturilor </w:t>
      </w:r>
      <w:r>
        <w:t>şi</w:t>
      </w:r>
      <w:r>
        <w:t xml:space="preserve"> a </w:t>
      </w:r>
      <w:r>
        <w:t>libertăţilor</w:t>
      </w:r>
      <w:r>
        <w:t xml:space="preserve"> </w:t>
      </w:r>
      <w:r>
        <w:t>cetăţenilor</w:t>
      </w:r>
      <w:r>
        <w:t xml:space="preserve">; </w:t>
      </w:r>
      <w:r>
        <w:t>desfăşurarea</w:t>
      </w:r>
      <w:r>
        <w:t xml:space="preserve"> </w:t>
      </w:r>
      <w:r>
        <w:t>instrucţiei</w:t>
      </w:r>
      <w:r>
        <w:t xml:space="preserve"> penale, prevenirea </w:t>
      </w:r>
      <w:r>
        <w:t>consecinţelor</w:t>
      </w:r>
      <w:r>
        <w:t xml:space="preserve"> unei </w:t>
      </w:r>
      <w:r>
        <w:t>calamităţi</w:t>
      </w:r>
      <w:r>
        <w:t xml:space="preserve"> naturale, ale unui d</w:t>
      </w:r>
      <w:r>
        <w:t xml:space="preserve">ezastru ori ale unui sinistru deosebit de grav; să fie necesară într-o societate democratică; să fie </w:t>
      </w:r>
      <w:r>
        <w:t>proporţională</w:t>
      </w:r>
      <w:r>
        <w:t xml:space="preserve"> cu </w:t>
      </w:r>
      <w:r>
        <w:t>situaţia</w:t>
      </w:r>
      <w:r>
        <w:t xml:space="preserve"> care a determinat-o; să fie aplicată în mod nediscriminatoriu; să nu aducă atingere </w:t>
      </w:r>
      <w:r>
        <w:t>existenţei</w:t>
      </w:r>
      <w:r>
        <w:t xml:space="preserve"> dreptului sau a </w:t>
      </w:r>
      <w:r>
        <w:t>libertăţii</w:t>
      </w:r>
      <w:r>
        <w:t xml:space="preserve">. </w:t>
      </w:r>
    </w:p>
    <w:p w:rsidR="001D725E" w14:paraId="16BA20DB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Astfel, Curtea </w:t>
      </w:r>
      <w:r>
        <w:t>Constituţională</w:t>
      </w:r>
      <w:r>
        <w:t xml:space="preserve"> a statuat că diminuarea cu 25% a cuantumului salariului/ </w:t>
      </w:r>
      <w:r>
        <w:t>indemnizaţiei</w:t>
      </w:r>
      <w:r>
        <w:t xml:space="preserve">/ soldei, ca un corolar al dreptului la muncă, este prevăzută prin legea criticată </w:t>
      </w:r>
      <w:r>
        <w:t>şi</w:t>
      </w:r>
      <w:r>
        <w:t xml:space="preserve"> se impune pentru reducerea cheltuielilor bugetare. </w:t>
      </w:r>
    </w:p>
    <w:p w:rsidR="001D725E" w14:paraId="7D8B2EFF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De asemenea, </w:t>
      </w:r>
      <w:r>
        <w:t>soluţia</w:t>
      </w:r>
      <w:r>
        <w:t xml:space="preserve"> legislativă cuprinsă în art. 1 din legea criticată a fost determinată de apărarea </w:t>
      </w:r>
      <w:r>
        <w:t>securităţii</w:t>
      </w:r>
      <w:r>
        <w:t xml:space="preserve"> </w:t>
      </w:r>
      <w:r>
        <w:t>naţionale</w:t>
      </w:r>
      <w:r>
        <w:t xml:space="preserve">, astfel cum rezultă din expunerea de motive a Guvernului. Este evident că securitatea </w:t>
      </w:r>
      <w:r>
        <w:t>naţională</w:t>
      </w:r>
      <w:r>
        <w:t xml:space="preserve"> nu implică numai securitatea militară, deci domeniul militar, ci are </w:t>
      </w:r>
      <w:r>
        <w:t>şi</w:t>
      </w:r>
      <w:r>
        <w:t xml:space="preserve"> o componentă socială </w:t>
      </w:r>
      <w:r>
        <w:t>şi</w:t>
      </w:r>
      <w:r>
        <w:t xml:space="preserve"> economică. Astfel, nu numai </w:t>
      </w:r>
      <w:r>
        <w:t>existenţa</w:t>
      </w:r>
      <w:r>
        <w:t xml:space="preserve"> unei </w:t>
      </w:r>
      <w:r>
        <w:t>situaţii</w:t>
      </w:r>
      <w:r>
        <w:t xml:space="preserve"> </w:t>
      </w:r>
      <w:r>
        <w:rPr>
          <w:rStyle w:val="Fontdeparagrafimplicit"/>
          <w:i/>
        </w:rPr>
        <w:t>manu</w:t>
      </w:r>
      <w:r>
        <w:rPr>
          <w:rStyle w:val="Fontdeparagrafimplicit"/>
          <w:i/>
        </w:rPr>
        <w:t xml:space="preserve"> militari</w:t>
      </w:r>
      <w:r>
        <w:t xml:space="preserve"> atrage aplicabilitatea </w:t>
      </w:r>
      <w:r>
        <w:t>noţiunii</w:t>
      </w:r>
      <w:r>
        <w:t xml:space="preserve"> de "securitate </w:t>
      </w:r>
      <w:r>
        <w:t>naţională</w:t>
      </w:r>
      <w:r>
        <w:t xml:space="preserve">" din textul art. 53, ci </w:t>
      </w:r>
      <w:r>
        <w:t>şi</w:t>
      </w:r>
      <w:r>
        <w:t xml:space="preserve"> alte aspecte din </w:t>
      </w:r>
      <w:r>
        <w:t>viaţa</w:t>
      </w:r>
      <w:r>
        <w:t xml:space="preserve"> statului - precum cele economice, f</w:t>
      </w:r>
      <w:r>
        <w:t xml:space="preserve">inanciare, sociale - care ar putea afecta </w:t>
      </w:r>
      <w:r>
        <w:t>însăşi</w:t>
      </w:r>
      <w:r>
        <w:t xml:space="preserve"> </w:t>
      </w:r>
      <w:r>
        <w:t>fiinţa</w:t>
      </w:r>
      <w:r>
        <w:t xml:space="preserve"> statului prin amploarea </w:t>
      </w:r>
      <w:r>
        <w:t>şi</w:t>
      </w:r>
      <w:r>
        <w:t xml:space="preserve"> gravitatea fenomenului”. </w:t>
      </w:r>
    </w:p>
    <w:p w:rsidR="001D725E" w14:paraId="5F96EABD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Analizând </w:t>
      </w:r>
      <w:r>
        <w:t>excepţia</w:t>
      </w:r>
      <w:r>
        <w:t xml:space="preserve"> de </w:t>
      </w:r>
      <w:r>
        <w:t>neconstituţionalitate</w:t>
      </w:r>
      <w:r>
        <w:t xml:space="preserve"> invocata si prin prisma </w:t>
      </w:r>
      <w:r>
        <w:t>dispoziţiilor</w:t>
      </w:r>
      <w:r>
        <w:t xml:space="preserve"> CEDO, Curtea </w:t>
      </w:r>
      <w:r>
        <w:t>Constituţională</w:t>
      </w:r>
      <w:r>
        <w:t xml:space="preserve"> a apreciat că „această </w:t>
      </w:r>
      <w:r>
        <w:t>ameninţare</w:t>
      </w:r>
      <w:r>
        <w:t xml:space="preserve"> la adresa </w:t>
      </w:r>
      <w:r>
        <w:t>stabilităţii</w:t>
      </w:r>
      <w:r>
        <w:t xml:space="preserve"> economice continuă să se </w:t>
      </w:r>
      <w:r>
        <w:t>menţină</w:t>
      </w:r>
      <w:r>
        <w:t xml:space="preserve">, astfel încât </w:t>
      </w:r>
      <w:r>
        <w:rPr>
          <w:rStyle w:val="Fontdeparagrafimplicit"/>
          <w:i/>
        </w:rPr>
        <w:t>Guvernul este îndrituit să adopte măsuri corespunzătoare pentru combaterea acesteia.</w:t>
      </w:r>
      <w:r>
        <w:t xml:space="preserve"> Una dintre aceste măsuri este reducerea cheltuielilor bugetare, măsură concretizată, printre altele, </w:t>
      </w:r>
      <w:r>
        <w:rPr>
          <w:rStyle w:val="Fontdeparagrafimplicit"/>
          <w:i/>
        </w:rPr>
        <w:t>în diminuarea cuantumului salariilor/</w:t>
      </w:r>
      <w:r>
        <w:rPr>
          <w:rStyle w:val="Fontdeparagrafimplicit"/>
          <w:i/>
        </w:rPr>
        <w:t>indemnizaţiilor</w:t>
      </w:r>
      <w:r>
        <w:rPr>
          <w:rStyle w:val="Fontdeparagrafimplicit"/>
          <w:i/>
        </w:rPr>
        <w:t>/soldelor cu 25%”;</w:t>
      </w:r>
      <w:r>
        <w:t xml:space="preserve"> „Curtea </w:t>
      </w:r>
      <w:r>
        <w:t>reţine</w:t>
      </w:r>
      <w:r>
        <w:t xml:space="preserve"> că restrângerea prevăzută de legea </w:t>
      </w:r>
      <w:r>
        <w:t xml:space="preserve">criticată </w:t>
      </w:r>
      <w:r>
        <w:rPr>
          <w:rStyle w:val="Fontdeparagrafimplicit"/>
          <w:i/>
        </w:rPr>
        <w:t>este necesară într-o societate democratică</w:t>
      </w:r>
      <w:r>
        <w:t xml:space="preserve"> tocmai pentru </w:t>
      </w:r>
      <w:r>
        <w:t>menţinerea</w:t>
      </w:r>
      <w:r>
        <w:t xml:space="preserve"> </w:t>
      </w:r>
      <w:r>
        <w:t>democraţiei</w:t>
      </w:r>
      <w:r>
        <w:t xml:space="preserve"> </w:t>
      </w:r>
      <w:r>
        <w:t>şi</w:t>
      </w:r>
      <w:r>
        <w:t xml:space="preserve"> salvgardarea </w:t>
      </w:r>
      <w:r>
        <w:t>fiinţei</w:t>
      </w:r>
      <w:r>
        <w:t xml:space="preserve"> statului. Cu privire la </w:t>
      </w:r>
      <w:r>
        <w:rPr>
          <w:rStyle w:val="Fontdeparagrafimplicit"/>
          <w:i/>
        </w:rPr>
        <w:t>proporţionalitatea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situaţiei</w:t>
      </w:r>
      <w:r>
        <w:t xml:space="preserve"> care a determinat restrângerea, Curtea constată că există o legătură de </w:t>
      </w:r>
      <w:r>
        <w:t>proporţionalitate</w:t>
      </w:r>
      <w:r>
        <w:t xml:space="preserve"> între mijloacele utilizate (reducerea cu 25% a cuantumului salariului/</w:t>
      </w:r>
      <w:r>
        <w:t>indemnizaţiei</w:t>
      </w:r>
      <w:r>
        <w:t xml:space="preserve">/soldei) </w:t>
      </w:r>
      <w:r>
        <w:t>şi</w:t>
      </w:r>
      <w:r>
        <w:t xml:space="preserve"> scopul legitim urmărit (reducerea cheltuielilor bugetare/reechilibrarea bugetului de stat) </w:t>
      </w:r>
      <w:r>
        <w:t>şi</w:t>
      </w:r>
      <w:r>
        <w:t xml:space="preserve"> că există un echilibru echitabil între </w:t>
      </w:r>
      <w:r>
        <w:t>cerinţele</w:t>
      </w:r>
      <w:r>
        <w:t xml:space="preserve"> de interes genera</w:t>
      </w:r>
      <w:r>
        <w:t xml:space="preserve">l ale </w:t>
      </w:r>
      <w:r>
        <w:t>colectivităţii</w:t>
      </w:r>
      <w:r>
        <w:t xml:space="preserve"> </w:t>
      </w:r>
      <w:r>
        <w:t>şi</w:t>
      </w:r>
      <w:r>
        <w:t xml:space="preserve"> </w:t>
      </w:r>
      <w:r>
        <w:t>protecţia</w:t>
      </w:r>
      <w:r>
        <w:t xml:space="preserve"> drepturilor fundamentale ale individului. Curtea constată totodată că măsura legislativă criticată </w:t>
      </w:r>
      <w:r>
        <w:rPr>
          <w:rStyle w:val="Fontdeparagrafimplicit"/>
          <w:i/>
        </w:rPr>
        <w:t>este aplicată în mod nediscriminatoriu</w:t>
      </w:r>
      <w:r>
        <w:t xml:space="preserve">, în sensul că reducerea de 25% se aplică tuturor categoriilor de personal bugetar în </w:t>
      </w:r>
      <w:r>
        <w:t>acelaşi</w:t>
      </w:r>
      <w:r>
        <w:t xml:space="preserve"> cuantum </w:t>
      </w:r>
      <w:r>
        <w:t>şi</w:t>
      </w:r>
      <w:r>
        <w:t xml:space="preserve"> mod’. </w:t>
      </w:r>
    </w:p>
    <w:p w:rsidR="001D725E" w14:paraId="3BB84979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În ceea ce </w:t>
      </w:r>
      <w:r>
        <w:t>priveşte</w:t>
      </w:r>
      <w:r>
        <w:t xml:space="preserve"> </w:t>
      </w:r>
      <w:r>
        <w:t>susţinerea</w:t>
      </w:r>
      <w:r>
        <w:t xml:space="preserve"> </w:t>
      </w:r>
      <w:r>
        <w:t>recurenţilor</w:t>
      </w:r>
      <w:r>
        <w:t xml:space="preserve"> că din motivarea deciziilor nr. 872 si 874 din 2010 </w:t>
      </w:r>
      <w:r>
        <w:t>pronunţate</w:t>
      </w:r>
      <w:r>
        <w:t xml:space="preserve"> de Curtea </w:t>
      </w:r>
      <w:r>
        <w:t>Constituţionala</w:t>
      </w:r>
      <w:r>
        <w:t xml:space="preserve"> rezultă o interpretare a </w:t>
      </w:r>
      <w:r>
        <w:t>dispoziţiilor</w:t>
      </w:r>
      <w:r>
        <w:t xml:space="preserve"> legale ce ar fi condus la  admiterea in parte a </w:t>
      </w:r>
      <w:r>
        <w:t>acţiunii</w:t>
      </w:r>
      <w:r>
        <w:t xml:space="preserve">, </w:t>
      </w:r>
      <w:r>
        <w:t>instanţa</w:t>
      </w:r>
      <w:r>
        <w:t xml:space="preserve"> de recurs </w:t>
      </w:r>
      <w:r>
        <w:t>reţine</w:t>
      </w:r>
      <w:r>
        <w:t xml:space="preserve"> că </w:t>
      </w:r>
      <w:r>
        <w:t>şi</w:t>
      </w:r>
      <w:r>
        <w:t xml:space="preserve"> Curtea Europeana a Drepturilor Omului s-a </w:t>
      </w:r>
      <w:r>
        <w:t>pronunţat</w:t>
      </w:r>
      <w:r>
        <w:t xml:space="preserve"> prin decizia de inadmisibilitate din data de 6 decembrie 2011 în cauzele </w:t>
      </w:r>
      <w:r>
        <w:rPr>
          <w:rStyle w:val="Fontdeparagrafimplicit"/>
          <w:i/>
        </w:rPr>
        <w:t xml:space="preserve">Felicia </w:t>
      </w:r>
      <w:r>
        <w:rPr>
          <w:rStyle w:val="Fontdeparagrafimplicit"/>
          <w:i/>
        </w:rPr>
        <w:t>Mihăieş</w:t>
      </w:r>
      <w:r>
        <w:t xml:space="preserve"> </w:t>
      </w:r>
      <w:r>
        <w:t>şi</w:t>
      </w:r>
      <w:r>
        <w:t xml:space="preserve"> </w:t>
      </w:r>
      <w:r>
        <w:rPr>
          <w:rStyle w:val="Fontdeparagrafimplicit"/>
          <w:i/>
        </w:rPr>
        <w:t xml:space="preserve">Adrian Gavril </w:t>
      </w:r>
      <w:r>
        <w:rPr>
          <w:rStyle w:val="Fontdeparagrafimplicit"/>
          <w:i/>
        </w:rPr>
        <w:t>Senteş</w:t>
      </w:r>
      <w:r>
        <w:t xml:space="preserve"> </w:t>
      </w:r>
      <w:r>
        <w:rPr>
          <w:rStyle w:val="Fontdeparagrafimplicit"/>
          <w:i/>
        </w:rPr>
        <w:t>c. României</w:t>
      </w:r>
      <w:r>
        <w:t xml:space="preserve"> (cererile nr. 44232/11 </w:t>
      </w:r>
      <w:r>
        <w:t>şi</w:t>
      </w:r>
      <w:r>
        <w:t xml:space="preserve"> nr. 44605/11), constatând neîncălcarea de către Statul rom</w:t>
      </w:r>
      <w:r>
        <w:t xml:space="preserve">ân a </w:t>
      </w:r>
      <w:r>
        <w:t>dispoziţiilor</w:t>
      </w:r>
      <w:r>
        <w:t xml:space="preserve"> articolului 1 din Protocolul </w:t>
      </w:r>
      <w:r>
        <w:t>adiţional</w:t>
      </w:r>
      <w:r>
        <w:t xml:space="preserve"> nr. 1 la </w:t>
      </w:r>
      <w:r>
        <w:t>Convenţie</w:t>
      </w:r>
      <w:r>
        <w:t xml:space="preserve">, sub aspectul reducerii cu 25% a salariilor, ca urmare a aplicării Legii nr. 118/2010 privind unele măsuri necesare în vederea restabilirii echilibrului bugetar, cu modificările </w:t>
      </w:r>
      <w:r>
        <w:t>şi</w:t>
      </w:r>
      <w:r>
        <w:t xml:space="preserve"> completările ulterioare.</w:t>
      </w:r>
    </w:p>
    <w:p w:rsidR="001D725E" w14:paraId="27E7879E" w14:textId="77777777">
      <w:pPr>
        <w:tabs>
          <w:tab w:val="left" w:pos="0"/>
          <w:tab w:val="left" w:pos="6360"/>
        </w:tabs>
        <w:ind w:firstLine="570"/>
        <w:jc w:val="both"/>
      </w:pPr>
      <w:r>
        <w:t>Dispoziţiile</w:t>
      </w:r>
      <w:r>
        <w:t xml:space="preserve"> </w:t>
      </w:r>
      <w:r>
        <w:t>Convenţiei</w:t>
      </w:r>
      <w:r>
        <w:t xml:space="preserve"> nu conferă un drept de a primi un salariu într-un anumit cuantum (a se vedea cauza </w:t>
      </w:r>
      <w:r>
        <w:rPr>
          <w:rStyle w:val="Fontdeparagrafimplicit"/>
          <w:i/>
        </w:rPr>
        <w:t>Vilho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Eskelinen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alţii</w:t>
      </w:r>
      <w:r>
        <w:rPr>
          <w:rStyle w:val="Fontdeparagrafimplicit"/>
          <w:i/>
        </w:rPr>
        <w:t xml:space="preserve"> c. Finlandei</w:t>
      </w:r>
      <w:r>
        <w:rPr>
          <w:rStyle w:val="Fontdeparagrafimplicit"/>
          <w:b/>
        </w:rPr>
        <w:t xml:space="preserve"> </w:t>
      </w:r>
      <w:r>
        <w:t xml:space="preserve">[M.C.], hotărârea din 19 aprilie 2007, nr. 63235/00, par. 94, </w:t>
      </w:r>
      <w:r>
        <w:t>şi</w:t>
      </w:r>
      <w:r>
        <w:t xml:space="preserve"> </w:t>
      </w:r>
      <w:r>
        <w:rPr>
          <w:rStyle w:val="Fontdeparagrafimplicit"/>
          <w:i/>
        </w:rPr>
        <w:t>mutatis mutandis</w:t>
      </w:r>
      <w:r>
        <w:t xml:space="preserve">, cauza </w:t>
      </w:r>
      <w:r>
        <w:rPr>
          <w:rStyle w:val="Fontdeparagrafimplicit"/>
          <w:i/>
        </w:rPr>
        <w:t>Kjartan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Ásmundsson</w:t>
      </w:r>
      <w:r>
        <w:rPr>
          <w:rStyle w:val="Fontdeparagrafimplicit"/>
          <w:i/>
        </w:rPr>
        <w:t xml:space="preserve"> c. Islandei</w:t>
      </w:r>
      <w:r>
        <w:rPr>
          <w:rStyle w:val="Fontdeparagrafimplicit"/>
          <w:b/>
        </w:rPr>
        <w:t>,</w:t>
      </w:r>
      <w:r>
        <w:t xml:space="preserve"> hotărârea din 12 octombrie 2004, nr. 60669/00, par. 39). Nu este suficient ca un reclamant să invoce </w:t>
      </w:r>
      <w:r>
        <w:t>existenţa</w:t>
      </w:r>
      <w:r>
        <w:t xml:space="preserve"> unei „</w:t>
      </w:r>
      <w:r>
        <w:t>contestaţii</w:t>
      </w:r>
      <w:r>
        <w:t xml:space="preserve"> reale” sau a unei „plângeri credibile”. O </w:t>
      </w:r>
      <w:r>
        <w:t>creanţă</w:t>
      </w:r>
      <w:r>
        <w:t xml:space="preserve"> poate fi considerată drept o „valoare patrimonială”, în sensul art. 1 din Proto</w:t>
      </w:r>
      <w:r>
        <w:t xml:space="preserve">colul nr. 1 </w:t>
      </w:r>
      <w:r>
        <w:t>adiţional</w:t>
      </w:r>
      <w:r>
        <w:t xml:space="preserve"> la </w:t>
      </w:r>
      <w:r>
        <w:t>Convenţie</w:t>
      </w:r>
      <w:r>
        <w:t xml:space="preserve">, numai atunci când are o bază suficientă în dreptul intern, spre exemplu atunci când este confirmată de o </w:t>
      </w:r>
      <w:r>
        <w:t>jurisprudenţă</w:t>
      </w:r>
      <w:r>
        <w:t xml:space="preserve"> bine stabilită a </w:t>
      </w:r>
      <w:r>
        <w:t>instanţelor</w:t>
      </w:r>
      <w:r>
        <w:t xml:space="preserve"> (</w:t>
      </w:r>
      <w:r>
        <w:rPr>
          <w:rStyle w:val="Fontdeparagrafimplicit"/>
          <w:i/>
        </w:rPr>
        <w:t>Kopecky</w:t>
      </w:r>
      <w:r>
        <w:rPr>
          <w:rStyle w:val="Fontdeparagrafimplicit"/>
          <w:i/>
        </w:rPr>
        <w:t xml:space="preserve"> c. Slovaciei</w:t>
      </w:r>
      <w:r>
        <w:rPr>
          <w:rStyle w:val="Fontdeparagrafimplicit"/>
          <w:b/>
        </w:rPr>
        <w:t>,</w:t>
      </w:r>
      <w:r>
        <w:t xml:space="preserve"> hotărârea din 28 septembrie 2004, par. 45-52).</w:t>
      </w:r>
    </w:p>
    <w:p w:rsidR="001D725E" w14:paraId="784A7802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Revine statului, să stabilească, de o manieră </w:t>
      </w:r>
      <w:r>
        <w:t>discreţionară</w:t>
      </w:r>
      <w:r>
        <w:t xml:space="preserve">, ce beneficii trebuie plătite </w:t>
      </w:r>
      <w:r>
        <w:t>angajaţilor</w:t>
      </w:r>
      <w:r>
        <w:t xml:space="preserve"> săi din bugetul de stat. Statul poate dispune introducerea, suspendarea sau încetarea </w:t>
      </w:r>
      <w:r>
        <w:t>plăţii</w:t>
      </w:r>
      <w:r>
        <w:t xml:space="preserve"> unor astfel de beneficii prin modificări legislative corespunzătoare (cauza </w:t>
      </w:r>
      <w:r>
        <w:rPr>
          <w:rStyle w:val="Fontdeparagrafimplicit"/>
          <w:i/>
        </w:rPr>
        <w:t>Ketchko</w:t>
      </w:r>
      <w:r>
        <w:rPr>
          <w:rStyle w:val="Fontdeparagrafimplicit"/>
          <w:i/>
        </w:rPr>
        <w:t xml:space="preserve"> c. Ucrainei</w:t>
      </w:r>
      <w:r>
        <w:t xml:space="preserve">, hotărârea din 8 noiembrie 2005, nr. 63134/00, par. 23). </w:t>
      </w:r>
      <w:r>
        <w:t>Totuşi</w:t>
      </w:r>
      <w:r>
        <w:t xml:space="preserve">, atunci când o </w:t>
      </w:r>
      <w:r>
        <w:t>dispoziţie</w:t>
      </w:r>
      <w:r>
        <w:t xml:space="preserve"> legală este în vigoare </w:t>
      </w:r>
      <w:r>
        <w:t>şi</w:t>
      </w:r>
      <w:r>
        <w:t xml:space="preserve"> prevede plata anumitor beneficii, iar </w:t>
      </w:r>
      <w:r>
        <w:t>condiţiile</w:t>
      </w:r>
      <w:r>
        <w:t xml:space="preserve"> stipulate sunt respectate, </w:t>
      </w:r>
      <w:r>
        <w:t>autorităţile</w:t>
      </w:r>
      <w:r>
        <w:t xml:space="preserve"> nu pot refuza în mod deliberat plata acestora atâta timp cât </w:t>
      </w:r>
      <w:r>
        <w:t>d</w:t>
      </w:r>
      <w:r>
        <w:t>ispoziţiile</w:t>
      </w:r>
      <w:r>
        <w:t xml:space="preserve"> legale rămân în vigoare. În mod similar, un reclamant poate invoca o </w:t>
      </w:r>
      <w:r>
        <w:t>ingerinţă</w:t>
      </w:r>
      <w:r>
        <w:t xml:space="preserve"> în dreptul la respectarea bunurilor sale, în ce </w:t>
      </w:r>
      <w:r>
        <w:t>priveşte</w:t>
      </w:r>
      <w:r>
        <w:t xml:space="preserve"> salariile, atunci când a fost recunoscut printr-o hotărâre judecătorească dreptul la o </w:t>
      </w:r>
      <w:r>
        <w:t>creanţă</w:t>
      </w:r>
      <w:r>
        <w:t xml:space="preserve"> suficient de bine determinată împotriva statului pentru a fi exigibilă (cauza </w:t>
      </w:r>
      <w:r>
        <w:rPr>
          <w:rStyle w:val="Fontdeparagrafimplicit"/>
          <w:i/>
        </w:rPr>
        <w:t>Mureşanu</w:t>
      </w:r>
      <w:r>
        <w:rPr>
          <w:rStyle w:val="Fontdeparagrafimplicit"/>
          <w:i/>
        </w:rPr>
        <w:t xml:space="preserve"> c. României</w:t>
      </w:r>
      <w:r>
        <w:t>, hotărârea din 15 iunie 2010, nr. 12821/05, par. 26).</w:t>
      </w:r>
    </w:p>
    <w:p w:rsidR="001D725E" w14:paraId="5BEAED18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Or, nu aceasta este </w:t>
      </w:r>
      <w:r>
        <w:t>situaţia</w:t>
      </w:r>
      <w:r>
        <w:t xml:space="preserve"> din </w:t>
      </w:r>
      <w:r>
        <w:t>speţă</w:t>
      </w:r>
      <w:r>
        <w:t xml:space="preserve">. În baza Legii nr. 118/2010, s-a decis reducerea cu 25% a salariilor </w:t>
      </w:r>
      <w:r>
        <w:t>angajaţilor</w:t>
      </w:r>
      <w:r>
        <w:t xml:space="preserve"> din sectorul public, </w:t>
      </w:r>
      <w:r>
        <w:t>situaţie</w:t>
      </w:r>
      <w:r>
        <w:t xml:space="preserve"> în care se regăsesc </w:t>
      </w:r>
      <w:r>
        <w:t>şi</w:t>
      </w:r>
      <w:r>
        <w:t xml:space="preserve"> </w:t>
      </w:r>
      <w:r>
        <w:t>reclamanţii</w:t>
      </w:r>
      <w:r>
        <w:t xml:space="preserve">. Totodată, nicio hotărâre judecătorească definitivă nu a recunoscut acestora dreptul la plata unui salariu mai mare decât cel stabilit prin Legea nr. 118/2010 pentru perioada iulie-decembrie 2010. Având în vedere aceste considerente, cu dificultate </w:t>
      </w:r>
      <w:r>
        <w:t>reclamanţii</w:t>
      </w:r>
      <w:r>
        <w:t xml:space="preserve"> ar putea argumenta </w:t>
      </w:r>
      <w:r>
        <w:t>existenţa</w:t>
      </w:r>
      <w:r>
        <w:t xml:space="preserve"> unui "bun" în sensul articolului 1 din Protocolul nr. 1 </w:t>
      </w:r>
      <w:r>
        <w:t>a</w:t>
      </w:r>
      <w:r>
        <w:t>diţional</w:t>
      </w:r>
      <w:r>
        <w:t xml:space="preserve"> la </w:t>
      </w:r>
      <w:r>
        <w:t>Convenţie</w:t>
      </w:r>
      <w:r>
        <w:t xml:space="preserve">. Chiar în ipoteza în care Curtea ar fi concluzionat că </w:t>
      </w:r>
      <w:r>
        <w:t>reclamanţii</w:t>
      </w:r>
      <w:r>
        <w:t xml:space="preserve"> erau titularii unui bun susceptibil de fi protejat de articolul 1 din Protocolul nr. 1 </w:t>
      </w:r>
      <w:r>
        <w:t>şi</w:t>
      </w:r>
      <w:r>
        <w:t xml:space="preserve"> că măsura în cauză a constituit o </w:t>
      </w:r>
      <w:r>
        <w:t>ingerinţă</w:t>
      </w:r>
      <w:r>
        <w:t xml:space="preserve"> în exercitarea acestui drept (a se vedea, </w:t>
      </w:r>
      <w:r>
        <w:rPr>
          <w:rStyle w:val="Fontdeparagrafimplicit"/>
          <w:i/>
        </w:rPr>
        <w:t>mutatis mutandis</w:t>
      </w:r>
      <w:r>
        <w:t xml:space="preserve">, </w:t>
      </w:r>
      <w:r>
        <w:rPr>
          <w:rStyle w:val="Fontdeparagrafimplicit"/>
          <w:i/>
        </w:rPr>
        <w:t>Hasani</w:t>
      </w:r>
      <w:r>
        <w:rPr>
          <w:rStyle w:val="Fontdeparagrafimplicit"/>
          <w:i/>
        </w:rPr>
        <w:t xml:space="preserve"> c. </w:t>
      </w:r>
      <w:r>
        <w:rPr>
          <w:rStyle w:val="Fontdeparagrafimplicit"/>
          <w:i/>
        </w:rPr>
        <w:t>Croaţiei</w:t>
      </w:r>
      <w:r>
        <w:t>, nr. 20844/09, decizia din 30 septembrie 2010), cererile lor ar fi fost vădit nefondate pentru motivele care urmează.</w:t>
      </w:r>
    </w:p>
    <w:p w:rsidR="001D725E" w14:paraId="5E96A209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Curtea Europeană a notat, în primul rând, că </w:t>
      </w:r>
      <w:r>
        <w:t>ingerinţa</w:t>
      </w:r>
      <w:r>
        <w:t xml:space="preserve"> era prevăzută de lege, în sensul art. 1 din Protocolul nr. 1, </w:t>
      </w:r>
      <w:r>
        <w:t>şi</w:t>
      </w:r>
      <w:r>
        <w:t xml:space="preserve"> a urmărit un interes public, </w:t>
      </w:r>
      <w:r>
        <w:t>şi</w:t>
      </w:r>
      <w:r>
        <w:t xml:space="preserve"> anume de a proteja echilibrul fiscal între cheltuielile </w:t>
      </w:r>
      <w:r>
        <w:t>şi</w:t>
      </w:r>
      <w:r>
        <w:t xml:space="preserve"> veniturile statului, ce se confrunta cu o </w:t>
      </w:r>
      <w:r>
        <w:t>situaţie</w:t>
      </w:r>
      <w:r>
        <w:t xml:space="preserve"> de criză economică. Curtea a reamintit, în acest sens, dată fiind </w:t>
      </w:r>
      <w:r>
        <w:t>cunoaşterea</w:t>
      </w:r>
      <w:r>
        <w:t xml:space="preserve"> directă a propriei </w:t>
      </w:r>
      <w:r>
        <w:t>societăţi</w:t>
      </w:r>
      <w:r>
        <w:t xml:space="preserve"> </w:t>
      </w:r>
      <w:r>
        <w:t>şi</w:t>
      </w:r>
      <w:r>
        <w:t xml:space="preserve"> a nevoilor sale, că </w:t>
      </w:r>
      <w:r>
        <w:t>autorităţile</w:t>
      </w:r>
      <w:r>
        <w:t xml:space="preserve"> </w:t>
      </w:r>
      <w:r>
        <w:t>naţionale</w:t>
      </w:r>
      <w:r>
        <w:t xml:space="preserve"> sunt, în principiu, mai bine plasate decât judecătorul </w:t>
      </w:r>
      <w:r>
        <w:t>internaţional</w:t>
      </w:r>
      <w:r>
        <w:t xml:space="preserve"> pentru a determina ceea ce reprezintă "interesul public". În mecanismul d</w:t>
      </w:r>
      <w:r>
        <w:t xml:space="preserve">e  </w:t>
      </w:r>
      <w:r>
        <w:t>protecţie</w:t>
      </w:r>
      <w:r>
        <w:t xml:space="preserve"> creat prin </w:t>
      </w:r>
      <w:r>
        <w:t>Convenţie</w:t>
      </w:r>
      <w:r>
        <w:t xml:space="preserve">, statele trebuie să fie, prin urmare, primele care să se </w:t>
      </w:r>
      <w:r>
        <w:t>pronunţe</w:t>
      </w:r>
      <w:r>
        <w:t xml:space="preserve"> cu privire la </w:t>
      </w:r>
      <w:r>
        <w:t>existenţa</w:t>
      </w:r>
      <w:r>
        <w:t xml:space="preserve"> unei probleme de interes general. În </w:t>
      </w:r>
      <w:r>
        <w:t>consecinţă</w:t>
      </w:r>
      <w:r>
        <w:t xml:space="preserve">, ele dispun de o anumită marjă de apreciere, ca </w:t>
      </w:r>
      <w:r>
        <w:t>şi</w:t>
      </w:r>
      <w:r>
        <w:t xml:space="preserve"> în alte domenii care extind </w:t>
      </w:r>
      <w:r>
        <w:t>garanţiile</w:t>
      </w:r>
      <w:r>
        <w:t xml:space="preserve"> </w:t>
      </w:r>
      <w:r>
        <w:t>Convenţiei</w:t>
      </w:r>
      <w:r>
        <w:t xml:space="preserve">. Mai mult decât atât, </w:t>
      </w:r>
      <w:r>
        <w:t>noţiunea</w:t>
      </w:r>
      <w:r>
        <w:t xml:space="preserve"> de "interes public" este, prin natura sa, extinsă. În mod special, decizia de a adopta legi cu privire la echilibrul dintre cheltuielile </w:t>
      </w:r>
      <w:r>
        <w:t>şi</w:t>
      </w:r>
      <w:r>
        <w:t xml:space="preserve"> veniturile bugetului de stat implică de obicei luarea în considerare</w:t>
      </w:r>
      <w:r>
        <w:t xml:space="preserve"> a aspectelor politice, economice </w:t>
      </w:r>
      <w:r>
        <w:t>şi</w:t>
      </w:r>
      <w:r>
        <w:t xml:space="preserve"> sociale. Estimând că legiuitorul dispune de o marjă largă de apreciere pentru a </w:t>
      </w:r>
      <w:r>
        <w:t>desfăşura</w:t>
      </w:r>
      <w:r>
        <w:t xml:space="preserve"> o politică economică </w:t>
      </w:r>
      <w:r>
        <w:t>şi</w:t>
      </w:r>
      <w:r>
        <w:t xml:space="preserve"> socială, Curtea trebuie să respecte modul în care acesta a proiectat imperativele "interesului public" cu </w:t>
      </w:r>
      <w:r>
        <w:t>excepţia</w:t>
      </w:r>
      <w:r>
        <w:t xml:space="preserve"> cazului în decizia sa este în mod evident lipsită de o bază rezonabilă (cauza </w:t>
      </w:r>
      <w:r>
        <w:rPr>
          <w:rStyle w:val="Fontdeparagrafimplicit"/>
          <w:i/>
        </w:rPr>
        <w:t>Jahn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alţii</w:t>
      </w:r>
      <w:r>
        <w:rPr>
          <w:rStyle w:val="Fontdeparagrafimplicit"/>
          <w:i/>
        </w:rPr>
        <w:t xml:space="preserve"> c. Germaniei</w:t>
      </w:r>
      <w:r>
        <w:rPr>
          <w:rStyle w:val="Fontdeparagrafimplicit"/>
          <w:b/>
        </w:rPr>
        <w:t xml:space="preserve"> </w:t>
      </w:r>
      <w:r>
        <w:t xml:space="preserve">[MC], nr. 46720/99, 72203/01 </w:t>
      </w:r>
      <w:r>
        <w:t>şi</w:t>
      </w:r>
      <w:r>
        <w:t xml:space="preserve"> 72552/01, par. 91 </w:t>
      </w:r>
      <w:r>
        <w:t>şi</w:t>
      </w:r>
      <w:r>
        <w:t xml:space="preserve"> cauza </w:t>
      </w:r>
      <w:r>
        <w:rPr>
          <w:rStyle w:val="Fontdeparagrafimplicit"/>
          <w:i/>
        </w:rPr>
        <w:t>Zvolský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Zvolská</w:t>
      </w:r>
      <w:r>
        <w:rPr>
          <w:rStyle w:val="Fontdeparagrafimplicit"/>
          <w:i/>
        </w:rPr>
        <w:t xml:space="preserve"> c. Republicii Cehe</w:t>
      </w:r>
      <w:r>
        <w:t xml:space="preserve">, nr. 46129/99, par. 67 </w:t>
      </w:r>
      <w:r>
        <w:rPr>
          <w:rStyle w:val="Fontdeparagrafimplicit"/>
          <w:i/>
        </w:rPr>
        <w:t>in fine</w:t>
      </w:r>
      <w:r>
        <w:t>).</w:t>
      </w:r>
    </w:p>
    <w:p w:rsidR="001D725E" w14:paraId="53D317D3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În cele din urmă, o </w:t>
      </w:r>
      <w:r>
        <w:t>ingerinţă</w:t>
      </w:r>
      <w:r>
        <w:t xml:space="preserve"> în dreptul la respectarea bunurilor trebuie să păstreze un "echilibru just" între </w:t>
      </w:r>
      <w:r>
        <w:t>cerinţele</w:t>
      </w:r>
      <w:r>
        <w:t xml:space="preserve"> de interes general ale </w:t>
      </w:r>
      <w:r>
        <w:t>comunităţii</w:t>
      </w:r>
      <w:r>
        <w:t xml:space="preserve"> </w:t>
      </w:r>
      <w:r>
        <w:t>şi</w:t>
      </w:r>
      <w:r>
        <w:t xml:space="preserve"> cele de </w:t>
      </w:r>
      <w:r>
        <w:t>protecţie</w:t>
      </w:r>
      <w:r>
        <w:t xml:space="preserve"> a drepturilor fundamentale ale individului. În mod special, trebuie să existe un raport rezonabil de </w:t>
      </w:r>
      <w:r>
        <w:t>proporţionalitate</w:t>
      </w:r>
      <w:r>
        <w:t xml:space="preserve"> între mijloacele folosite </w:t>
      </w:r>
      <w:r>
        <w:t>şi</w:t>
      </w:r>
      <w:r>
        <w:t xml:space="preserve"> scopul urmărit prin orice măsură de natură a priva o persoană de proprietatea sa. Curtea, controlând respectarea acestei </w:t>
      </w:r>
      <w:r>
        <w:t>cerinţe</w:t>
      </w:r>
      <w:r>
        <w:t xml:space="preserve">, </w:t>
      </w:r>
      <w:r>
        <w:t>recunoaşte</w:t>
      </w:r>
      <w:r>
        <w:t xml:space="preserve"> statului o largă marjă de apreciere în a alege </w:t>
      </w:r>
      <w:r>
        <w:t>modalităţile</w:t>
      </w:r>
      <w:r>
        <w:t xml:space="preserve"> de pu</w:t>
      </w:r>
      <w:r>
        <w:t xml:space="preserve">nere în aplicare </w:t>
      </w:r>
      <w:r>
        <w:t>şi</w:t>
      </w:r>
      <w:r>
        <w:t xml:space="preserve"> pentru a stabili dacă </w:t>
      </w:r>
      <w:r>
        <w:t>şi</w:t>
      </w:r>
      <w:r>
        <w:t xml:space="preserve"> </w:t>
      </w:r>
      <w:r>
        <w:t>consecinţele</w:t>
      </w:r>
      <w:r>
        <w:t xml:space="preserve"> lor sunt justificate de interesul public, de scopul realizării obiectivului legii în cauză. Curtea a amintit că a fost deja chemată să hotărască dacă o </w:t>
      </w:r>
      <w:r>
        <w:t>intervenţie</w:t>
      </w:r>
      <w:r>
        <w:t xml:space="preserve"> legislativă urmărind a reforma un sector al economiei din motive de </w:t>
      </w:r>
      <w:r>
        <w:t>justiţie</w:t>
      </w:r>
      <w:r>
        <w:t xml:space="preserve"> socială (</w:t>
      </w:r>
      <w:r>
        <w:rPr>
          <w:rStyle w:val="Fontdeparagrafimplicit"/>
          <w:i/>
        </w:rPr>
        <w:t xml:space="preserve">cauza James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alţii</w:t>
      </w:r>
      <w:r>
        <w:rPr>
          <w:rStyle w:val="Fontdeparagrafimplicit"/>
          <w:i/>
        </w:rPr>
        <w:t xml:space="preserve"> c.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i/>
        </w:rPr>
        <w:t>Regatului Unit</w:t>
      </w:r>
      <w:r>
        <w:rPr>
          <w:rStyle w:val="Fontdeparagrafimplicit"/>
          <w:b/>
        </w:rPr>
        <w:t>,</w:t>
      </w:r>
      <w:r>
        <w:t xml:space="preserve"> 21 februarie 1986) sau pentru a corecta erorile unei legi anterioare, în interes public (</w:t>
      </w:r>
      <w:r>
        <w:rPr>
          <w:rStyle w:val="Fontdeparagrafimplicit"/>
          <w:i/>
        </w:rPr>
        <w:t>National &amp; Provincial Building Society, Leeds Permanent Building Society et Yorkshire Building Society c. Regatului Unit</w:t>
      </w:r>
      <w:r>
        <w:t>, 23 octombrie 1997) respecta "echilibrul" între interesele concurente în temeiul articolului 1 din Protocolul nr. 1.</w:t>
      </w:r>
    </w:p>
    <w:p w:rsidR="001D725E" w14:paraId="6445CA59" w14:textId="77777777">
      <w:pPr>
        <w:tabs>
          <w:tab w:val="left" w:pos="0"/>
          <w:tab w:val="left" w:pos="6360"/>
        </w:tabs>
        <w:ind w:firstLine="570"/>
        <w:jc w:val="both"/>
      </w:pPr>
      <w:r>
        <w:t xml:space="preserve">În lumina principiilor stabilite în </w:t>
      </w:r>
      <w:r>
        <w:t>jurisprudenţa</w:t>
      </w:r>
      <w:r>
        <w:t xml:space="preserve"> sa, Curtea de la Strasbourg a observat că, în această </w:t>
      </w:r>
      <w:r>
        <w:t>speţă</w:t>
      </w:r>
      <w:r>
        <w:t xml:space="preserve">, măsurile criticate de </w:t>
      </w:r>
      <w:r>
        <w:t>reclamanţi</w:t>
      </w:r>
      <w:r>
        <w:t xml:space="preserve"> nu i-au determinat să suporte o sarcină </w:t>
      </w:r>
      <w:r>
        <w:t>disproporţionată</w:t>
      </w:r>
      <w:r>
        <w:t xml:space="preserve"> </w:t>
      </w:r>
      <w:r>
        <w:t>şi</w:t>
      </w:r>
      <w:r>
        <w:t xml:space="preserve"> excesivă, incompatibilă cu dreptul la respectarea bunurilor garantat de articolul 1 din Protocolul nr. 1 </w:t>
      </w:r>
      <w:r>
        <w:t>adiţional</w:t>
      </w:r>
      <w:r>
        <w:t xml:space="preserve"> la </w:t>
      </w:r>
      <w:r>
        <w:t>Convenţie</w:t>
      </w:r>
      <w:r>
        <w:t xml:space="preserve">. Curtea a considerat că statul român  nu a </w:t>
      </w:r>
      <w:r>
        <w:t>depăşit</w:t>
      </w:r>
      <w:r>
        <w:t xml:space="preserve"> marja sa de apreciere </w:t>
      </w:r>
      <w:r>
        <w:t>şi</w:t>
      </w:r>
      <w:r>
        <w:t xml:space="preserve"> nu a rupt justul echilibru între </w:t>
      </w:r>
      <w:r>
        <w:t>cerinţele</w:t>
      </w:r>
      <w:r>
        <w:t xml:space="preserve"> de interes general ale </w:t>
      </w:r>
      <w:r>
        <w:t>colectivităţii</w:t>
      </w:r>
      <w:r>
        <w:t xml:space="preserve"> </w:t>
      </w:r>
      <w:r>
        <w:t>şi</w:t>
      </w:r>
      <w:r>
        <w:t xml:space="preserve"> </w:t>
      </w:r>
      <w:r>
        <w:t>protecţia</w:t>
      </w:r>
      <w:r>
        <w:t xml:space="preserve"> drepturilor fundamentale ale individului. Plân</w:t>
      </w:r>
      <w:r>
        <w:t xml:space="preserve">gerile au fost respinse, în temeiul art. 35 par. 3 </w:t>
      </w:r>
      <w:r>
        <w:t>şi</w:t>
      </w:r>
      <w:r>
        <w:t xml:space="preserve"> 4 din </w:t>
      </w:r>
      <w:r>
        <w:t>Convenţie</w:t>
      </w:r>
      <w:r>
        <w:t>.</w:t>
      </w:r>
    </w:p>
    <w:p w:rsidR="001D725E" w14:paraId="6470AA39" w14:textId="6D427767">
      <w:pPr>
        <w:tabs>
          <w:tab w:val="left" w:pos="0"/>
          <w:tab w:val="left" w:pos="6360"/>
        </w:tabs>
        <w:ind w:firstLine="570"/>
        <w:jc w:val="both"/>
        <w:rPr>
          <w:rStyle w:val="Fontdeparagrafimplicit"/>
          <w:b/>
        </w:rPr>
      </w:pPr>
      <w:r>
        <w:t xml:space="preserve">Având în vedere toate aceste considerente, constatând caracterul nefondat al argumentelor invocate de către </w:t>
      </w:r>
      <w:r>
        <w:t>recurenţi</w:t>
      </w:r>
      <w:r>
        <w:t xml:space="preserve"> în ceea ce </w:t>
      </w:r>
      <w:r>
        <w:t>priveşte</w:t>
      </w:r>
      <w:r>
        <w:t xml:space="preserve"> interpretarea </w:t>
      </w:r>
      <w:r>
        <w:t>dispoziţiilor</w:t>
      </w:r>
      <w:r>
        <w:t xml:space="preserve"> legale aplicabile în cauză, Curtea </w:t>
      </w:r>
      <w:r>
        <w:t>reţine</w:t>
      </w:r>
      <w:r>
        <w:t xml:space="preserve"> că Tribunalul </w:t>
      </w:r>
      <w:r w:rsidR="00A03439">
        <w:t>.............</w:t>
      </w:r>
      <w:r>
        <w:t xml:space="preserve"> a respins în mod corect cererea de chemare în judecată, ca neîntemeiată. </w:t>
      </w:r>
    </w:p>
    <w:p w:rsidR="001D725E" w14:paraId="513F2A24" w14:textId="77777777">
      <w:pPr>
        <w:ind w:right="-5" w:firstLine="600"/>
        <w:jc w:val="both"/>
      </w:pPr>
      <w:r>
        <w:t xml:space="preserve">In raport de toate aceste considerente, se constată că </w:t>
      </w:r>
      <w:bookmarkStart w:name="tree#26" w:id="1"/>
      <w:bookmarkStart w:name="tree#30" w:id="2"/>
      <w:bookmarkStart w:name="tree#75" w:id="3"/>
      <w:r>
        <w:t xml:space="preserve">recursul este nefondat </w:t>
      </w:r>
      <w:r>
        <w:t>şi</w:t>
      </w:r>
      <w:r>
        <w:t xml:space="preserve"> va fi respins ca atare, conform art. 496 </w:t>
      </w:r>
      <w:r>
        <w:t>C.pr.civ</w:t>
      </w:r>
      <w:bookmarkEnd w:id="1"/>
      <w:bookmarkEnd w:id="2"/>
      <w:bookmarkEnd w:id="3"/>
      <w:r>
        <w:t xml:space="preserve">. </w:t>
      </w:r>
    </w:p>
    <w:p w:rsidR="001D725E" w14:paraId="7F409452" w14:textId="77777777">
      <w:pPr>
        <w:ind w:right="-11" w:firstLine="708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MOTIVE,</w:t>
      </w:r>
    </w:p>
    <w:p w:rsidR="001D725E" w14:paraId="6B87078C" w14:textId="77777777">
      <w:pPr>
        <w:ind w:right="-11" w:firstLine="708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LEGII,</w:t>
      </w:r>
    </w:p>
    <w:p w:rsidR="001D725E" w14:paraId="36396625" w14:textId="77777777">
      <w:pPr>
        <w:ind w:right="-11" w:firstLine="708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DECIDE:</w:t>
      </w:r>
    </w:p>
    <w:p w:rsidR="001D725E" w14:paraId="53105CA7" w14:textId="77777777">
      <w:pPr>
        <w:ind w:right="-11" w:firstLine="708"/>
        <w:jc w:val="both"/>
        <w:rPr>
          <w:rStyle w:val="Fontdeparagrafimplicit"/>
        </w:rPr>
      </w:pPr>
    </w:p>
    <w:p w:rsidR="001D725E" w14:paraId="35BF49E3" w14:textId="0683D74A">
      <w:pPr>
        <w:ind w:firstLine="720"/>
        <w:jc w:val="both"/>
      </w:pPr>
      <w:r>
        <w:t xml:space="preserve">Respinge recursul formulat de </w:t>
      </w:r>
      <w:r>
        <w:t>recurenţii</w:t>
      </w:r>
      <w:r>
        <w:t xml:space="preserve"> - </w:t>
      </w:r>
      <w:r>
        <w:t>reclamanţi</w:t>
      </w:r>
      <w:r>
        <w:t xml:space="preserve"> </w:t>
      </w:r>
      <w:r w:rsidR="00A03439">
        <w:rPr>
          <w:rStyle w:val="Fontdeparagrafimplicit"/>
          <w:b/>
        </w:rPr>
        <w:t>R1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R15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R16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R17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R18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R19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R20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R21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R22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R23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R24</w:t>
      </w:r>
      <w:r>
        <w:rPr>
          <w:rStyle w:val="Fontdeparagrafimplicit"/>
          <w:b/>
        </w:rPr>
        <w:t xml:space="preserve">, </w:t>
      </w:r>
      <w:r w:rsidR="00A03439">
        <w:rPr>
          <w:rStyle w:val="Fontdeparagrafimplicit"/>
          <w:b/>
        </w:rPr>
        <w:t>R25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R26</w:t>
      </w:r>
      <w:r>
        <w:t>, cu domiciliul procesual ales la .......................</w:t>
      </w:r>
      <w:r>
        <w:t>cu sediul în .................</w:t>
      </w:r>
      <w:r>
        <w:t xml:space="preserve">. </w:t>
      </w:r>
      <w:r w:rsidR="00A03439">
        <w:t>.............</w:t>
      </w:r>
      <w:r>
        <w:t xml:space="preserve"> împotriva </w:t>
      </w:r>
      <w:r>
        <w:t>sentinţei</w:t>
      </w:r>
      <w:r>
        <w:t xml:space="preserve"> civile nr. </w:t>
      </w:r>
      <w:r w:rsidR="00A03439">
        <w:t>SC1/</w:t>
      </w:r>
      <w:r>
        <w:t xml:space="preserve">.2015, </w:t>
      </w:r>
      <w:r>
        <w:t>pronunţată</w:t>
      </w:r>
      <w:r>
        <w:t xml:space="preserve"> de Tribunalul </w:t>
      </w:r>
      <w:r w:rsidR="00A03439">
        <w:t>.............</w:t>
      </w:r>
      <w:r>
        <w:t xml:space="preserve">, în dosarul nr. </w:t>
      </w:r>
      <w:r w:rsidR="00A03439">
        <w:t>.......................</w:t>
      </w:r>
      <w:r>
        <w:t xml:space="preserve">, în contradictoriu cu </w:t>
      </w:r>
      <w:r>
        <w:t>intimaţii</w:t>
      </w:r>
      <w:r>
        <w:t xml:space="preserve"> – </w:t>
      </w:r>
      <w:r>
        <w:t>pârâţi</w:t>
      </w:r>
      <w:r>
        <w:t xml:space="preserve"> </w:t>
      </w:r>
      <w:r>
        <w:rPr>
          <w:rStyle w:val="Fontdeparagrafimplicit"/>
          <w:b/>
        </w:rPr>
        <w:t xml:space="preserve">DIRECŢIA DE SĂNĂTATE PUBLICĂ </w:t>
      </w:r>
      <w:r w:rsidR="00A03439">
        <w:rPr>
          <w:rStyle w:val="Fontdeparagrafimplicit"/>
          <w:b/>
        </w:rPr>
        <w:t>.............</w:t>
      </w:r>
      <w:r>
        <w:t>, cu sediul .............</w:t>
      </w:r>
      <w:r>
        <w:t xml:space="preserve">. </w:t>
      </w:r>
      <w:r w:rsidR="00A03439">
        <w:t>.............</w:t>
      </w:r>
      <w:r>
        <w:t>, ........................................</w:t>
      </w:r>
      <w:r>
        <w:t xml:space="preserve"> </w:t>
      </w:r>
      <w:r w:rsidR="00A03439">
        <w:t>.............</w:t>
      </w:r>
      <w:r>
        <w:t xml:space="preserve"> </w:t>
      </w:r>
      <w:r>
        <w:t>şi</w:t>
      </w:r>
      <w:r>
        <w:t xml:space="preserve"> </w:t>
      </w:r>
      <w:r>
        <w:rPr>
          <w:rStyle w:val="Fontdeparagrafimplicit"/>
          <w:b/>
        </w:rPr>
        <w:t>MINISTERUL SĂNĂTĂŢII</w:t>
      </w:r>
      <w:r>
        <w:t xml:space="preserve">, cu sediul în </w:t>
      </w:r>
      <w:r w:rsidR="00A03439">
        <w:t>.......................</w:t>
      </w:r>
      <w:r>
        <w:t xml:space="preserve">, </w:t>
      </w:r>
      <w:r>
        <w:t xml:space="preserve">, ca nefondat. </w:t>
      </w:r>
    </w:p>
    <w:p w:rsidR="001D725E" w14:paraId="06824D6E" w14:textId="77777777">
      <w:pPr>
        <w:ind w:right="-11" w:firstLine="708"/>
        <w:jc w:val="both"/>
      </w:pPr>
      <w:r>
        <w:t>Definitivă.</w:t>
      </w:r>
    </w:p>
    <w:p w:rsidR="001D725E" w14:paraId="4FE11EC5" w14:textId="4D347607">
      <w:pPr>
        <w:ind w:right="-11" w:firstLine="708"/>
        <w:jc w:val="both"/>
      </w:pPr>
      <w:r>
        <w:t>Pronunţată</w:t>
      </w:r>
      <w:r>
        <w:t xml:space="preserve"> în </w:t>
      </w:r>
      <w:r>
        <w:t>şedinţă</w:t>
      </w:r>
      <w:r>
        <w:t xml:space="preserve"> publică, azi, .......................</w:t>
      </w:r>
      <w:r>
        <w:t>2016.</w:t>
      </w:r>
    </w:p>
    <w:p w:rsidR="001D725E" w14:paraId="0A66530C" w14:textId="77777777">
      <w:pPr>
        <w:ind w:right="-11" w:firstLine="708"/>
        <w:jc w:val="both"/>
      </w:pPr>
    </w:p>
    <w:p w:rsidR="001D725E" w14:paraId="128CA0EB" w14:textId="77777777">
      <w:pPr>
        <w:ind w:right="-11"/>
        <w:jc w:val="both"/>
      </w:pPr>
      <w:r>
        <w:t xml:space="preserve"> </w:t>
      </w:r>
      <w:r>
        <w:tab/>
      </w:r>
      <w:r>
        <w:t>Preşedinte</w:t>
      </w:r>
      <w:r>
        <w:tab/>
      </w:r>
      <w:r>
        <w:tab/>
      </w:r>
      <w:r>
        <w:tab/>
        <w:t xml:space="preserve"> </w:t>
      </w:r>
      <w:r>
        <w:tab/>
        <w:t>Judecător</w:t>
      </w:r>
      <w:r>
        <w:tab/>
      </w:r>
      <w:r>
        <w:tab/>
      </w:r>
      <w:r>
        <w:tab/>
        <w:t xml:space="preserve"> </w:t>
      </w:r>
      <w:r>
        <w:tab/>
      </w:r>
      <w:r>
        <w:t>Judecător</w:t>
      </w:r>
    </w:p>
    <w:p w:rsidR="001D725E" w14:paraId="38061BA2" w14:textId="185BD662">
      <w:pPr>
        <w:ind w:firstLine="708"/>
      </w:pPr>
      <w:r>
        <w:t>.......................</w:t>
      </w:r>
      <w:r w:rsidR="00306AD3">
        <w:t xml:space="preserve">  </w:t>
      </w:r>
      <w:r w:rsidR="00306AD3">
        <w:tab/>
      </w:r>
      <w:r w:rsidR="00306AD3">
        <w:tab/>
      </w:r>
      <w:r w:rsidR="00306AD3">
        <w:tab/>
      </w:r>
      <w:r>
        <w:t>A0016</w:t>
      </w:r>
      <w:r w:rsidR="00306AD3">
        <w:t xml:space="preserve">  </w:t>
      </w:r>
      <w:r w:rsidR="00306AD3">
        <w:tab/>
      </w:r>
      <w:r w:rsidR="00306AD3">
        <w:tab/>
      </w:r>
      <w:r w:rsidR="00306AD3">
        <w:tab/>
        <w:t xml:space="preserve">           </w:t>
      </w:r>
      <w:r>
        <w:t>.......................</w:t>
      </w:r>
    </w:p>
    <w:p w:rsidR="001D725E" w14:paraId="5D5EDB89" w14:textId="77777777">
      <w:pPr>
        <w:ind w:right="-1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725E" w14:paraId="1B18EDC4" w14:textId="77777777">
      <w:pPr>
        <w:ind w:right="-11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725E" w14:paraId="26662743" w14:textId="77777777">
      <w:pPr>
        <w:ind w:right="-11"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Grefier</w:t>
      </w:r>
    </w:p>
    <w:p w:rsidR="001D725E" w14:paraId="37FCEB84" w14:textId="02E11B60">
      <w:pPr>
        <w:ind w:right="-11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</w:t>
      </w:r>
      <w:r w:rsidR="00A03439">
        <w:t>.......................</w:t>
      </w:r>
    </w:p>
    <w:p w:rsidR="001D725E" w14:paraId="7CE3E6F0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E1F8A09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AFF570F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0BBA17C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92ECD04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737BEA6B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73DCEE26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7DA91B91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B937BF1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406A68A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E2FDBBE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1D0DD92C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37513BF6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2761114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679F565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FC80852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7F40974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781B94E8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52C8C74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91527DE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BA72E71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7AD60C5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6166367D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94539D8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FC8E48A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38F47081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148CCDB2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78BBEE6B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CB66705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5C9B173C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4D752A1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1389D1AB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93D452B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2E93575E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658B7555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322122F5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3C46EC1E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07DD0FF2" w14:textId="77777777">
      <w:pPr>
        <w:ind w:right="-11" w:firstLine="708"/>
        <w:jc w:val="center"/>
        <w:rPr>
          <w:rStyle w:val="Fontdeparagrafimplicit"/>
          <w:u w:val="single"/>
        </w:rPr>
      </w:pPr>
    </w:p>
    <w:p w:rsidR="001D725E" w14:paraId="46B9709C" w14:textId="009F32DF">
      <w:pPr>
        <w:rPr>
          <w:rStyle w:val="Fontdeparagrafimplicit"/>
          <w:sz w:val="16"/>
        </w:rPr>
      </w:pPr>
      <w:r>
        <w:rPr>
          <w:rStyle w:val="Fontdeparagrafimplicit"/>
          <w:sz w:val="16"/>
        </w:rPr>
        <w:t>Red</w:t>
      </w:r>
      <w:r>
        <w:rPr>
          <w:rStyle w:val="Fontdeparagrafimplicit"/>
          <w:sz w:val="16"/>
        </w:rPr>
        <w:t xml:space="preserve"> A0016 </w:t>
      </w:r>
      <w:r>
        <w:rPr>
          <w:rStyle w:val="Fontdeparagrafimplicit"/>
          <w:sz w:val="16"/>
        </w:rPr>
        <w:t>32 ex</w:t>
      </w:r>
    </w:p>
    <w:p w:rsidR="001D725E" w14:paraId="5321E544" w14:textId="023468C6">
      <w:pPr>
        <w:rPr>
          <w:rStyle w:val="Fontdeparagrafimplicit"/>
          <w:sz w:val="16"/>
        </w:rPr>
      </w:pPr>
      <w:r>
        <w:rPr>
          <w:rStyle w:val="Fontdeparagrafimplicit"/>
          <w:sz w:val="16"/>
        </w:rPr>
        <w:t>Jud fond .......................</w:t>
      </w:r>
      <w:r>
        <w:rPr>
          <w:rStyle w:val="Fontdeparagrafimplicit"/>
          <w:sz w:val="16"/>
        </w:rPr>
        <w:tab/>
      </w:r>
    </w:p>
    <w:p w:rsidR="001D725E" w14:paraId="56653E50" w14:textId="3659E4BD">
      <w:pPr>
        <w:rPr>
          <w:rStyle w:val="Fontdeparagrafimplicit"/>
          <w:sz w:val="16"/>
        </w:rPr>
      </w:pPr>
      <w:r>
        <w:rPr>
          <w:rStyle w:val="Fontdeparagrafimplicit"/>
          <w:sz w:val="16"/>
        </w:rPr>
        <w:t xml:space="preserve">Tribunalul </w:t>
      </w:r>
      <w:r w:rsidR="00A03439">
        <w:rPr>
          <w:rStyle w:val="Fontdeparagrafimplicit"/>
          <w:sz w:val="16"/>
        </w:rPr>
        <w:t>.............</w:t>
      </w:r>
      <w:r>
        <w:rPr>
          <w:rStyle w:val="Fontdeparagrafimplicit"/>
          <w:sz w:val="16"/>
        </w:rPr>
        <w:t xml:space="preserve"> </w:t>
      </w:r>
    </w:p>
    <w:p w:rsidR="001D725E" w14:paraId="05147063" w14:textId="77777777">
      <w:pPr>
        <w:rPr>
          <w:rStyle w:val="Fontdeparagrafimplicit"/>
        </w:rPr>
      </w:pPr>
    </w:p>
    <w:sectPr>
      <w:footerReference w:type="even" r:id="rId4"/>
      <w:footerReference w:type="default" r:id="rId5"/>
      <w:pgSz w:w="11906" w:h="16838"/>
      <w:pgMar w:top="851" w:right="851" w:bottom="851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725E" w14:paraId="322B9479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1D725E" w14:paraId="4CEBB4EE" w14:textId="77777777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725E" w14:paraId="66D9C5E6" w14:textId="77777777">
    <w:pPr>
      <w:pStyle w:val="Subsol"/>
      <w:jc w:val="center"/>
      <w:rPr>
        <w:rStyle w:val="Fontdeparagrafimplicit"/>
        <w:sz w:val="16"/>
      </w:rPr>
    </w:pPr>
    <w:r>
      <w:rPr>
        <w:rStyle w:val="Fontdeparagrafimplicit"/>
        <w:sz w:val="16"/>
      </w:rPr>
      <w:t xml:space="preserve">Pagină </w:t>
    </w:r>
    <w:r>
      <w:rPr>
        <w:rStyle w:val="Fontdeparagrafimplicit"/>
        <w:sz w:val="16"/>
      </w:rPr>
      <w:fldChar w:fldCharType="begin"/>
    </w:r>
    <w:r>
      <w:rPr>
        <w:rStyle w:val="Fontdeparagrafimplicit"/>
        <w:b/>
        <w:sz w:val="16"/>
      </w:rPr>
      <w:instrText>PAGE</w:instrText>
    </w:r>
    <w:r>
      <w:rPr>
        <w:rStyle w:val="Fontdeparagrafimplicit"/>
        <w:sz w:val="16"/>
      </w:rPr>
      <w:fldChar w:fldCharType="separate"/>
    </w:r>
    <w:r>
      <w:rPr>
        <w:rStyle w:val="Fontdeparagrafimplicit"/>
        <w:b/>
        <w:sz w:val="16"/>
      </w:rPr>
      <w:t>#</w:t>
    </w:r>
    <w:r>
      <w:rPr>
        <w:rStyle w:val="Fontdeparagrafimplicit"/>
        <w:sz w:val="16"/>
      </w:rPr>
      <w:fldChar w:fldCharType="end"/>
    </w:r>
    <w:r>
      <w:rPr>
        <w:rStyle w:val="Fontdeparagrafimplicit"/>
        <w:sz w:val="16"/>
      </w:rPr>
      <w:t xml:space="preserve"> din </w:t>
    </w:r>
    <w:r>
      <w:rPr>
        <w:rStyle w:val="Fontdeparagrafimplicit"/>
        <w:sz w:val="16"/>
      </w:rPr>
      <w:fldChar w:fldCharType="begin"/>
    </w:r>
    <w:r>
      <w:rPr>
        <w:rStyle w:val="Fontdeparagrafimplicit"/>
        <w:b/>
        <w:sz w:val="16"/>
      </w:rPr>
      <w:instrText>NUMPAGES</w:instrText>
    </w:r>
    <w:r>
      <w:rPr>
        <w:rStyle w:val="Fontdeparagrafimplicit"/>
        <w:sz w:val="16"/>
      </w:rPr>
      <w:fldChar w:fldCharType="separate"/>
    </w:r>
    <w:r>
      <w:rPr>
        <w:rStyle w:val="Fontdeparagrafimplicit"/>
        <w:b/>
        <w:sz w:val="16"/>
      </w:rPr>
      <w:t>#</w:t>
    </w:r>
    <w:r>
      <w:rPr>
        <w:rStyle w:val="Fontdeparagrafimplicit"/>
        <w:sz w:val="16"/>
      </w:rPr>
      <w:fldChar w:fldCharType="end"/>
    </w:r>
  </w:p>
  <w:p w:rsidR="001D725E" w14:paraId="4B89ED2F" w14:textId="77777777">
    <w:pPr>
      <w:pStyle w:val="Subsol"/>
      <w:rPr>
        <w:rStyle w:val="Fontdeparagrafimplicit"/>
        <w:sz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5E"/>
    <w:rsid w:val="001D725E"/>
    <w:rsid w:val="00306AD3"/>
    <w:rsid w:val="00A03439"/>
    <w:rsid w:val="00AA6E5E"/>
  </w:rsids>
  <w:docVars>
    <w:docVar w:name="url" w:val="http://10.1.48.53:80/ecris_cdms/document_upload.aspx?id_document=200000002318019&amp;id_departament=5&amp;id_sesiune=1993777&amp;id_user=773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95EB4A"/>
  <w15:docId w15:val="{DC475BAB-6591-4B16-AD9A-E2C4A4E7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customStyle="1" w:styleId="Titlu2">
    <w:name w:val="Titlu 2"/>
    <w:basedOn w:val="Normal"/>
    <w:next w:val="Normal"/>
    <w:link w:val="Titlu2Caracter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customStyle="1" w:styleId="Titlu3">
    <w:name w:val="Titlu 3"/>
    <w:basedOn w:val="Normal"/>
    <w:next w:val="Normal"/>
    <w:link w:val="Titlu3Caracter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SubsolCaracter"/>
    <w:pPr>
      <w:tabs>
        <w:tab w:val="center" w:pos="4536"/>
        <w:tab w:val="right" w:pos="9072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Titlu2Caracter">
    <w:name w:val="Titlu 2 Caracter"/>
    <w:link w:val="Titlu2"/>
    <w:rPr>
      <w:rFonts w:ascii="Cambria" w:hAnsi="Cambria"/>
      <w:b/>
      <w:i/>
      <w:sz w:val="28"/>
    </w:rPr>
  </w:style>
  <w:style w:type="character" w:customStyle="1" w:styleId="Titlu3Caracter">
    <w:name w:val="Titlu 3 Caracter"/>
    <w:link w:val="Titlu3"/>
    <w:rPr>
      <w:rFonts w:ascii="Cambria" w:hAnsi="Cambria"/>
      <w:b/>
      <w:sz w:val="26"/>
    </w:rPr>
  </w:style>
  <w:style w:type="character" w:customStyle="1" w:styleId="SubsolCaracter">
    <w:name w:val="Subsol Caracter"/>
    <w:link w:val="Subsol"/>
  </w:style>
  <w:style w:type="character" w:customStyle="1" w:styleId="Numrdepagin">
    <w:name w:val="Număr de pagină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27</ap:TotalTime>
  <ap:Pages>6</ap:Pages>
  <ap:Words>3116</ap:Words>
  <ap:Characters>17763</ap:Characters>
  <ap:Application>Microsoft Office Word</ap:Application>
  <ap:DocSecurity>0</ap:DocSecurity>
  <ap:Lines>148</ap:Lines>
  <ap:Paragraphs>41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20838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