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rPr>
      </w:pPr>
      <w:r>
        <w:rPr>
          <w:b/>
        </w:rPr>
        <w:t>hot. 5</w:t>
      </w:r>
    </w:p>
    <w:p>
      <w:pPr>
        <w:pStyle w:val="Normal"/>
        <w:rPr>
          <w:b/>
        </w:rPr>
      </w:pPr>
      <w:r>
        <w:rPr>
          <w:b/>
        </w:rPr>
        <w:t>Dosar nr. D1</w:t>
      </w:r>
    </w:p>
    <w:p>
      <w:pPr>
        <w:pStyle w:val="Normal"/>
        <w:rPr>
          <w:b/>
        </w:rPr>
      </w:pPr>
      <w:r>
        <w:rPr>
          <w:b/>
        </w:rPr>
      </w:r>
    </w:p>
    <w:p>
      <w:pPr>
        <w:pStyle w:val="Normal"/>
        <w:rPr>
          <w:b/>
        </w:rPr>
      </w:pPr>
      <w:r>
        <w:rPr>
          <w:b/>
        </w:rPr>
      </w:r>
    </w:p>
    <w:p>
      <w:pPr>
        <w:pStyle w:val="Normal"/>
        <w:jc w:val="center"/>
        <w:rPr>
          <w:b/>
        </w:rPr>
      </w:pPr>
      <w:r>
        <w:rPr>
          <w:b/>
        </w:rPr>
        <w:t>R O M Â N I A</w:t>
      </w:r>
    </w:p>
    <w:p>
      <w:pPr>
        <w:pStyle w:val="Normal"/>
        <w:jc w:val="center"/>
        <w:rPr>
          <w:b/>
        </w:rPr>
      </w:pPr>
      <w:r>
        <w:rPr>
          <w:b/>
        </w:rPr>
      </w:r>
    </w:p>
    <w:p>
      <w:pPr>
        <w:pStyle w:val="Normal"/>
        <w:jc w:val="center"/>
        <w:rPr>
          <w:b/>
        </w:rPr>
      </w:pPr>
      <w:r>
        <w:rPr>
          <w:b/>
        </w:rPr>
        <w:t>CURTEA DE APEL ...</w:t>
      </w:r>
    </w:p>
    <w:p>
      <w:pPr>
        <w:pStyle w:val="Normal"/>
        <w:jc w:val="center"/>
        <w:rPr>
          <w:b/>
        </w:rPr>
      </w:pPr>
      <w:r>
        <w:rPr>
          <w:b/>
        </w:rPr>
        <w:t>SECŢIA ...</w:t>
      </w:r>
    </w:p>
    <w:p>
      <w:pPr>
        <w:pStyle w:val="Normal"/>
        <w:rPr>
          <w:b/>
          <w:lang w:val="en-US"/>
        </w:rPr>
      </w:pPr>
      <w:r>
        <w:rPr>
          <w:b/>
          <w:lang w:val="en-US"/>
        </w:rPr>
      </w:r>
    </w:p>
    <w:p>
      <w:pPr>
        <w:pStyle w:val="Normal"/>
        <w:jc w:val="center"/>
        <w:rPr/>
      </w:pPr>
      <w:r>
        <w:rPr/>
      </w:r>
      <w:r>
        <w:rPr/>
      </w:r>
      <w:r>
        <w:rPr/>
      </w:r>
      <w:r>
        <w:rPr/>
      </w:r>
      <w:r>
        <w:rPr>
          <w:b/>
          <w:u w:val="single"/>
        </w:rPr>
        <w:t>DECIZIE</w:t>
      </w:r>
      <w:r>
        <w:rPr/>
      </w:r>
      <w:r>
        <w:rPr/>
      </w:r>
      <w:r>
        <w:rPr>
          <w:b/>
          <w:u w:val="single"/>
        </w:rPr>
        <w:t xml:space="preserve"> Nr. ...</w:t>
      </w:r>
    </w:p>
    <w:p>
      <w:pPr>
        <w:pStyle w:val="Normal"/>
        <w:jc w:val="center"/>
        <w:rPr/>
      </w:pPr>
      <w:r>
        <w:rPr>
          <w:b/>
        </w:rPr>
        <w:t>Şedinţa </w:t>
      </w:r>
      <w:r>
        <w:rPr/>
      </w:r>
      <w:r>
        <w:rPr/>
      </w:r>
      <w:r>
        <w:rPr/>
      </w:r>
      <w:r>
        <w:rPr/>
      </w:r>
      <w:r>
        <w:rPr>
          <w:b/>
        </w:rPr>
        <w:t>publică</w:t>
      </w:r>
      <w:r>
        <w:rPr/>
      </w:r>
      <w:r>
        <w:rPr/>
      </w:r>
      <w:r>
        <w:rPr>
          <w:b/>
        </w:rPr>
        <w:t xml:space="preserve"> de la ... </w:t>
      </w:r>
    </w:p>
    <w:p>
      <w:pPr>
        <w:pStyle w:val="Normal"/>
        <w:jc w:val="center"/>
        <w:rPr>
          <w:b/>
        </w:rPr>
      </w:pPr>
      <w:r>
        <w:rPr>
          <w:b/>
        </w:rPr>
        <w:t>Completul compus din:</w:t>
      </w:r>
    </w:p>
    <w:p>
      <w:pPr>
        <w:pStyle w:val="Normal"/>
        <w:jc w:val="center"/>
        <w:rPr>
          <w:b/>
        </w:rPr>
      </w:pPr>
      <w:r>
        <w:rPr>
          <w:b/>
        </w:rPr>
        <w:t>PREŞEDINTE ...</w:t>
      </w:r>
    </w:p>
    <w:p>
      <w:pPr>
        <w:pStyle w:val="Normal"/>
        <w:jc w:val="center"/>
        <w:rPr>
          <w:b/>
        </w:rPr>
      </w:pPr>
      <w:r>
        <w:rPr>
          <w:b/>
        </w:rPr>
        <w:t>Judecător A0006</w:t>
      </w:r>
    </w:p>
    <w:p>
      <w:pPr>
        <w:pStyle w:val="Normal"/>
        <w:jc w:val="center"/>
        <w:rPr>
          <w:b/>
        </w:rPr>
      </w:pPr>
      <w:r>
        <w:rPr>
          <w:b/>
        </w:rPr>
        <w:t>Judecător ...</w:t>
      </w:r>
    </w:p>
    <w:p>
      <w:pPr>
        <w:pStyle w:val="Normal"/>
        <w:jc w:val="center"/>
        <w:rPr>
          <w:b/>
        </w:rPr>
      </w:pPr>
      <w:r>
        <w:rPr>
          <w:b/>
        </w:rPr>
        <w:t>Grefier ...</w:t>
      </w:r>
    </w:p>
    <w:p>
      <w:pPr>
        <w:pStyle w:val="Normal"/>
        <w:jc w:val="center"/>
        <w:rPr>
          <w:b/>
        </w:rPr>
      </w:pPr>
      <w:r>
        <w:rPr>
          <w:b/>
        </w:rPr>
      </w:r>
    </w:p>
    <w:p>
      <w:pPr>
        <w:pStyle w:val="Normal"/>
        <w:ind w:right="-1"/>
        <w:jc w:val="both"/>
        <w:rPr/>
      </w:pPr>
      <w:r>
        <w:rPr/>
      </w:r>
      <w:r>
        <w:rPr/>
      </w:r>
      <w:r>
        <w:rPr/>
      </w:r>
      <w:r>
        <w:rPr/>
      </w:r>
      <w:r>
        <w:rPr>
          <w:lang w:val="en-US" w:eastAsia="en-US"/>
        </w:rPr>
        <w:t>     </w:t>
      </w:r>
      <w:r>
        <w:rPr/>
      </w:r>
      <w:r>
        <w:rPr/>
      </w:r>
    </w:p>
    <w:p>
      <w:pPr>
        <w:pStyle w:val="Normal"/>
        <w:ind w:right="0" w:firstLine="709"/>
        <w:jc w:val="both"/>
        <w:rPr/>
      </w:pPr>
      <w:r>
        <w:rPr/>
        <w:t>Pe rol se află soluţionarea recursului declarat împotriva</w:t>
      </w:r>
      <w:r>
        <w:rPr>
          <w:i/>
        </w:rPr>
        <w:t xml:space="preserve"> sentinței civile nr.SC1 din data de ... pronunţată de Tribunalul ...– Secţia ... ..., în dosarul nr.D1 </w:t>
      </w:r>
      <w:r>
        <w:rPr/>
        <w:t xml:space="preserve">de </w:t>
      </w:r>
      <w:r>
        <w:rPr>
          <w:b/>
        </w:rPr>
        <w:t>recurenţii reclamanţi</w:t>
      </w:r>
      <w:r>
        <w:rPr/>
        <w:t xml:space="preserve"> </w:t>
      </w:r>
      <w:r>
        <w:rPr>
          <w:b/>
        </w:rPr>
        <w:t xml:space="preserve">A1, A2  </w:t>
      </w:r>
      <w:r>
        <w:rPr/>
        <w:t xml:space="preserve">în contradictoriu cu </w:t>
      </w:r>
      <w:r>
        <w:rPr>
          <w:b/>
        </w:rPr>
        <w:t>intimaţii pârâţi COMUNA B1, PRIMARUL  COM. B1,</w:t>
      </w:r>
      <w:r>
        <w:rPr/>
        <w:t xml:space="preserve"> având ca obiect </w:t>
      </w:r>
      <w:r>
        <w:rPr>
          <w:i/>
        </w:rPr>
        <w:t>anulare act administrativ</w:t>
      </w:r>
      <w:r>
        <w:rPr/>
        <w:t xml:space="preserve"> .</w:t>
      </w:r>
    </w:p>
    <w:p>
      <w:pPr>
        <w:pStyle w:val="Normal"/>
        <w:ind w:right="0" w:firstLine="709"/>
        <w:jc w:val="both"/>
        <w:rPr/>
      </w:pPr>
      <w:r>
        <w:rPr/>
        <w:t>La apelul nominal făcut în şedinţa publică, la strigarea cauzei la ordine, au răspuns recurenţii reclamanţi, personal, lipsind intimaţii pârâţi.</w:t>
      </w:r>
    </w:p>
    <w:p>
      <w:pPr>
        <w:pStyle w:val="Normal"/>
        <w:ind w:right="-11" w:firstLine="708"/>
        <w:jc w:val="both"/>
        <w:rPr>
          <w:b/>
        </w:rPr>
      </w:pPr>
      <w:r>
        <w:rPr>
          <w:b/>
        </w:rPr>
        <w:t>Procedura de citare este legal îndeplinită.</w:t>
      </w:r>
    </w:p>
    <w:p>
      <w:pPr>
        <w:pStyle w:val="Normal"/>
        <w:ind w:right="0" w:firstLine="720"/>
        <w:jc w:val="both"/>
        <w:rPr/>
      </w:pPr>
      <w:r>
        <w:rPr/>
        <w:t>S-a făcut referatul oral al cauzei de către grefierul de şedinţă care învederează instanţei obiectul cauzei, stadiul judecății, modalitatea de îndeplinire a procedurii de citare, faptul că recursul a fost declarat şi motivat în termenul legal, iar recurenta a solicitat judecarea cauzei în lipsă, potrivit dispozițiilor prevăzute de art. 411 alin. 1 pct.2 Noul Cod procedură civilă, după care :</w:t>
      </w:r>
    </w:p>
    <w:p>
      <w:pPr>
        <w:pStyle w:val="Normal"/>
        <w:tabs>
          <w:tab w:val="clear" w:pos="709"/>
          <w:tab w:val="left" w:leader="none" w:pos="-2520"/>
        </w:tabs>
        <w:ind w:right="24"/>
        <w:jc w:val="both"/>
        <w:rPr/>
      </w:pPr>
      <w:r>
        <w:rPr/>
        <w:tab/>
        <w:t>Nemaifiind cereri prealabile de formulat, excepţii de invocat sau probe de administrat, Curtea constată recursul în stare de judecată şi acordă cuvântul recurenţilor reclamanţi pe fondul cererii de recurs.</w:t>
      </w:r>
    </w:p>
    <w:p>
      <w:pPr>
        <w:pStyle w:val="Normal"/>
        <w:tabs>
          <w:tab w:val="clear" w:pos="709"/>
          <w:tab w:val="left" w:leader="none" w:pos="-2520"/>
        </w:tabs>
        <w:ind w:right="24"/>
        <w:jc w:val="both"/>
        <w:rPr/>
      </w:pPr>
      <w:r>
        <w:rPr/>
        <w:tab/>
        <w:t>Având cuvântul, personal, recurenţii reclamanţi solicită  admiterea cererii  de recurs astfel cum a fost formulată şi casarea  sentinţei civile atacate, solicitând  trimiterea cauzei spre rejudecare primei instanţe. Solicită acordarea cheltuielilor de judecată ocazionate cu faza procesuală a recursului.</w:t>
      </w:r>
    </w:p>
    <w:p>
      <w:pPr>
        <w:pStyle w:val="Normal"/>
        <w:ind w:right="0" w:firstLine="720"/>
        <w:jc w:val="both"/>
        <w:rPr/>
      </w:pPr>
      <w:r>
        <w:rPr/>
        <w:t>Curtea declară dezbaterile închise și reține cauza în pronunțare pe fondul cererii de recurs.</w:t>
      </w:r>
    </w:p>
    <w:p>
      <w:pPr>
        <w:pStyle w:val="Normal"/>
        <w:ind w:right="0" w:firstLine="708"/>
        <w:jc w:val="both"/>
        <w:rPr/>
      </w:pPr>
      <w:r>
        <w:rPr/>
      </w:r>
    </w:p>
    <w:p>
      <w:pPr>
        <w:pStyle w:val="Normal"/>
        <w:ind w:right="0" w:firstLine="600"/>
        <w:jc w:val="center"/>
        <w:rPr>
          <w:b/>
        </w:rPr>
      </w:pPr>
      <w:r>
        <w:rPr>
          <w:b/>
        </w:rPr>
        <w:t>C U R T E A,</w:t>
      </w:r>
    </w:p>
    <w:p>
      <w:pPr>
        <w:pStyle w:val="Normal"/>
        <w:ind w:right="0" w:firstLine="600"/>
        <w:jc w:val="center"/>
        <w:rPr>
          <w:b/>
        </w:rPr>
      </w:pPr>
      <w:r>
        <w:rPr>
          <w:b/>
        </w:rPr>
      </w:r>
    </w:p>
    <w:p>
      <w:pPr>
        <w:pStyle w:val="NoSpacing"/>
        <w:ind w:right="0" w:firstLine="708"/>
        <w:jc w:val="both"/>
        <w:rPr>
          <w:b/>
          <w:i/>
          <w:i/>
        </w:rPr>
      </w:pPr>
      <w:r>
        <w:rPr>
          <w:b/>
          <w:i/>
        </w:rPr>
        <w:t>Asupra recursului de față:</w:t>
      </w:r>
    </w:p>
    <w:p>
      <w:pPr>
        <w:pStyle w:val="NoSpacing"/>
        <w:ind w:right="0" w:firstLine="708"/>
        <w:jc w:val="both"/>
        <w:rPr/>
      </w:pPr>
      <w:r>
        <w:rPr/>
        <w:t>Din examinarea lucrărilor din dosar se constată următoarele:</w:t>
      </w:r>
    </w:p>
    <w:p>
      <w:pPr>
        <w:pStyle w:val="NoSpacing"/>
        <w:ind w:right="0" w:firstLine="708"/>
        <w:jc w:val="both"/>
        <w:rPr/>
      </w:pPr>
      <w:r>
        <w:rPr/>
        <w:t>Prin sentința nr. SC1 in data de ... pronunțată de Tribunalul ...., Secția ... a fost respinsă excepţia inadmisibilităţii acţiunii, invocată prin întâmpinare.</w:t>
      </w:r>
    </w:p>
    <w:p>
      <w:pPr>
        <w:pStyle w:val="NoSpacing"/>
        <w:ind w:right="0" w:firstLine="708"/>
        <w:jc w:val="both"/>
        <w:rPr/>
      </w:pPr>
      <w:r>
        <w:rPr/>
        <w:t>A fost respinsă acţiunea precizată formulată de reclamanţii A1 şi A2  în contradictoriu cu pârâţii Primarul Comunei B1 şi U.A.T. Comuna B1.</w:t>
      </w:r>
    </w:p>
    <w:p>
      <w:pPr>
        <w:pStyle w:val="NoSpacing"/>
        <w:ind w:right="0" w:firstLine="708"/>
        <w:jc w:val="both"/>
        <w:rPr/>
      </w:pPr>
      <w:r>
        <w:rPr>
          <w:b/>
          <w:bCs/>
          <w:i/>
          <w:iCs/>
        </w:rPr>
        <w:t>Împotriva acestei sentințe au declarat recurs reclamanţii A1 şi A2</w:t>
      </w:r>
      <w:r>
        <w:rPr/>
        <w:t xml:space="preserve"> prin care au solicitat, </w:t>
      </w:r>
      <w:r>
        <w:rPr>
          <w:color w:val="000000"/>
        </w:rPr>
        <w:t>într-o primă teză, admiterea acestuia și casarea în tot a hotărârii atacate, în sensul admiterii cererii de chemare în judecată astfel cum a fost formulată, iar într-o teză subsidiară, admiterea recursului formulat, casarea în tot a sentinței și trimiterea cauzei spre rejudecare la instanța de fond, cu acordarea cheltuielilor de judecată.</w:t>
      </w:r>
    </w:p>
    <w:p>
      <w:pPr>
        <w:pStyle w:val="NoSpacing"/>
        <w:ind w:right="0" w:firstLine="708"/>
        <w:jc w:val="both"/>
        <w:rPr/>
      </w:pPr>
      <w:r>
        <w:rPr>
          <w:color w:val="000000"/>
        </w:rPr>
        <w:t>Au considerat hotărârea Tribunalului .... ca fiind nelegală întrucât, pe de o parte, aceasta cuprinde o motivare insuficientă, prin care nu a fost analizat efectiv dreptul dedus judecății (art. 488 alin.l pct. 6 din C.pr.civ.), iar pe de altă parte aceasta a fost dată cu încălcarea sau aplicarea greșită a normelor de drept material (art. 488 alin. 1 pct. 8 din C.pr.civ.).</w:t>
      </w:r>
      <w:bookmarkStart w:name="bookmark6" w:id="0"/>
      <w:bookmarkEnd w:id="0"/>
    </w:p>
    <w:p>
      <w:pPr>
        <w:pStyle w:val="NoSpacing"/>
        <w:ind w:right="0" w:firstLine="708"/>
        <w:jc w:val="both"/>
        <w:rPr>
          <w:color w:val="000000"/>
        </w:rPr>
      </w:pPr>
      <w:r>
        <w:rPr>
          <w:color w:val="000000"/>
        </w:rPr>
        <w:t>Astfel, cu privire la primul motiv de recurs invocat, au arătat că motivarea instanței, deși există în conținutul formal al hotărârii, cuprinde o dezvoltare deosebită asupra naturii juridice a certificatului de urbanism ca act ce poate fi atacat în instanță, deși acest aspect a fost tranșat prin recursul în interesul legii, respectiv Dec. nr. 25/2017, care nu reprezintă o situație de noutate, fiind obligatorie de la momentul pronunțării, pentru toate instanțele de judecată.</w:t>
      </w:r>
    </w:p>
    <w:p>
      <w:pPr>
        <w:pStyle w:val="NoSpacing"/>
        <w:ind w:right="0" w:firstLine="708"/>
        <w:jc w:val="both"/>
        <w:rPr/>
      </w:pPr>
      <w:r>
        <w:rPr>
          <w:color w:val="000000"/>
        </w:rPr>
        <w:t>De asemenea, au arătat că în cuprinsul motivării efective un spațiu larg este acordat definițiilor legale ale certificatului de urbanism și ale planului urbanistic zonal care, în condițiile Dec. nr. 25/3017 și Dec. RIL nr. 12/2021 sunt obligatorii pentru instanțe și, în baza principiului nemo censetur</w:t>
      </w:r>
      <w:r>
        <w:rPr>
          <w:i/>
          <w:iCs/>
          <w:color w:val="000000"/>
        </w:rPr>
        <w:t xml:space="preserve"> </w:t>
      </w:r>
      <w:r>
        <w:rPr>
          <w:color w:val="000000"/>
        </w:rPr>
        <w:t>ignorarem legem, părțile din dosar nu pot invoca necunoașterea textelor legale și, implicit a jurisprudenței obligatorii.</w:t>
      </w:r>
    </w:p>
    <w:p>
      <w:pPr>
        <w:pStyle w:val="NoSpacing"/>
        <w:ind w:right="0" w:firstLine="708"/>
        <w:jc w:val="both"/>
        <w:rPr>
          <w:color w:val="000000"/>
        </w:rPr>
      </w:pPr>
      <w:r>
        <w:rPr>
          <w:color w:val="000000"/>
        </w:rPr>
        <w:t>Prin urmare, dacă s-ar face abstracție, din motivare, de aceste considerente preluate ad literam din textele legale și jurisprudența obligatorie, instanța de recurs poate observa că motivarea este rezumată la jumătate de pagină.</w:t>
      </w:r>
    </w:p>
    <w:p>
      <w:pPr>
        <w:pStyle w:val="NoSpacing"/>
        <w:ind w:right="0" w:firstLine="708"/>
        <w:jc w:val="both"/>
        <w:rPr>
          <w:color w:val="000000"/>
        </w:rPr>
      </w:pPr>
      <w:r>
        <w:rPr>
          <w:color w:val="000000"/>
        </w:rPr>
        <w:t>Conform jurisprudenței CEDO, calitatea motivării hotărârii judecătorești nu este raportată, în mod necesar, la numărul de pagini, dar este esențial ca motivarea să conțină o dezlegare efectivă a drepturilor subiective deduse judecății. Or, prin raționamentul simplist al instanței de fond, cum că certificatul de urbanism pe care-1 ataca este emis în virtutea PUZ aprobat prin HCL nr. ..../2006, pe care nu l-au contestat, fără să se pronunțe asupra celorlalte aspecte de nelegalitate invocate, motivarea instanței de fond nu îndeplinește cerințele art. 425 alin. 1 pct. b din C.pr.civ.</w:t>
      </w:r>
    </w:p>
    <w:p>
      <w:pPr>
        <w:pStyle w:val="NoSpacing"/>
        <w:ind w:right="0" w:firstLine="708"/>
        <w:jc w:val="both"/>
        <w:rPr>
          <w:color w:val="000000"/>
        </w:rPr>
      </w:pPr>
      <w:r>
        <w:rPr>
          <w:color w:val="000000"/>
        </w:rPr>
        <w:t>Astfel, instanța de fond nu a motivat asupra unor aspecte esențiale din apărare, respectiv faptul că HCL nr. ..../2006 de aprobarea a PUZ nu a fost actualizat conform art. 46 din Legea nr.350/2001, de asemenea, nu a analizat și motivat exproprierea de fapt la care sunt supuși prin limitările indicate în actul administrativ contestat, expropriere de fapt care încalcă garanțiile asupra proprietății lor private, protejată de art. 1 Protocolul 1 din CEDO, deoarece nu există o justă și prealabilă despăgubire.</w:t>
      </w:r>
    </w:p>
    <w:p>
      <w:pPr>
        <w:pStyle w:val="NoSpacing"/>
        <w:ind w:right="0" w:firstLine="708"/>
        <w:jc w:val="both"/>
        <w:rPr>
          <w:color w:val="000000"/>
        </w:rPr>
      </w:pPr>
      <w:bookmarkStart w:name="bookmark7" w:id="1"/>
      <w:bookmarkEnd w:id="1"/>
      <w:r>
        <w:rPr>
          <w:color w:val="000000"/>
        </w:rPr>
        <w:t>În ceea ce privește al doilea motiv de nelegalitate invocat, au arătat că instanța de fond a interpretat și aplicat greșit dispozițiile art. 46 din L nr. 350/2001 privind actualizarea in maxim 10 ani a PUG/PUZ, dar și caracterul legal al limitărilor aduse dreptului lor de proprietate prin certificatul de urbanism atacat, rezultând o încălcare a art. 1 Protocolul 1 din CEDO. Convenția Europeană a Drepturilor Omului reprezintă drept intern și, coroborat cu norma națională, care stabilește, prin C.civ., că dreptul de proprietate are trei atribute (posesie, folosință și dispoziție), în condițiile în care mențiunile din certificatul de urbanism aduc atingere art. 1 Protocol 1 CEDO pe atributul de folosință, dar și pe cel de dispoziție, prin retragerea de 7 m față de axul Aleii ...., inexistentă în fapt, instanța de fond a interpretat și aplicat greșit toate garanțiile CEDO în speța de față.</w:t>
      </w:r>
    </w:p>
    <w:p>
      <w:pPr>
        <w:pStyle w:val="NoSpacing"/>
        <w:ind w:right="0" w:firstLine="708"/>
        <w:jc w:val="both"/>
        <w:rPr>
          <w:color w:val="000000"/>
        </w:rPr>
      </w:pPr>
      <w:r>
        <w:rPr>
          <w:color w:val="000000"/>
        </w:rPr>
        <w:t>Or, în dreptul național nu există obligație ptr. cumpărător să afle regimul construibil al unui teren atunci când își dorește un imobil. încheierea valabilă a unui contract de vânzare-cumpărare nu este condiționată niciodată de obținerea certificatului de urbanism.</w:t>
      </w:r>
    </w:p>
    <w:p>
      <w:pPr>
        <w:pStyle w:val="NoSpacing"/>
        <w:ind w:right="0" w:firstLine="708"/>
        <w:jc w:val="both"/>
        <w:rPr/>
      </w:pPr>
      <w:r>
        <w:rPr>
          <w:color w:val="000000"/>
        </w:rPr>
        <w:t>Mai mult decât atât, împrejurarea că există un PUZ aprobat printr-o HCL al com. B1 și că se urmărește sistematizarea zonei, în care este situat imobilul reclamanților este lipsită de relevanță, câtă vreme pârâții:</w:t>
      </w:r>
      <w:bookmarkStart w:name="bookmark8" w:id="2"/>
      <w:bookmarkEnd w:id="2"/>
      <w:r>
        <w:rPr/>
        <w:t xml:space="preserve"> </w:t>
      </w:r>
      <w:r>
        <w:rPr>
          <w:color w:val="000000"/>
        </w:rPr>
        <w:t>nu au respectat obligația legală, prevăzută de art. 46 din Legea nr. 350/2001, nu au actualizat PUG-ul și, implicit, PUZ-ul, nu au reînnoit utilitatea publică pentru detaliu de sistematizare, față de care ne impune retragerea de 7 m;</w:t>
      </w:r>
      <w:bookmarkStart w:name="bookmark9" w:id="3"/>
      <w:bookmarkEnd w:id="3"/>
      <w:r>
        <w:rPr/>
        <w:t xml:space="preserve"> </w:t>
      </w:r>
      <w:r>
        <w:rPr>
          <w:color w:val="000000"/>
        </w:rPr>
        <w:t>nu au efectuat demersurile necesare în vederea exproprierii părții din imobil, conform retragerii impuse prin actul administrativ contestat pentru cauză de utilitate publică, după o justă și prealabilă despăgubire, numai în acest fel asigurându-se o protecție efectivă a dreptului reclamanților de proprietate.</w:t>
      </w:r>
    </w:p>
    <w:p>
      <w:pPr>
        <w:pStyle w:val="NoSpacing"/>
        <w:ind w:right="0" w:firstLine="708"/>
        <w:jc w:val="both"/>
        <w:rPr/>
      </w:pPr>
      <w:r>
        <w:rPr>
          <w:color w:val="000000"/>
        </w:rPr>
        <w:t>Servitutea urbană este acceptată, conf. CEDO, asupra dreptului de proprietate privată, în condițiile în care orașul se dezvoltă, iar autoritățile locale revin din timp în timp, rezonabil, asupra utilității și dezvoltării lucrării respective de urbanism, ceeace în speța de față nu se confirmă.</w:t>
      </w:r>
    </w:p>
    <w:p>
      <w:pPr>
        <w:pStyle w:val="NoSpacing"/>
        <w:ind w:right="0" w:firstLine="708"/>
        <w:jc w:val="both"/>
        <w:rPr>
          <w:color w:val="000000"/>
        </w:rPr>
      </w:pPr>
      <w:r>
        <w:rPr>
          <w:color w:val="000000"/>
        </w:rPr>
        <w:t>In acest sens, au invocat Cauza CEDO Sporrong și Lonnroth contra Suediei, care relevă aspectele sus</w:t>
        <w:softHyphen/>
        <w:t>menționate. Raportat la cauza pendinte, pârâtele nu au revenit, în termenul prevăzut de legea națională, asupra utilității și dezvoltării Aleii ...., care nu este realizată în fapt și pentru care nu există proiect de investiție pentru implementarea viziunii de dezvoltare, astfel cum este prevăzut în art. 46 alin. 1 ind. 6 din L nr. 350/20021.</w:t>
      </w:r>
    </w:p>
    <w:p>
      <w:pPr>
        <w:pStyle w:val="NoSpacing"/>
        <w:ind w:right="0" w:firstLine="708"/>
        <w:jc w:val="both"/>
        <w:rPr>
          <w:color w:val="000000"/>
        </w:rPr>
      </w:pPr>
      <w:r>
        <w:rPr>
          <w:color w:val="000000"/>
        </w:rPr>
        <w:t>Astfel, pe teren nu există niciun indiciu sau detaliu de construcție a acestui drum, situație ce determină un plus de nesiguranță privind dreptul de proprietate al reclamanților cu privire la porțiunea de teren pentru care li se impune retragerea, conducând astfel la încălcarea art. I Protocolul 1 din CEDO și impunând o sarcină disproporționată reclamanților.</w:t>
      </w:r>
    </w:p>
    <w:p>
      <w:pPr>
        <w:pStyle w:val="NoSpacing"/>
        <w:ind w:right="0" w:firstLine="708"/>
        <w:jc w:val="both"/>
        <w:rPr>
          <w:color w:val="000000"/>
        </w:rPr>
      </w:pPr>
      <w:r>
        <w:rPr>
          <w:color w:val="000000"/>
        </w:rPr>
        <w:t>Trebuie avut în vedere că reclamanții au solicitat certificatul de urbanism contestat pentru realizarea gardului împrejmuitor al proprietății unde au edificat casa, și nu pentru construcția casei. în această situație, disproporționalitatea sarcinii impuse proprietății reclamanților devine mai mare, autoritatea publică locală nerespectând obligațiile imperative mai sus-arătate.</w:t>
      </w:r>
    </w:p>
    <w:p>
      <w:pPr>
        <w:pStyle w:val="NoSpacing"/>
        <w:ind w:right="0" w:firstLine="708"/>
        <w:jc w:val="both"/>
        <w:rPr>
          <w:color w:val="000000"/>
        </w:rPr>
      </w:pPr>
      <w:r>
        <w:rPr>
          <w:color w:val="000000"/>
        </w:rPr>
        <w:t>Date fiind încălcările, de către autoritatea publică, a obligațiilor legale imperative, ulterior emiterii în 2007 a PUG și PUZ, reclamanții nu pot fi obligați să atace aceste acte, deoarece o nulitate a acestora este apreciată numai la momentul emiterii lor și nu ulterior. Or încălcările ulterioare, invocate de reclamanți. reprezintă apărări de fond în raport de actul administrativ atacat în cauză, și nu condiționează de atacarea PUZ- ului, cum greșit reține instanța de fond în considerentele hotărârii.</w:t>
      </w:r>
    </w:p>
    <w:p>
      <w:pPr>
        <w:pStyle w:val="NoSpacing"/>
        <w:ind w:right="0" w:firstLine="708"/>
        <w:jc w:val="both"/>
        <w:rPr>
          <w:color w:val="000000"/>
        </w:rPr>
      </w:pPr>
      <w:r>
        <w:rPr>
          <w:color w:val="000000"/>
        </w:rPr>
        <w:t>Un alt argument îl reprezintă greșita reținere, de către instanța de fond, a unei erori materiale în cuprinsul certificatului de urbanism contestat, referitor la suprafața totală a imobilului proprietatea reclamanților, în condițiile în care, reclamanților li se impune o restricție de construire a împrejmuirii cu efect de reducere a suprafeței totale a imobilului și cu limitarea a atributelor de folosință și dispoziție, pe suprafața impusă a fî retrasă, greșita indicare a suprafeței totale nu este o simplă eroare materială. în acest sens, reprezintă un element de nelegalitate actul administrativ contestat.</w:t>
      </w:r>
    </w:p>
    <w:p>
      <w:pPr>
        <w:pStyle w:val="NoSpacing"/>
        <w:ind w:right="0" w:firstLine="708"/>
        <w:jc w:val="both"/>
        <w:rPr>
          <w:color w:val="000000"/>
        </w:rPr>
      </w:pPr>
      <w:r>
        <w:rPr>
          <w:color w:val="000000"/>
        </w:rPr>
        <w:t>Această nelegalitate, pe un element esențial din conținutul actului administrativ atacat este cu atât mai gravă, cu cât certificatul de urbanism contestat a fost emis la mai mult de un an de la depunerea cererii, după ce aceștia au revenit cu solicitare expresă, care coroborat cu aspectele anterior reliefate, relevă atitudinea abuzivă a autorităților locale.</w:t>
      </w:r>
    </w:p>
    <w:p>
      <w:pPr>
        <w:pStyle w:val="NoSpacing"/>
        <w:ind w:right="0" w:firstLine="708"/>
        <w:jc w:val="both"/>
        <w:rPr>
          <w:color w:val="000000"/>
        </w:rPr>
      </w:pPr>
      <w:r>
        <w:rPr>
          <w:color w:val="000000"/>
        </w:rPr>
        <w:t>In dovedire, au solicitat proba cu înscrisuri.</w:t>
      </w:r>
    </w:p>
    <w:p>
      <w:pPr>
        <w:pStyle w:val="NoSpacing"/>
        <w:ind w:right="0" w:firstLine="708"/>
        <w:jc w:val="both"/>
        <w:rPr/>
      </w:pPr>
      <w:r>
        <w:rPr/>
        <w:t>Intimaţii nu au formulat întâmpinare.</w:t>
      </w:r>
    </w:p>
    <w:p>
      <w:pPr>
        <w:pStyle w:val="Normal"/>
        <w:ind w:right="0" w:firstLine="600"/>
        <w:jc w:val="both"/>
        <w:rPr>
          <w:b/>
          <w:i/>
          <w:i/>
        </w:rPr>
      </w:pPr>
      <w:r>
        <w:rPr>
          <w:b/>
          <w:i/>
        </w:rPr>
        <w:t>Examinând sentinţa, prin prisma criticilor formulate, în raport de actele şi lucrările dosarului şi de dispoziţiile legale aplicabile, Curtea constată următoarele:</w:t>
      </w:r>
    </w:p>
    <w:p>
      <w:pPr>
        <w:pStyle w:val="Normal"/>
        <w:ind w:right="0" w:firstLine="709"/>
        <w:jc w:val="both"/>
        <w:rPr/>
      </w:pPr>
      <w:r>
        <w:rPr/>
        <w:t>Obiectul acţiunii este anularea Certificatului de urbanism nr ....9 emis la 15.06.2020.</w:t>
      </w:r>
    </w:p>
    <w:p>
      <w:pPr>
        <w:pStyle w:val="Normal"/>
        <w:ind w:right="0" w:firstLine="709"/>
        <w:jc w:val="both"/>
        <w:rPr/>
      </w:pPr>
      <w:r>
        <w:rPr/>
        <w:t>Tribunalul a respins acţiunea.</w:t>
      </w:r>
    </w:p>
    <w:p>
      <w:pPr>
        <w:pStyle w:val="Normal"/>
        <w:ind w:right="0" w:firstLine="708"/>
        <w:jc w:val="both"/>
        <w:rPr>
          <w:lang w:val="en-US" w:eastAsia="en-US"/>
        </w:rPr>
      </w:pPr>
      <w:r>
        <w:rPr>
          <w:lang w:val="en-US" w:eastAsia="en-US"/>
        </w:rPr>
        <w:t>Cu privire la motivele contradictorii ale sentinţei recurate, motiv de recurs prev. de disp. art. 488 pct.6 N.C.p.c. şi care  se referă la cazul în care hotărârea nu cuprinde motivele pe care se sprijină sau când aceasta cuprinde motive contradictorii ori străine de natura pricinii, Curtea reţine că, textul art. 425 C.proc.civ. consacră principiul potrivit căruia hotărârile trebuie să fie motivate, iar nerespectarea acestui principiu constituie motiv de casare potrivit art. 488 pct. 6 N.C.proc.civ., rolul acestui text fiind acela de a se asigura o bună administrare a justiţiei şi pentru a se putea exercita controlul judiciar de către instanţele superioare.</w:t>
      </w:r>
    </w:p>
    <w:p>
      <w:pPr>
        <w:pStyle w:val="Normal"/>
        <w:jc w:val="both"/>
        <w:rPr/>
      </w:pPr>
      <w:r>
        <w:rPr>
          <w:lang w:val="en-US" w:eastAsia="en-US"/>
        </w:rPr>
        <w:tab/>
        <w:t>În speţă, instanţa de control judiciar constată că cererea a fost analizată în raport de motivele prezentate în acţiunea dedusă judecăţii şi de argumentele aduse, iar motivarea hotărârii recurate îndeplineşte cerinţele art. 425 C.proc.civ., făcând posibilă exercitarea controlului judiciar, astfel încât incidenţa motivului de recurs prevăzut de art. 488 pct. 6 C.proc.civ. nu poate fi reţinută.</w:t>
      </w:r>
    </w:p>
    <w:p>
      <w:pPr>
        <w:pStyle w:val="NoSpacing"/>
        <w:ind w:right="0" w:firstLine="708"/>
        <w:jc w:val="both"/>
        <w:rPr>
          <w:color w:val="000000"/>
        </w:rPr>
      </w:pPr>
      <w:r>
        <w:rPr>
          <w:color w:val="000000"/>
        </w:rPr>
        <w:t>În ceea ce privește al doilea motiv de nelegalitate invocat, au arătat că instanța de fond a interpretat și aplicat greșit dispozițiile art. 46 din L nr. 350/2001 privind actualizarea in maxim 10 ani a PUG/PUZ, dar și caracterul legal al limitărilor aduse dreptului lor de proprietate prin certificatul de urbanism atacat, rezultând o încălcare a art. 1 Protocolul 1 din CEDO. Convenția Europeană a Drepturilor Omului reprezintă drept intern și, coroborat cu norma națională, care stabilește, prin C.civ., că dreptul de proprietate are trei atribute (posesie, folosință și dispoziție), în condițiile în care mențiunile din certificatul de urbanism aduc atingere art. 1 Protocol 1 CEDO pe atributul de folosință, dar și pe cel de dispoziție, prin retragerea de 7 m față de axul Aleii ...., inexistentă în fapt, instanța de fond a interpretat și aplicat greșit toate garanțiile CEDO în speța de față.</w:t>
      </w:r>
    </w:p>
    <w:p>
      <w:pPr>
        <w:pStyle w:val="Normal"/>
        <w:ind w:right="0" w:firstLine="708"/>
        <w:jc w:val="both"/>
        <w:rPr/>
      </w:pPr>
      <w:r>
        <w:rPr/>
        <w:t>Certificatul de urbanism nr. ....9/2021 a fost emis în temeiul reglementărilor de urbanism nr. ...B/2006, faza PUZ, aprobată prin HCL B1 nr. ..../2006.</w:t>
      </w:r>
    </w:p>
    <w:p>
      <w:pPr>
        <w:pStyle w:val="Normal"/>
        <w:ind w:right="0" w:firstLine="708"/>
        <w:jc w:val="both"/>
        <w:rPr/>
      </w:pPr>
      <w:r>
        <w:rPr/>
        <w:t>Potrivit  art. 2 alin. 2 din Lg. nr. 50/1991, autorizaţia de construire se emite în baza documentaţiei pentru autorizarea executării lucrărilor de construcţii, elaborată în condiţiile prezentei legi, în temeiul şi cu respectarea prevederilor documentaţiilor de urbanism, avizate şi aprobate potrivit legii (cu sublinierea că în prezenta cauză, aşa cum s-a avut în vedere anterior, certificatul de urbanism atacat nu mai era susceptibil de a fi urmat de emiterea unei autorizaţii de construire).</w:t>
      </w:r>
    </w:p>
    <w:p>
      <w:pPr>
        <w:pStyle w:val="Normal"/>
        <w:ind w:right="0" w:firstLine="708"/>
        <w:jc w:val="both"/>
        <w:rPr/>
      </w:pPr>
      <w:r>
        <w:rPr/>
        <w:t xml:space="preserve">Certificatul de urbanism este actul de informare prin care autorităţile fac cunoscute solicitantului informaţiile privind regimul juridic, economic şi tehnic al terenurilor şi construcţiilor existente la data solicitării, </w:t>
      </w:r>
    </w:p>
    <w:p>
      <w:pPr>
        <w:pStyle w:val="Normal"/>
        <w:ind w:right="0" w:firstLine="708"/>
        <w:jc w:val="both"/>
        <w:rPr/>
      </w:pPr>
      <w:r>
        <w:rPr/>
        <w:t>Prin Hotărârea de consiliu local nr. ..../2006 a fost aprobat Planul Urbanistic Zonal care vizează inclusiv T 80 din intravilanul com. B1, unde se află amplasat terenul proprietatea recurenţilor.</w:t>
      </w:r>
    </w:p>
    <w:p>
      <w:pPr>
        <w:pStyle w:val="Normal"/>
        <w:ind w:right="0" w:firstLine="708"/>
        <w:jc w:val="both"/>
        <w:rPr/>
      </w:pPr>
      <w:r>
        <w:rPr/>
        <w:t>Potrivit prevederilor art. 46 alin.1 din Legea nr. 350/2001 fiecare unitate administrativ-teritorială trebuie să îşi actualizeze la maximum 10 ani Planul Urbanistic General în funcţie de evoluţia previzibilă a factorilor sociali, geografici, economici, culturali şi a necesităţilor locale.</w:t>
      </w:r>
    </w:p>
    <w:p>
      <w:pPr>
        <w:pStyle w:val="Normal"/>
        <w:ind w:right="0" w:firstLine="708"/>
        <w:jc w:val="both"/>
        <w:rPr/>
      </w:pPr>
      <w:r>
        <w:rPr/>
        <w:t xml:space="preserve">O </w:t>
      </w:r>
      <w:r>
        <w:rPr>
          <w:bCs/>
        </w:rPr>
        <w:t>dată cu intrarea în vigoare a OUG nr. 51/2018, termenul de valabilitate menționat anterior poate fi prelungit prin hotărâre a Consiliului Local/Consiliului General al Municipiului Bucureşti până la intrarea în vigoare a noului plan urbanistic general, cu condiţia iniţierii demersurilor de elaborare/actualizare a planului urbanistic general înainte de expirarea termenului de valabilitate.</w:t>
      </w:r>
    </w:p>
    <w:p>
      <w:pPr>
        <w:pStyle w:val="Normal"/>
        <w:ind w:right="0" w:firstLine="708"/>
        <w:jc w:val="both"/>
        <w:rPr/>
      </w:pPr>
      <w:r>
        <w:rPr/>
        <w:t>Pe cale de consecință, rămâne la latitudinea autorităților publice competente termenul și modalitatea de elaborare a strategiei de dezvoltare prin intermediul PUG.</w:t>
      </w:r>
    </w:p>
    <w:p>
      <w:pPr>
        <w:pStyle w:val="Normal"/>
        <w:ind w:right="0" w:firstLine="708"/>
        <w:jc w:val="both"/>
        <w:rPr/>
      </w:pPr>
      <w:r>
        <w:rPr/>
        <w:t>Mai mult, limitările aduse la cunoştinţa reclamanţilor prin Certificatul de urbanism nr. ....9/2021 sub aspectul retragerilor impuse împrejmuirii de la axul drumurilor – Aleea VI .... şi Strada .... – se regăsesc în Planul de urbanism zonal adoptat prin HCL nr. ..../2006, care nu a fost contestat.</w:t>
      </w:r>
    </w:p>
    <w:p>
      <w:pPr>
        <w:pStyle w:val="NoSpacing"/>
        <w:ind w:right="0" w:firstLine="708"/>
        <w:jc w:val="both"/>
        <w:rPr>
          <w:color w:val="000000"/>
        </w:rPr>
      </w:pPr>
      <w:r>
        <w:rPr>
          <w:color w:val="000000"/>
        </w:rPr>
        <w:t>Cu privire la  greșita reținere a suprafeţei  imobilului proprietatea reclamanților, în condițiile în care, reclamanților li se impune o restricție de construire a împrejmuirii cu efect de reducere a suprafeței totale a imobilului și cu limitarea a atributelor de folosință și dispoziție, pe suprafața impusă a fî retrasă, greșita indicare a suprafeței totale nu reprezintă un element de nelegalitate actul administrativ contestat, certificatul respectând dispoziţiile legale în vigoare.</w:t>
      </w:r>
    </w:p>
    <w:p>
      <w:pPr>
        <w:pStyle w:val="Normal"/>
        <w:autoSpaceDE w:val="false"/>
        <w:ind w:right="0" w:firstLine="630"/>
        <w:jc w:val="both"/>
        <w:rPr/>
      </w:pPr>
      <w:r>
        <w:rPr/>
        <w:t>Cum temeiul acţiunii reclamanţilor-recurenţi nu are fundament legal, instanţa de fond a dispus respingerea acţiunii, hotărâre ce urmează a fi menţinută prin respingerea recursului, în baza dispoziţiilor art.496 alineat 1 din Codul de procedură civilă.</w:t>
      </w:r>
    </w:p>
    <w:p>
      <w:pPr>
        <w:pStyle w:val="Normal"/>
        <w:ind w:right="0" w:firstLine="600"/>
        <w:jc w:val="center"/>
        <w:rPr>
          <w:b/>
        </w:rPr>
      </w:pPr>
      <w:r>
        <w:rPr>
          <w:b/>
        </w:rPr>
      </w:r>
    </w:p>
    <w:p>
      <w:pPr>
        <w:pStyle w:val="Normal"/>
        <w:rPr>
          <w:b/>
        </w:rPr>
      </w:pPr>
      <w:r>
        <w:rPr>
          <w:b/>
        </w:rPr>
      </w:r>
    </w:p>
    <w:p>
      <w:pPr>
        <w:pStyle w:val="Normal"/>
        <w:jc w:val="center"/>
        <w:rPr>
          <w:b/>
        </w:rPr>
      </w:pPr>
      <w:r>
        <w:rPr>
          <w:b/>
        </w:rPr>
        <w:t>PENTRU ACESTE MOTIVE,</w:t>
        <w:br/>
        <w:t>ÎN NUMELE LEGII</w:t>
      </w:r>
    </w:p>
    <w:p>
      <w:pPr>
        <w:pStyle w:val="Normal"/>
        <w:jc w:val="center"/>
        <w:rPr>
          <w:b/>
        </w:rPr>
      </w:pPr>
      <w:r>
        <w:rPr>
          <w:b/>
        </w:rPr>
        <w:t>DECIDE:</w:t>
      </w:r>
    </w:p>
    <w:p>
      <w:pPr>
        <w:pStyle w:val="Normal"/>
        <w:rPr>
          <w:b/>
        </w:rPr>
      </w:pPr>
      <w:r>
        <w:rPr>
          <w:b/>
        </w:rPr>
      </w:r>
    </w:p>
    <w:p>
      <w:pPr>
        <w:pStyle w:val="Normal"/>
        <w:ind w:right="0" w:firstLine="709"/>
        <w:jc w:val="both"/>
        <w:rPr/>
      </w:pPr>
      <w:r>
        <w:rPr/>
        <w:t>Respinge recursul declarat împotriva</w:t>
      </w:r>
      <w:r>
        <w:rPr>
          <w:i/>
        </w:rPr>
        <w:t xml:space="preserve"> sentinței civile nr.SC1 din data de ... pronunţată de Tribunalul ...– Secţia...., în dosarul nr.D1 </w:t>
      </w:r>
      <w:r>
        <w:rPr/>
        <w:t xml:space="preserve">de </w:t>
      </w:r>
      <w:r>
        <w:rPr>
          <w:b/>
        </w:rPr>
        <w:t>recurenţii reclamanţi</w:t>
      </w:r>
      <w:r>
        <w:rPr/>
        <w:t xml:space="preserve"> </w:t>
      </w:r>
      <w:r>
        <w:rPr>
          <w:b/>
        </w:rPr>
        <w:t xml:space="preserve">A1, A2, </w:t>
      </w:r>
      <w:r>
        <w:rPr/>
        <w:t>ambii domiciliaţi în ..., strada .... jud. ....,</w:t>
      </w:r>
      <w:r>
        <w:rPr>
          <w:b/>
        </w:rPr>
        <w:t xml:space="preserve"> </w:t>
      </w:r>
      <w:r>
        <w:rPr/>
        <w:t xml:space="preserve">în contradictoriu cu </w:t>
      </w:r>
      <w:r>
        <w:rPr>
          <w:b/>
        </w:rPr>
        <w:t xml:space="preserve">intimaţii pârâţi COMUNA B1, PRIMARUL  COM. B1, </w:t>
      </w:r>
      <w:r>
        <w:rPr/>
        <w:t>cu sediul în comuna B1, strada /.... nr.... jud. ....,</w:t>
      </w:r>
      <w:r>
        <w:rPr>
          <w:b/>
        </w:rPr>
        <w:t xml:space="preserve"> </w:t>
      </w:r>
      <w:r>
        <w:rPr/>
        <w:t>ca nefondat.</w:t>
      </w:r>
    </w:p>
    <w:p>
      <w:pPr>
        <w:pStyle w:val="Normal"/>
        <w:ind w:right="0" w:firstLine="709"/>
        <w:rPr/>
      </w:pPr>
      <w:r>
        <w:rPr/>
        <w:t>Definitivă.</w:t>
      </w:r>
    </w:p>
    <w:p>
      <w:pPr>
        <w:pStyle w:val="Normal"/>
        <w:ind w:right="0" w:firstLine="709"/>
        <w:rPr/>
      </w:pPr>
      <w:r>
        <w:rPr/>
        <w:t>Pronunţată la ..... prin punerea soluţiei la dispoziţia părţilor prin grefa Curţii.</w:t>
      </w:r>
    </w:p>
    <w:p>
      <w:pPr>
        <w:pStyle w:val="Normal"/>
        <w:jc w:val="center"/>
        <w:rPr>
          <w:b/>
          <w:lang w:val="en-US" w:eastAsia="en-US"/>
        </w:rPr>
      </w:pPr>
      <w:r>
        <w:rPr>
          <w:b/>
          <w:lang w:val="en-US" w:eastAsia="en-US"/>
        </w:rPr>
      </w:r>
      <w:r>
        <w:rPr>
          <w:b/>
          <w:lang w:val="en-US" w:eastAsia="en-US"/>
        </w:rPr>
      </w:r>
      <w:r>
        <w:rPr>
          <w:b/>
          <w:lang w:val="en-US" w:eastAsia="en-US"/>
        </w:rPr>
      </w:r>
      <w:r>
        <w:t>  </w:t>
      </w:r>
      <w:r>
        <w:rPr>
          <w:b/>
          <w:lang w:val="en-US" w:eastAsia="en-US"/>
        </w:rPr>
      </w:r>
    </w:p>
    <w:tbl>
      <w:tblPr>
        <w:tblW w:w="9286" w:type="dxa"/>
        <w:jc w:val="center"/>
        <w:tblInd w:w="0" w:type="dxa"/>
        <w:tblLayout w:type="fixed"/>
        <w:tblCellMar>
          <w:top w:w="284" w:type="dxa"/>
          <w:left w:w="108" w:type="dxa"/>
          <w:bottom w:w="284" w:type="dxa"/>
          <w:right w:w="108" w:type="dxa"/>
        </w:tblCellMar>
      </w:tblPr>
      <w:tblGrid>
        <w:gridCol w:w="3096"/>
        <w:gridCol w:w="3095"/>
        <w:gridCol w:w="3095"/>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lang w:val="en-US" w:eastAsia="en-US"/>
              </w:rPr>
            </w:pPr>
            <w:r>
              <w:rPr>
                <w:b/>
                <w:lang w:val="en-US" w:eastAsia="en-US"/>
              </w:rPr>
              <w:t>Preşedinte,</w:t>
            </w:r>
          </w:p>
          <w:p>
            <w:pPr>
              <w:pStyle w:val="Normal"/>
              <w:jc w:val="center"/>
              <w:rPr>
                <w:b/>
                <w:lang w:val="en-US" w:eastAsia="en-US"/>
              </w:rPr>
            </w:pPr>
            <w:r>
              <w:rPr>
                <w:b/>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b/>
                <w:lang w:val="en-US" w:eastAsia="en-US"/>
              </w:rPr>
            </w:pPr>
            <w:r>
              <w:rPr>
                <w:b/>
                <w:lang w:val="en-US" w:eastAsia="en-US"/>
              </w:rPr>
              <w:t>pentru Judecător,</w:t>
            </w:r>
          </w:p>
          <w:p>
            <w:pPr>
              <w:pStyle w:val="Normal"/>
              <w:jc w:val="center"/>
              <w:rPr>
                <w:b/>
                <w:lang w:val="en-US" w:eastAsia="en-US"/>
              </w:rPr>
            </w:pPr>
            <w:r>
              <w:rPr>
                <w:b/>
                <w:lang w:val="en-US" w:eastAsia="en-US"/>
              </w:rPr>
              <w:t>A0006, aflat în CM, semnează preşedinte complet</w:t>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b/>
                <w:lang w:val="en-US" w:eastAsia="en-US"/>
              </w:rPr>
            </w:pPr>
            <w:r>
              <w:rPr>
                <w:b/>
                <w:lang w:val="en-US" w:eastAsia="en-US"/>
              </w:rPr>
              <w:t>Judecător,</w:t>
            </w:r>
          </w:p>
          <w:p>
            <w:pPr>
              <w:pStyle w:val="Normal"/>
              <w:jc w:val="center"/>
              <w:rPr>
                <w:b/>
                <w:lang w:val="en-US" w:eastAsia="en-US"/>
              </w:rPr>
            </w:pPr>
            <w:r>
              <w:rPr>
                <w:b/>
                <w:lang w:val="en-US" w:eastAsia="en-US"/>
              </w:rPr>
              <w:t>...</w:t>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b/>
                <w:lang w:val="en-US" w:eastAsia="en-US"/>
              </w:rPr>
            </w:pPr>
            <w:r>
              <w:rPr>
                <w:b/>
                <w:lang w:val="en-US" w:eastAsia="en-US"/>
              </w:rPr>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b/>
                <w:lang w:val="en-US" w:eastAsia="en-US"/>
              </w:rPr>
            </w:pPr>
            <w:r>
              <w:rPr>
                <w:b/>
                <w:lang w:val="en-US" w:eastAsia="en-US"/>
              </w:rPr>
              <w:t>Grefier,</w:t>
            </w:r>
          </w:p>
          <w:p>
            <w:pPr>
              <w:pStyle w:val="Normal"/>
              <w:jc w:val="center"/>
              <w:rPr>
                <w:b/>
                <w:lang w:val="en-US" w:eastAsia="en-US"/>
              </w:rPr>
            </w:pPr>
            <w:r>
              <w:rPr>
                <w:b/>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b/>
                <w:lang w:val="en-US" w:eastAsia="en-US"/>
              </w:rPr>
            </w:pPr>
            <w:r>
              <w:rPr>
                <w:b/>
                <w:lang w:val="en-US" w:eastAsia="en-US"/>
              </w:rPr>
            </w:r>
          </w:p>
        </w:tc>
      </w:tr>
    </w:tbl>
    <w:p>
      <w:pPr>
        <w:pStyle w:val="Normal"/>
        <w:jc w:val="center"/>
        <w:rPr>
          <w:b/>
          <w:lang w:val="en-US" w:eastAsia="en-US"/>
        </w:rPr>
      </w:pPr>
      <w:r>
        <w:rPr>
          <w:b/>
          <w:lang w:val="en-US" w:eastAsia="en-US"/>
        </w:rPr>
        <w:t>   </w:t>
      </w:r>
      <w:r>
        <w:rPr/>
      </w:r>
      <w:r>
        <w:rPr/>
      </w:r>
    </w:p>
    <w:p>
      <w:pPr>
        <w:pStyle w:val="Normal"/>
        <w:jc w:val="center"/>
        <w:rPr>
          <w:b/>
        </w:rPr>
      </w:pPr>
      <w:r>
        <w:rPr>
          <w:b/>
        </w:rPr>
      </w:r>
    </w:p>
    <w:p>
      <w:pPr>
        <w:pStyle w:val="Normal"/>
        <w:rPr>
          <w:b/>
          <w:i/>
          <w:i/>
          <w:sz w:val="20"/>
          <w:szCs w:val="20"/>
        </w:rPr>
      </w:pPr>
      <w:r>
        <w:rPr>
          <w:b/>
          <w:i/>
          <w:sz w:val="20"/>
          <w:szCs w:val="20"/>
        </w:rPr>
        <w:t>Red. jud. A0006</w:t>
      </w:r>
    </w:p>
    <w:p>
      <w:pPr>
        <w:pStyle w:val="Normal"/>
        <w:rPr>
          <w:b/>
          <w:i/>
          <w:i/>
          <w:sz w:val="20"/>
          <w:szCs w:val="20"/>
        </w:rPr>
      </w:pPr>
      <w:r>
        <w:rPr>
          <w:b/>
          <w:i/>
          <w:sz w:val="20"/>
          <w:szCs w:val="20"/>
        </w:rPr>
        <w:t xml:space="preserve">Tehnored.... </w:t>
      </w:r>
    </w:p>
    <w:p>
      <w:pPr>
        <w:pStyle w:val="Normal"/>
        <w:rPr>
          <w:b/>
          <w:i/>
          <w:i/>
          <w:sz w:val="20"/>
          <w:szCs w:val="20"/>
        </w:rPr>
      </w:pPr>
      <w:r>
        <w:rPr>
          <w:b/>
          <w:i/>
          <w:sz w:val="20"/>
          <w:szCs w:val="20"/>
        </w:rPr>
        <w:t>Jud. fond ....</w:t>
      </w:r>
    </w:p>
    <w:p>
      <w:pPr>
        <w:pStyle w:val="Normal"/>
        <w:rPr>
          <w:b/>
          <w:i/>
          <w:i/>
          <w:sz w:val="20"/>
          <w:szCs w:val="20"/>
        </w:rPr>
      </w:pPr>
      <w:r>
        <w:rPr>
          <w:b/>
          <w:i/>
          <w:sz w:val="20"/>
          <w:szCs w:val="20"/>
        </w:rPr>
      </w:r>
    </w:p>
    <w:sectPr>
      <w:footerReference w:type="default" r:id="rId2"/>
      <w:type w:val="nextPage"/>
      <w:pgSz w:w="11906" w:h="16838"/>
      <w:pgMar w:top="851" w:right="851" w:bottom="851" w:left="1985" w:header="0" w:footer="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ourier New">
    <w:charset w:val="00"/>
    <w:family w:val="modern"/>
    <w:pitch w:val="default"/>
  </w:font>
  <w:font w:name="Wingdings">
    <w:charset w:val="02"/>
    <w:family w:val="auto"/>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5</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mirrorMargins/>
  <w:defaultTabStop w:val="709"/>
  <w:autoHyphenation w:val="true"/>
  <w:compat>
    <w:doNotBreakWrappedTables/>
    <w:compatSetting w:name="compatibilityMode" w:uri="http://schemas.microsoft.com/office/word" w:val="12"/>
  </w:compat>
  <w:docVars>
    <w:docVar w:name="url" w:val="http://10.19.48.53:80/ecris_cdms/document_upload.aspx?id_document=5400000001642499&amp;id_departament=5&amp;id_sesiune=2433986&amp;id_user=25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FreeSans"/>
        <w:sz w:val="24"/>
        <w:szCs w:val="24"/>
        <w:lang w:val="en-US" w:eastAsia="zh-CN" w:bidi="hi-IN"/>
      </w:rPr>
    </w:rPrDefault>
    <w:pPrDefault>
      <w:pPr>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ing1">
    <w:name w:val="Heading 1"/>
    <w:basedOn w:val="Normal"/>
    <w:next w:val="Normal"/>
    <w:qFormat/>
    <w:pPr>
      <w:keepNext w:val="true"/>
      <w:numPr>
        <w:ilvl w:val="0"/>
        <w:numId w:val="1"/>
      </w:numPr>
      <w:jc w:val="center"/>
      <w:outlineLvl w:val="0"/>
    </w:pPr>
    <w:rPr>
      <w:b/>
      <w:bCs/>
      <w:sz w:val="28"/>
      <w:szCs w:val="15"/>
      <w:lang w:val="en-US"/>
    </w:rPr>
  </w:style>
  <w:style w:type="character" w:styleId="WW8Num1z0">
    <w:name w:val="WW8Num1z0"/>
    <w:qFormat/>
    <w:rPr>
      <w:rFonts w:ascii="Symbol" w:hAnsi="Symbol" w:cs="Symbol"/>
      <w:sz w:val="20"/>
    </w:rPr>
  </w:style>
  <w:style w:type="character" w:styleId="WW8Num1z1">
    <w:name w:val="WW8Num1z1"/>
    <w:qFormat/>
    <w:rPr>
      <w:rFonts w:ascii="Courier New" w:hAnsi="Courier New" w:cs="Courier New"/>
      <w:sz w:val="20"/>
    </w:rPr>
  </w:style>
  <w:style w:type="character" w:styleId="WW8Num1z2">
    <w:name w:val="WW8Num1z2"/>
    <w:qFormat/>
    <w:rPr>
      <w:rFonts w:ascii="Wingdings" w:hAnsi="Wingdings" w:cs="Wingdings"/>
      <w:sz w:val="20"/>
    </w:rPr>
  </w:style>
  <w:style w:type="character" w:styleId="WW8Num2z0">
    <w:name w:val="WW8Num2z0"/>
    <w:qFormat/>
    <w:rPr>
      <w:rFonts w:ascii="Symbol" w:hAnsi="Symbol" w:cs="Symbol"/>
      <w:sz w:val="20"/>
    </w:rPr>
  </w:style>
  <w:style w:type="character" w:styleId="WW8Num2z1">
    <w:name w:val="WW8Num2z1"/>
    <w:qFormat/>
    <w:rPr>
      <w:rFonts w:ascii="Courier New" w:hAnsi="Courier New" w:cs="Courier New"/>
      <w:sz w:val="20"/>
    </w:rPr>
  </w:style>
  <w:style w:type="character" w:styleId="WW8Num2z2">
    <w:name w:val="WW8Num2z2"/>
    <w:qFormat/>
    <w:rPr>
      <w:rFonts w:ascii="Wingdings" w:hAnsi="Wingdings" w:cs="Wingdings"/>
      <w:sz w:val="20"/>
    </w:rPr>
  </w:style>
  <w:style w:type="character" w:styleId="DefaultParagraphFont">
    <w:name w:val="Default Paragraph Font"/>
    <w:qFormat/>
    <w:rPr/>
  </w:style>
  <w:style w:type="character" w:styleId="HeaderChar">
    <w:name w:val="Header Char"/>
    <w:qFormat/>
    <w:rPr>
      <w:sz w:val="24"/>
      <w:szCs w:val="24"/>
    </w:rPr>
  </w:style>
  <w:style w:type="character" w:styleId="FooterChar">
    <w:name w:val="Footer Char"/>
    <w:qFormat/>
    <w:rPr>
      <w:sz w:val="24"/>
      <w:szCs w:val="24"/>
    </w:rPr>
  </w:style>
  <w:style w:type="character" w:styleId="spctbdy">
    <w:name w:val="s_pct_bdy"/>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536" w:leader="none"/>
        <w:tab w:val="right" w:pos="9072" w:leader="none"/>
      </w:tabs>
    </w:pPr>
    <w:rPr/>
  </w:style>
  <w:style w:type="paragraph" w:styleId="Footer">
    <w:name w:val="Footer"/>
    <w:basedOn w:val="Normal"/>
    <w:pPr>
      <w:tabs>
        <w:tab w:val="clear" w:pos="709"/>
        <w:tab w:val="center" w:pos="4536" w:leader="none"/>
        <w:tab w:val="right" w:pos="9072"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
  <ap:SharedDoc>false</ap:SharedDoc>
  <ap:LinksUpToDate>false</ap:LinksUpToDate>
  <ap:HyperlinkBase/>
  <ap:Manager/>
  <ap:Company/>
  <ap:TotalTime>64</ap:TotalTime>
  <ap:Application>LibreOffice/24.2.7.2$Linux_X86_64 LibreOffice_project/420$Build-2</ap:Application>
  <ap:AppVersion>15.0000</ap:AppVersion>
  <ap:Pages>5</ap:Pages>
  <ap:Words>2370</ap:Words>
  <ap:Characters>13553</ap:Characters>
  <ap:CharactersWithSpaces>15877</ap:CharactersWithSpaces>
  <ap:Paragraphs>79</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keywords/>
  <dc:language/>
  <lastModifiedBy/>
  <revision/>
  <dc:subject/>
  <dc:title/>
  <category/>
  <contentStatus/>
  <dc:identifier/>
  <version/>
</coreProperties>
</file>