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002447ED" w:rsidP="002447ED">
      <w:pPr>
        <w:rPr>
          <w:b/>
        </w:rPr>
      </w:pPr>
      <w:r>
        <w:rPr>
          <w:b/>
        </w:rPr>
        <w:t xml:space="preserve">         HOTĂRÂREA NR. 8</w:t>
      </w:r>
      <w:r>
        <w:rPr>
          <w:b/>
        </w:rPr>
        <w:t xml:space="preserve">                                                         CANDIDAT  A0009</w:t>
      </w:r>
    </w:p>
    <w:p w:rsidR="00421F5C">
      <w:pPr>
        <w:ind w:firstLine="567"/>
        <w:rPr>
          <w:rStyle w:val="Fontdeparagrafimplicit"/>
          <w:sz w:val="16"/>
        </w:rPr>
      </w:pPr>
      <w:r>
        <w:rPr>
          <w:rStyle w:val="Fontdeparagrafimplicit"/>
          <w:sz w:val="16"/>
        </w:rPr>
        <w:t>Acesta nu este document finalizat</w:t>
      </w:r>
    </w:p>
    <w:p w:rsidR="00421F5C">
      <w:pPr>
        <w:ind w:firstLine="567"/>
        <w:rPr>
          <w:rStyle w:val="Fontdeparagrafimplicit"/>
          <w:sz w:val="16"/>
        </w:rPr>
      </w:pPr>
      <w:r>
        <w:rPr>
          <w:rStyle w:val="Fontdeparagrafimplicit"/>
          <w:sz w:val="16"/>
        </w:rPr>
        <w:t>Cod ECLI    ECLI:RO:</w:t>
      </w:r>
      <w:r w:rsidR="008C34E2">
        <w:rPr>
          <w:rStyle w:val="Fontdeparagrafimplicit"/>
          <w:sz w:val="16"/>
        </w:rPr>
        <w:t>............</w:t>
      </w:r>
    </w:p>
    <w:p w:rsidR="00421F5C">
      <w:pPr>
        <w:ind w:firstLine="567"/>
        <w:rPr>
          <w:rStyle w:val="Fontdeparagrafimplicit"/>
          <w:b/>
        </w:rPr>
      </w:pPr>
      <w:r>
        <w:rPr>
          <w:rStyle w:val="Fontdeparagrafimplicit"/>
          <w:b/>
        </w:rPr>
        <w:t xml:space="preserve">Dosar nr. </w:t>
      </w:r>
      <w:r w:rsidR="008C34E2">
        <w:rPr>
          <w:rStyle w:val="Fontdeparagrafimplicit"/>
          <w:b/>
        </w:rPr>
        <w:t>............</w:t>
      </w:r>
    </w:p>
    <w:p w:rsidR="00421F5C">
      <w:pPr>
        <w:ind w:firstLine="567"/>
        <w:rPr>
          <w:rStyle w:val="Fontdeparagrafimplicit"/>
        </w:rPr>
      </w:pPr>
    </w:p>
    <w:p w:rsidR="00421F5C">
      <w:pPr>
        <w:ind w:firstLine="567"/>
        <w:jc w:val="center"/>
      </w:pPr>
      <w:r>
        <w:t>R O M Â N I A</w:t>
      </w:r>
    </w:p>
    <w:p w:rsidR="00421F5C">
      <w:pPr>
        <w:ind w:firstLine="567"/>
        <w:jc w:val="center"/>
      </w:pPr>
      <w:r>
        <w:t xml:space="preserve">CURTEA DE APEL </w:t>
      </w:r>
      <w:r w:rsidR="008C34E2">
        <w:t>...........</w:t>
      </w:r>
    </w:p>
    <w:p w:rsidR="00421F5C">
      <w:pPr>
        <w:ind w:firstLine="567"/>
        <w:jc w:val="center"/>
      </w:pPr>
      <w:r>
        <w:t xml:space="preserve">SECŢIA </w:t>
      </w:r>
      <w:r w:rsidR="008C34E2">
        <w:t>.............</w:t>
      </w:r>
      <w:r>
        <w:t>CONTENCIOS ADMINISTRATIV ŞI FISCAL</w:t>
      </w:r>
    </w:p>
    <w:p w:rsidR="00421F5C">
      <w:pPr>
        <w:ind w:firstLine="567"/>
        <w:jc w:val="center"/>
        <w:rPr>
          <w:rStyle w:val="Fontdeparagrafimplicit"/>
          <w:b/>
        </w:rPr>
      </w:pPr>
      <w:r>
        <w:rPr>
          <w:rStyle w:val="Fontdeparagrafimplicit"/>
          <w:b/>
        </w:rPr>
        <w:t>SENTINŢA CIVILĂ NR..........</w:t>
      </w:r>
    </w:p>
    <w:p w:rsidR="00421F5C">
      <w:pPr>
        <w:ind w:firstLine="567"/>
        <w:jc w:val="center"/>
        <w:rPr>
          <w:rStyle w:val="Fontdeparagrafimplicit"/>
          <w:b/>
        </w:rPr>
      </w:pPr>
      <w:r>
        <w:rPr>
          <w:rStyle w:val="Fontdeparagrafimplicit"/>
          <w:b/>
        </w:rPr>
        <w:t xml:space="preserve">Şedinţa publică de la </w:t>
      </w:r>
      <w:r w:rsidR="008C34E2">
        <w:rPr>
          <w:rStyle w:val="Fontdeparagrafimplicit"/>
          <w:b/>
        </w:rPr>
        <w:t>............</w:t>
      </w:r>
    </w:p>
    <w:p w:rsidR="00421F5C">
      <w:pPr>
        <w:ind w:firstLine="567"/>
        <w:jc w:val="center"/>
      </w:pPr>
      <w:r>
        <w:t>Curtea constituită din:</w:t>
      </w:r>
    </w:p>
    <w:p w:rsidR="00421F5C">
      <w:pPr>
        <w:ind w:firstLine="567"/>
        <w:jc w:val="center"/>
      </w:pPr>
      <w:r>
        <w:t xml:space="preserve">   PREŞEDINTE: </w:t>
      </w:r>
      <w:r w:rsidR="008C34E2">
        <w:t>CANDIDAT A0009</w:t>
      </w:r>
    </w:p>
    <w:p w:rsidR="00421F5C">
      <w:pPr>
        <w:ind w:firstLine="567"/>
        <w:jc w:val="center"/>
      </w:pPr>
      <w:r>
        <w:t xml:space="preserve">             GREFIER: </w:t>
      </w:r>
      <w:r w:rsidR="008C34E2">
        <w:t>.......................</w:t>
      </w:r>
    </w:p>
    <w:p w:rsidR="00421F5C">
      <w:pPr>
        <w:ind w:firstLine="567"/>
        <w:jc w:val="both"/>
      </w:pPr>
    </w:p>
    <w:p w:rsidR="00421F5C">
      <w:pPr>
        <w:ind w:firstLine="567"/>
        <w:jc w:val="both"/>
      </w:pPr>
    </w:p>
    <w:p w:rsidR="00421F5C">
      <w:pPr>
        <w:ind w:firstLine="567"/>
        <w:jc w:val="both"/>
      </w:pPr>
      <w:r>
        <w:t xml:space="preserve">Pe rol se află soluţionarea cererii în contencios administrativ şi fiscal formulată de reclamantul </w:t>
      </w:r>
      <w:r w:rsidR="008C34E2">
        <w:t xml:space="preserve">AB </w:t>
      </w:r>
      <w:r>
        <w:t>în contradictoriu cu pârâtul FONDUL DE GARANTARE A ASIGURAŢILOR, având ca obiect „</w:t>
      </w:r>
      <w:r>
        <w:rPr>
          <w:rStyle w:val="Fontdeparagrafimplicit"/>
          <w:i/>
        </w:rPr>
        <w:t>pretenţii”.</w:t>
      </w:r>
    </w:p>
    <w:p w:rsidR="00421F5C">
      <w:pPr>
        <w:ind w:firstLine="567"/>
        <w:jc w:val="both"/>
      </w:pPr>
      <w:r>
        <w:t>Cauza a rămas în pronunţare în şedinţa publică de la</w:t>
      </w:r>
      <w:r w:rsidR="008C34E2">
        <w:t>.........</w:t>
      </w:r>
      <w:r>
        <w:t>, desfăşurarea şedinţei fiind consemnată în încheierea de şedinţă de la acea dată, care face parte integrantă din prezenta hotărâre, dată la care Curtea, având nevoie de timp pentru a delibera, a amânat pronunţarea succesiv la data de</w:t>
      </w:r>
      <w:r w:rsidR="008C34E2">
        <w:t>........</w:t>
      </w:r>
      <w:r>
        <w:t xml:space="preserve">, </w:t>
      </w:r>
      <w:r w:rsidR="008C34E2">
        <w:t xml:space="preserve">........... </w:t>
      </w:r>
      <w:r>
        <w:t xml:space="preserve">şi </w:t>
      </w:r>
      <w:r w:rsidR="008C34E2">
        <w:t>...........</w:t>
      </w:r>
      <w:r>
        <w:t>, când a pronunţat următoarea hotărâre:</w:t>
      </w:r>
    </w:p>
    <w:p w:rsidR="00421F5C">
      <w:pPr>
        <w:ind w:firstLine="567"/>
        <w:jc w:val="center"/>
        <w:rPr>
          <w:rStyle w:val="Fontdeparagrafimplicit"/>
          <w:b/>
        </w:rPr>
      </w:pPr>
    </w:p>
    <w:p w:rsidR="00421F5C">
      <w:pPr>
        <w:ind w:firstLine="567"/>
        <w:jc w:val="center"/>
      </w:pPr>
      <w:r>
        <w:t xml:space="preserve">C U R T E A, </w:t>
      </w:r>
    </w:p>
    <w:p w:rsidR="00421F5C">
      <w:pPr>
        <w:ind w:firstLine="567"/>
        <w:jc w:val="both"/>
      </w:pPr>
    </w:p>
    <w:p w:rsidR="00421F5C">
      <w:pPr>
        <w:ind w:firstLine="567"/>
        <w:jc w:val="both"/>
      </w:pPr>
      <w:r>
        <w:t xml:space="preserve">Prin cererea de chemare în judecată înregistrată pe rolul </w:t>
      </w:r>
      <w:r w:rsidR="008C34E2">
        <w:t>Curții de Apel .........</w:t>
      </w:r>
      <w:r>
        <w:t xml:space="preserve">sub nr. </w:t>
      </w:r>
      <w:r w:rsidR="008C34E2">
        <w:t>............</w:t>
      </w:r>
      <w:r>
        <w:t xml:space="preserve">, reclamantul </w:t>
      </w:r>
      <w:r w:rsidR="008C34E2">
        <w:t>AB</w:t>
      </w:r>
      <w:r>
        <w:t xml:space="preserve">, în contradictoriu cu pârâtul Fondul de Garantare a Asiguraților, a solicitat anularea în parte a Deciziei nr. </w:t>
      </w:r>
      <w:r w:rsidR="008C34E2">
        <w:t>........</w:t>
      </w:r>
      <w:r>
        <w:t>/05.12.2016, cu consecința obligării pârâtului la plata întregii sume solicitate, respectiv 40.621,19 lei, sumă care va fi actualizată cu dobânda legală și indicele de inflație, la care se vor adăuga penalități în cuantum de 0,2%pwentru fiecare zi de întârziere, cu cheltuieli de judecată.</w:t>
      </w:r>
    </w:p>
    <w:p w:rsidR="00421F5C">
      <w:pPr>
        <w:ind w:firstLine="567"/>
        <w:jc w:val="both"/>
      </w:pPr>
      <w:r>
        <w:t>În motivarea acțiunii, reclamantul a arătat, în esență, că la data de 27.07.2014, a avut loc un accident de circulație în urma căruia autoturismul său a fost avariat, suferind o daună totală, astfel că se impune acordarea unei despăgubiri în cuantum de 40.920,72 lei.</w:t>
      </w:r>
    </w:p>
    <w:p w:rsidR="00421F5C">
      <w:pPr>
        <w:ind w:firstLine="567"/>
        <w:jc w:val="both"/>
      </w:pPr>
      <w:r>
        <w:t>În drept, au fost invocate dispozițiile Legii nr. 503/2004 și cele ale Legii nr. 213/2015.</w:t>
      </w:r>
    </w:p>
    <w:p w:rsidR="00421F5C">
      <w:pPr>
        <w:ind w:firstLine="567"/>
        <w:jc w:val="both"/>
      </w:pPr>
      <w:r>
        <w:t>În probațiune, s-a solicitat încuviințarea administrării probei cu înscrisuri.</w:t>
      </w:r>
    </w:p>
    <w:p w:rsidR="00421F5C">
      <w:pPr>
        <w:ind w:firstLine="567"/>
        <w:jc w:val="both"/>
      </w:pPr>
      <w:r>
        <w:t>La data de 23.05.2017, Fondul de Garantare a Asiguraților a depuse întâmpinare, prin care a solicitat respingerea acțiunii ca neîntemeiată, susținând, în esență, că la dosarul cauzei nu a fost depuse documente din care să rezultă că vehiculul a suferi o daună totală.</w:t>
      </w:r>
    </w:p>
    <w:p w:rsidR="00421F5C">
      <w:pPr>
        <w:ind w:firstLine="567"/>
        <w:jc w:val="both"/>
      </w:pPr>
      <w:r>
        <w:t>În drept, au fost invocate dispozițiile art. 205 C.p.civ.</w:t>
      </w:r>
    </w:p>
    <w:p w:rsidR="00421F5C">
      <w:pPr>
        <w:ind w:firstLine="567"/>
        <w:jc w:val="both"/>
      </w:pPr>
      <w:r>
        <w:t>În probațiune, s-a solicitat încuviințarea administrării probei cu înscrisri.</w:t>
      </w:r>
    </w:p>
    <w:p w:rsidR="00421F5C">
      <w:pPr>
        <w:ind w:firstLine="567"/>
        <w:jc w:val="both"/>
        <w:rPr>
          <w:rStyle w:val="Fontdeparagrafimplicit"/>
          <w:b/>
          <w:i/>
        </w:rPr>
      </w:pPr>
      <w:r>
        <w:rPr>
          <w:rStyle w:val="Fontdeparagrafimplicit"/>
          <w:b/>
          <w:i/>
        </w:rPr>
        <w:t>Analizând cauza de faţă pe fondul acesteia, Curtea constată următoarele:</w:t>
      </w:r>
    </w:p>
    <w:p w:rsidR="00421F5C">
      <w:pPr>
        <w:ind w:firstLine="567"/>
        <w:jc w:val="both"/>
      </w:pPr>
      <w:r>
        <w:t xml:space="preserve">În fapt, reclamantul a formulat cererea de plata, înregistrata la </w:t>
      </w:r>
      <w:r w:rsidR="008C34E2">
        <w:t>pârâta sub nr........</w:t>
      </w:r>
      <w:r>
        <w:t xml:space="preserve"> /23.02.2016, prin care a solicitat sa fie despăgubit din disponibilităţile Fondului de Garantare a Asiguraţilor cu suma de 40.621,19 lei, reprezentând despăgubiri privind contravaloarea autovehiculului cu nr. de înmatriculare </w:t>
      </w:r>
      <w:r w:rsidR="008C34E2">
        <w:t>..........</w:t>
      </w:r>
      <w:r>
        <w:t xml:space="preserve">. </w:t>
      </w:r>
    </w:p>
    <w:p w:rsidR="00421F5C">
      <w:pPr>
        <w:ind w:firstLine="567"/>
        <w:jc w:val="both"/>
      </w:pPr>
      <w:r>
        <w:t xml:space="preserve">Petentul a solicitat sumele menţionate ca urmare a unui incident de circulaţie care a avut loc in data de </w:t>
      </w:r>
      <w:r>
        <w:rPr>
          <w:rStyle w:val="Fontdeparagrafimplicit"/>
          <w:b/>
          <w:i/>
        </w:rPr>
        <w:t>27.07.2015,</w:t>
      </w:r>
      <w:r>
        <w:t xml:space="preserve"> din culpa conducătorului auto </w:t>
      </w:r>
      <w:r w:rsidR="008C34E2">
        <w:t>BC</w:t>
      </w:r>
      <w:r>
        <w:t xml:space="preserve">, care, conducând autoturismul cu număr de înmatriculare </w:t>
      </w:r>
      <w:r w:rsidR="008C34E2">
        <w:t>..........</w:t>
      </w:r>
      <w:r>
        <w:t xml:space="preserve">, asigurat la momentul evenimentului rutier cu poliţa de asigurare de tip RCA nr. </w:t>
      </w:r>
      <w:r w:rsidR="008C34E2">
        <w:t>..........</w:t>
      </w:r>
      <w:r>
        <w:t xml:space="preserve">, emisa de Societatea de Asigurare Reasigurare </w:t>
      </w:r>
      <w:r w:rsidR="008C34E2">
        <w:t>CD</w:t>
      </w:r>
      <w:r>
        <w:t xml:space="preserve"> S.A., a avariat autoturismul cu nr. de înmatriculare </w:t>
      </w:r>
      <w:r w:rsidR="008C34E2">
        <w:t>..........</w:t>
      </w:r>
      <w:r>
        <w:t xml:space="preserve">, proprietatea domnului </w:t>
      </w:r>
      <w:r w:rsidR="008C34E2">
        <w:t>AB</w:t>
      </w:r>
      <w:r>
        <w:t>.</w:t>
      </w:r>
    </w:p>
    <w:p w:rsidR="00421F5C">
      <w:pPr>
        <w:ind w:firstLine="567"/>
        <w:jc w:val="both"/>
      </w:pPr>
      <w:r>
        <w:t xml:space="preserve">După avizarea daunei la Fondul de Garantare a Asiguraților a fost constituit dosarul de dauna nr. </w:t>
      </w:r>
      <w:r w:rsidR="008C34E2">
        <w:t>.........</w:t>
      </w:r>
      <w:r>
        <w:t xml:space="preserve">. </w:t>
      </w:r>
    </w:p>
    <w:p w:rsidR="00421F5C">
      <w:pPr>
        <w:ind w:firstLine="567"/>
        <w:jc w:val="both"/>
      </w:pPr>
      <w:r>
        <w:t xml:space="preserve">Prin Decizia nr. </w:t>
      </w:r>
      <w:r w:rsidR="008C34E2">
        <w:t>........</w:t>
      </w:r>
      <w:r>
        <w:t xml:space="preserve">/05.12.2016, pârâta a concluzionat faptul ca din despăgubirea solicitata urmează sa se respingă la plata suma in cuantum de 40.621,19 lei, reprezentând </w:t>
      </w:r>
      <w:r>
        <w:t>suma din devizul estimativ de reparaţie efectuat de unitatea reparatoare, fiind admisă cererea de plată pentru suma de 15.286 lei şi respinsă pentru 25.335,19 lei.</w:t>
      </w:r>
    </w:p>
    <w:p w:rsidR="00421F5C">
      <w:pPr>
        <w:ind w:firstLine="567"/>
        <w:jc w:val="both"/>
      </w:pPr>
      <w:r>
        <w:t xml:space="preserve">Prin promovarea prezentei cereri de chemare în judecată, reclamantul urmărește anularea parțială a deciziei nr. </w:t>
      </w:r>
      <w:r w:rsidR="008C34E2">
        <w:t>........</w:t>
      </w:r>
      <w:r>
        <w:t>/05.12.2016, în sensul obligării pârâtului la plata integrală a sumei solicitate, respectiv 40.621,19 lei, susținând, în esență, că trebuie să fie despăgubit cu diferența dintre valoarea pe care vehiculul o avea la data producerii accidentului (40.920,74 lei) și suma pe care a primit-o de la REMAT (301 lei), sumă care va fi actualizată cu indicele de inflație și la care se va adăuga dobânda legală aferentă.</w:t>
      </w:r>
    </w:p>
    <w:p w:rsidR="00421F5C">
      <w:pPr>
        <w:ind w:firstLine="567"/>
        <w:jc w:val="both"/>
      </w:pPr>
      <w:r>
        <w:t>Așadar, reclamantul pretinde despăgubiri în condițiile art. art. 51 alin. 9 lit. b din Norma ASF nr. 23/2014, susținând că suntem în ipoteza unei daune totale.</w:t>
      </w:r>
    </w:p>
    <w:p w:rsidR="00421F5C">
      <w:pPr>
        <w:ind w:firstLine="567"/>
        <w:jc w:val="both"/>
      </w:pPr>
      <w:r>
        <w:t>Curtea apreciază că susținerile reclamantului sunt neîntemeiate.</w:t>
      </w:r>
    </w:p>
    <w:p w:rsidR="00421F5C">
      <w:pPr>
        <w:ind w:firstLine="567"/>
        <w:jc w:val="both"/>
      </w:pPr>
      <w:r>
        <w:t>Astfel, potrivit dispozițiilor art. 51 alin. 10 din Norma ASF nr. 23/2014 „Dauna totală se defineşte ca fiind situaţia în care cuantumul pagubei, definit conform alin. (3), depăşeşte 75% din valoarea vehiculului la data producerii evenimentului.”</w:t>
      </w:r>
    </w:p>
    <w:p w:rsidR="00421F5C">
      <w:pPr>
        <w:ind w:firstLine="567"/>
        <w:jc w:val="both"/>
      </w:pPr>
      <w:r>
        <w:tab/>
        <w:t xml:space="preserve">De asemenea, conform prevederilor alin. 3 din același articol „Cuantumul pagubei la vehicule este egal cu costul reparaţiilor părţilor componente sau ale pieselor avariate ori cu costul de înlocuire a acestora, inclusiv cheltuielile pentru materiale, precum şi cele de demontare şi montare aferente reparaţiilor şi înlocuirilor necesare ca urmare a pagubelor produse prin respectivul accident de vehicul, stabilite la preţurile practicate de unităţile de specialitate, la care se adaugă cheltuielile cu transportul vehiculului, precum şi cele efectuate pentru limitarea pagubelor, dovedite cu documente justificative, potrivit </w:t>
      </w:r>
      <w:r>
        <w:rPr>
          <w:rStyle w:val="Fontdeparagrafimplicit"/>
          <w:u w:val="single"/>
        </w:rPr>
        <w:t>art. 53</w:t>
      </w:r>
      <w:r>
        <w:t>.”.</w:t>
      </w:r>
    </w:p>
    <w:p w:rsidR="00421F5C">
      <w:pPr>
        <w:ind w:firstLine="567"/>
        <w:jc w:val="both"/>
      </w:pPr>
      <w:r>
        <w:tab/>
        <w:t xml:space="preserve">În susținerea tezei sale în sensul că suntem în prezența unei pagube care depășește 75% din valoarea vehiculului la data producerii accidentului, deci a unei daune – totale, reclamantul a depus un deviz de reparații întocmit de </w:t>
      </w:r>
      <w:r w:rsidR="008C34E2">
        <w:t xml:space="preserve">DE </w:t>
      </w:r>
      <w:r>
        <w:t>S.R.L.</w:t>
      </w:r>
    </w:p>
    <w:p w:rsidR="00421F5C">
      <w:pPr>
        <w:ind w:firstLine="567"/>
        <w:jc w:val="both"/>
      </w:pPr>
      <w:r>
        <w:t>Curtea reține că și pârâtul a întocmit propria evaluare a daunei, rezultând o valoare a prejudiciului de 15.286,42 lei.</w:t>
      </w:r>
    </w:p>
    <w:p w:rsidR="00421F5C">
      <w:pPr>
        <w:ind w:firstLine="567"/>
        <w:jc w:val="both"/>
      </w:pPr>
      <w:r>
        <w:t>Curtea nu poate identifica un temei legal în baza căruia să poată acorda estimării realizate de reclamantă o semnificație probatorie care să prevaleze asupra dovezilor produse de pârât, cu atât mai mult cu cât ambele evaluări sunt realizate cu ajutorul aceluiași instrument, respectiv softul Audatex.</w:t>
      </w:r>
    </w:p>
    <w:p w:rsidR="00421F5C">
      <w:pPr>
        <w:ind w:firstLine="567"/>
        <w:jc w:val="both"/>
      </w:pPr>
      <w:r>
        <w:t>De asemenea, Curtea observă că opiniile porților nu sunt concordante în ceea ce privește reperele avariate, situație în care, cu atât mai mult se impunea ca reclamantul să depună diligențele necesare pentru a proba pretențiile, astfel cum impun dispozițiile art. 249 C.p.civ.</w:t>
      </w:r>
    </w:p>
    <w:p w:rsidR="00421F5C">
      <w:pPr>
        <w:ind w:firstLine="567"/>
        <w:jc w:val="both"/>
      </w:pPr>
      <w:r>
        <w:t>În măsura în care reclamanta dorea să își probeze pretențiile avea obligația de a administra probe în acest sens, de exemplu, proba constând în expertiză tehnică auto care să aibă ca obiectiv determinarea valorii prejudiciului având în vedere soluțiile tehnologice optime pentru remedierea prejudiciului suferit.</w:t>
      </w:r>
    </w:p>
    <w:p w:rsidR="00421F5C">
      <w:pPr>
        <w:ind w:firstLine="567"/>
        <w:jc w:val="both"/>
      </w:pPr>
      <w:r>
        <w:t>Pentru considerentele expuse, Curtea va respinge acțiunea ca neîntemeiată (inclusiv capetele de cerere accesorii).</w:t>
      </w:r>
    </w:p>
    <w:p w:rsidR="00421F5C">
      <w:pPr>
        <w:ind w:firstLine="567"/>
        <w:jc w:val="center"/>
      </w:pPr>
    </w:p>
    <w:p w:rsidR="00421F5C">
      <w:pPr>
        <w:ind w:firstLine="567"/>
        <w:jc w:val="center"/>
      </w:pPr>
      <w:r>
        <w:t>PENTRU ACESTE MOTIVE</w:t>
      </w:r>
    </w:p>
    <w:p w:rsidR="00421F5C">
      <w:pPr>
        <w:ind w:firstLine="567"/>
        <w:jc w:val="center"/>
      </w:pPr>
      <w:r>
        <w:t>ÎN NUMELE LEGII</w:t>
      </w:r>
    </w:p>
    <w:p w:rsidR="00421F5C">
      <w:pPr>
        <w:ind w:firstLine="567"/>
        <w:jc w:val="center"/>
      </w:pPr>
      <w:r>
        <w:t>HOTĂRĂŞTE:</w:t>
      </w:r>
    </w:p>
    <w:p w:rsidR="00421F5C">
      <w:pPr>
        <w:ind w:firstLine="567"/>
        <w:jc w:val="center"/>
        <w:rPr>
          <w:rStyle w:val="Fontdeparagrafimplicit"/>
          <w:b/>
        </w:rPr>
      </w:pPr>
    </w:p>
    <w:p w:rsidR="00421F5C">
      <w:pPr>
        <w:ind w:firstLine="567"/>
        <w:jc w:val="both"/>
      </w:pPr>
      <w:r>
        <w:tab/>
      </w:r>
    </w:p>
    <w:p w:rsidR="00421F5C">
      <w:pPr>
        <w:ind w:firstLine="567"/>
        <w:jc w:val="both"/>
      </w:pPr>
      <w:r>
        <w:tab/>
        <w:t>Respinge acţiunea formulată de reclamantul</w:t>
      </w:r>
      <w:r w:rsidR="008C34E2">
        <w:t xml:space="preserve"> AB</w:t>
      </w:r>
      <w:r>
        <w:t>, cu domiciliul în</w:t>
      </w:r>
      <w:r w:rsidR="008C34E2">
        <w:t>..........</w:t>
      </w:r>
      <w:r>
        <w:t xml:space="preserve">, str. </w:t>
      </w:r>
      <w:r w:rsidR="008C34E2">
        <w:t>........ nr........</w:t>
      </w:r>
      <w:r>
        <w:t>, sc.</w:t>
      </w:r>
      <w:r w:rsidR="008C34E2">
        <w:t>......., et........, ap........., jud........</w:t>
      </w:r>
      <w:r>
        <w:t>, în contradictoriu cu pârâtul FONDUL DE GARANTARE A ASIGURAŢILOR, cu sediul în</w:t>
      </w:r>
      <w:r w:rsidR="008C34E2">
        <w:t>.........., str........ nr........, ........</w:t>
      </w:r>
      <w:r>
        <w:t xml:space="preserve">,  ca nefondată. </w:t>
      </w:r>
    </w:p>
    <w:p w:rsidR="00421F5C">
      <w:pPr>
        <w:ind w:firstLine="567"/>
        <w:jc w:val="both"/>
      </w:pPr>
      <w:r>
        <w:t xml:space="preserve">Cu recurs în termen de 15 zile de la comunicare. Recursul se va depune la Curtea de Apel </w:t>
      </w:r>
      <w:r w:rsidR="008C34E2">
        <w:t>..........</w:t>
      </w:r>
      <w:r>
        <w:t xml:space="preserve">– Secţia </w:t>
      </w:r>
      <w:r w:rsidR="008C34E2">
        <w:t>.........</w:t>
      </w:r>
      <w:r>
        <w:t xml:space="preserve">contencios administrativ şi fiscal. </w:t>
      </w:r>
    </w:p>
    <w:p w:rsidR="00421F5C">
      <w:pPr>
        <w:ind w:firstLine="567"/>
        <w:jc w:val="both"/>
      </w:pPr>
      <w:r>
        <w:t xml:space="preserve">Pronunţată azi, </w:t>
      </w:r>
      <w:r w:rsidR="008C34E2">
        <w:t>............</w:t>
      </w:r>
      <w:r>
        <w:t>, prin punerea soluţiei la dispoziţia părţilor prin mijlocirea grefei instanţei.</w:t>
      </w:r>
    </w:p>
    <w:p w:rsidR="00421F5C">
      <w:pPr>
        <w:ind w:firstLine="567"/>
        <w:jc w:val="both"/>
      </w:pPr>
    </w:p>
    <w:p w:rsidR="00421F5C">
      <w:pPr>
        <w:ind w:firstLine="567"/>
        <w:jc w:val="both"/>
      </w:pPr>
      <w:r>
        <w:t>PREŞEDINTE,</w:t>
      </w:r>
      <w:r>
        <w:tab/>
      </w:r>
      <w:r>
        <w:tab/>
      </w:r>
      <w:r>
        <w:tab/>
      </w:r>
      <w:r>
        <w:tab/>
        <w:t xml:space="preserve">   GREFIER,</w:t>
      </w:r>
    </w:p>
    <w:p w:rsidR="00421F5C">
      <w:r>
        <w:t xml:space="preserve">     </w:t>
      </w:r>
      <w:r w:rsidR="008C34E2">
        <w:t>CANDIDAT A0009</w:t>
      </w:r>
      <w:r w:rsidR="008C34E2">
        <w:tab/>
      </w:r>
      <w:r w:rsidR="008C34E2">
        <w:tab/>
      </w:r>
      <w:r w:rsidR="008C34E2">
        <w:tab/>
        <w:t>...................</w:t>
      </w:r>
    </w:p>
    <w:p w:rsidR="00421F5C">
      <w:pPr>
        <w:ind w:firstLine="567"/>
        <w:jc w:val="both"/>
      </w:pPr>
    </w:p>
    <w:p w:rsidR="00421F5C">
      <w:pPr>
        <w:ind w:firstLine="567"/>
        <w:jc w:val="both"/>
      </w:pPr>
    </w:p>
    <w:p w:rsidR="00421F5C">
      <w:pPr>
        <w:ind w:firstLine="567"/>
        <w:jc w:val="both"/>
      </w:pPr>
    </w:p>
    <w:p w:rsidR="00421F5C">
      <w:pPr>
        <w:ind w:firstLine="567"/>
        <w:rPr>
          <w:rStyle w:val="Fontdeparagrafimplicit"/>
          <w:sz w:val="16"/>
        </w:rPr>
      </w:pPr>
      <w:r>
        <w:rPr>
          <w:rStyle w:val="Fontdeparagrafimplicit"/>
          <w:sz w:val="16"/>
        </w:rPr>
        <w:t>Red.CANDIDAT A0009/</w:t>
      </w:r>
      <w:r w:rsidR="002447ED">
        <w:rPr>
          <w:rStyle w:val="Fontdeparagrafimplicit"/>
          <w:sz w:val="16"/>
        </w:rPr>
        <w:t>4ex.</w:t>
      </w:r>
    </w:p>
    <w:p w:rsidR="00421F5C">
      <w:pPr>
        <w:ind w:firstLine="567"/>
        <w:rPr>
          <w:rStyle w:val="Fontdeparagrafimplicit"/>
        </w:rPr>
      </w:pPr>
    </w:p>
    <w:p w:rsidR="00421F5C">
      <w:pPr>
        <w:ind w:firstLine="567"/>
        <w:rPr>
          <w:rStyle w:val="Fontdeparagrafimplicit"/>
        </w:rPr>
      </w:pPr>
    </w:p>
    <w:p w:rsidR="00421F5C">
      <w:pPr>
        <w:ind w:firstLine="567"/>
        <w:rPr>
          <w:rStyle w:val="Fontdeparagrafimplicit"/>
        </w:rPr>
      </w:pPr>
    </w:p>
    <w:p w:rsidR="00421F5C">
      <w:pPr>
        <w:ind w:firstLine="567"/>
        <w:jc w:val="right"/>
      </w:pPr>
      <w:r>
        <w:tab/>
      </w:r>
      <w:r>
        <w:tab/>
      </w:r>
      <w:r>
        <w:tab/>
      </w:r>
      <w:r>
        <w:tab/>
      </w:r>
      <w:r>
        <w:tab/>
      </w:r>
      <w:r>
        <w:tab/>
      </w:r>
      <w:r>
        <w:tab/>
        <w:t>Lucrat 2 comunicări la data de _____________</w:t>
      </w:r>
    </w:p>
    <w:p w:rsidR="00421F5C">
      <w:pPr>
        <w:ind w:firstLine="567"/>
        <w:jc w:val="right"/>
      </w:pPr>
    </w:p>
    <w:p w:rsidR="00421F5C">
      <w:pPr>
        <w:ind w:firstLine="567"/>
        <w:jc w:val="right"/>
      </w:pPr>
      <w:r>
        <w:t>Semnătură grefier__________________</w:t>
      </w:r>
    </w:p>
    <w:p w:rsidR="00421F5C">
      <w:pPr>
        <w:ind w:firstLine="567"/>
      </w:pPr>
    </w:p>
    <w:p w:rsidR="00421F5C">
      <w:pPr>
        <w:ind w:firstLine="567"/>
      </w:pPr>
    </w:p>
    <w:p w:rsidR="00421F5C">
      <w:pPr>
        <w:ind w:firstLine="567"/>
      </w:pPr>
    </w:p>
    <w:p w:rsidR="00421F5C">
      <w:pPr>
        <w:ind w:firstLine="567"/>
      </w:pPr>
    </w:p>
    <w:p w:rsidR="00421F5C">
      <w:pPr>
        <w:ind w:firstLine="567"/>
      </w:pPr>
    </w:p>
    <w:p w:rsidR="00421F5C">
      <w:pPr>
        <w:ind w:firstLine="567"/>
      </w:pPr>
    </w:p>
    <w:sectPr w:rsidSect="00421F5C">
      <w:pgSz w:w="11906" w:h="16838"/>
      <w:pgMar w:top="851" w:right="1274" w:bottom="851" w:left="156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hyphenationZone w:val="425"/>
  <w:characterSpacingControl w:val="doNotCompress"/>
  <w:compat/>
  <w:rsids>
    <w:rsidRoot w:val="00421F5C"/>
    <w:rsid w:val="002447ED"/>
    <w:rsid w:val="00421F5C"/>
    <w:rsid w:val="00870D61"/>
    <w:rsid w:val="008C34E2"/>
  </w:rsids>
  <w:docVars>
    <w:docVar w:name="url" w:val="http://10.1.48.53:80/ecris_cdms/document_upload.aspx?id_document=200000002738276&amp;id_departament=5&amp;id_sesiune=2742462&amp;id_user=928&amp;id_institutie=2&amp;actiune=modifica"/>
  </w:docVars>
  <m:mathPr>
    <m:mathFont m:val="Cambria Math"/>
  </m:mathPr>
  <w:themeFontLang w:val="ro-RO"/>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F5C"/>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rsid w:val="00421F5C"/>
    <w:pPr>
      <w:keepNext/>
      <w:jc w:val="center"/>
      <w:outlineLvl w:val="0"/>
    </w:pPr>
    <w:rPr>
      <w:b/>
      <w:sz w:val="28"/>
      <w:lang w:val="en-US"/>
    </w:rPr>
  </w:style>
  <w:style w:type="paragraph" w:styleId="NormalWeb">
    <w:name w:val="Normal (Web)"/>
    <w:basedOn w:val="Normal"/>
    <w:rsid w:val="00421F5C"/>
    <w:pPr>
      <w:spacing w:before="100" w:beforeAutospacing="1" w:after="100" w:afterAutospacing="1"/>
    </w:pPr>
  </w:style>
  <w:style w:type="character" w:styleId="LineNumber">
    <w:name w:val="line number"/>
    <w:basedOn w:val="DefaultParagraphFont"/>
    <w:semiHidden/>
    <w:rsid w:val="00421F5C"/>
  </w:style>
  <w:style w:type="character" w:styleId="Hyperlink">
    <w:name w:val="Hyperlink"/>
    <w:rsid w:val="00421F5C"/>
    <w:rPr>
      <w:color w:val="0000FF"/>
      <w:u w:val="single"/>
    </w:rPr>
  </w:style>
  <w:style w:type="character" w:customStyle="1" w:styleId="Fontdeparagrafimplicit">
    <w:name w:val="Font de paragraf implicit"/>
    <w:rsid w:val="00421F5C"/>
  </w:style>
  <w:style w:type="table" w:styleId="TableSimple1">
    <w:name w:val="Table Simple 1"/>
    <w:basedOn w:val="TableNormal"/>
    <w:rsid w:val="00421F5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Normal">
    <w:name w:val="Tabel Normal"/>
    <w:rsid w:val="00421F5C"/>
    <w:tblPr>
      <w:tblInd w:w="0" w:type="dxa"/>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10</ap:TotalTime>
  <ap:Pages>3</ap:Pages>
  <ap:Words>1105</ap:Words>
  <ap:Characters>6410</ap:Characters>
  <ap:Application>Microsoft Office Word</ap:Application>
  <ap:DocSecurity>0</ap:DocSecurity>
  <ap:Lines>53</ap:Lines>
  <ap:Paragraphs>14</ap:Paragraphs>
  <ap:ScaleCrop>false</ap:ScaleCrop>
  <ap:CharactersWithSpaces>7501</ap:CharactersWithSpaces>
  <ap:HyperlinksChanged>false</ap:HyperlinksChanged>
  <ap:AppVersion>12.0000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