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D81A0D" w14:paraId="5A93AF36" w14:textId="585928B0">
      <w:r>
        <w:t>Cod ECLI    ECLI:RO:</w:t>
      </w:r>
      <w:r w:rsidR="009C40D7">
        <w:t>....................................                                  Hotărârea 17</w:t>
      </w:r>
    </w:p>
    <w:p w:rsidR="00D81A0D" w14:paraId="6EB58102" w14:textId="30DF2D69">
      <w:pPr>
        <w:rPr>
          <w:rStyle w:val="Fontdeparagrafimplicit"/>
          <w:b/>
        </w:rPr>
      </w:pPr>
      <w:r>
        <w:rPr>
          <w:rStyle w:val="Fontdeparagrafimplicit"/>
          <w:b/>
        </w:rPr>
        <w:t xml:space="preserve">Dosar nr. </w:t>
      </w:r>
      <w:r w:rsidR="00DF5D9E">
        <w:rPr>
          <w:rStyle w:val="Fontdeparagrafimplicit"/>
          <w:b/>
        </w:rPr>
        <w:t>..../.../2019</w:t>
      </w:r>
    </w:p>
    <w:p w:rsidR="00D81A0D" w14:paraId="44231420" w14:textId="77777777">
      <w:pPr>
        <w:jc w:val="center"/>
        <w:rPr>
          <w:rStyle w:val="Fontdeparagrafimplicit"/>
          <w:b/>
        </w:rPr>
      </w:pPr>
      <w:r>
        <w:rPr>
          <w:rStyle w:val="Fontdeparagrafimplicit"/>
          <w:b/>
        </w:rPr>
        <w:t>R O M Â N I A</w:t>
      </w:r>
    </w:p>
    <w:p w:rsidR="00D81A0D" w14:paraId="10C7E6C5" w14:textId="77777777">
      <w:pPr>
        <w:jc w:val="center"/>
        <w:rPr>
          <w:rStyle w:val="Fontdeparagrafimplicit"/>
          <w:b/>
        </w:rPr>
      </w:pPr>
    </w:p>
    <w:p w:rsidR="00D81A0D" w14:paraId="5FECD08E" w14:textId="1A31281E">
      <w:pPr>
        <w:jc w:val="center"/>
        <w:rPr>
          <w:rStyle w:val="Fontdeparagrafimplicit"/>
          <w:b/>
        </w:rPr>
      </w:pPr>
      <w:r>
        <w:rPr>
          <w:rStyle w:val="Fontdeparagrafimplicit"/>
          <w:b/>
        </w:rPr>
        <w:t xml:space="preserve">CURTEA DE APEL </w:t>
      </w:r>
      <w:r w:rsidR="00C97BBC">
        <w:rPr>
          <w:rStyle w:val="Fontdeparagrafimplicit"/>
          <w:b/>
        </w:rPr>
        <w:t>................</w:t>
      </w:r>
    </w:p>
    <w:p w:rsidR="00D81A0D" w14:paraId="1B09D23F" w14:textId="77777777">
      <w:pPr>
        <w:jc w:val="center"/>
        <w:rPr>
          <w:rStyle w:val="Fontdeparagrafimplicit"/>
          <w:b/>
          <w:lang w:val="en-US"/>
        </w:rPr>
      </w:pPr>
      <w:r>
        <w:rPr>
          <w:rStyle w:val="Fontdeparagrafimplicit"/>
          <w:b/>
        </w:rPr>
        <w:t>SECŢIA CONTENCIOS ADMINISTRATIV SI FISCAL</w:t>
      </w:r>
    </w:p>
    <w:p w:rsidR="00D81A0D" w14:paraId="62D37B9F" w14:textId="77777777">
      <w:pPr>
        <w:rPr>
          <w:rStyle w:val="Fontdeparagrafimplicit"/>
          <w:b/>
        </w:rPr>
      </w:pPr>
    </w:p>
    <w:p w:rsidR="00D81A0D" w14:paraId="663A8090" w14:textId="67ED76E3">
      <w:pPr>
        <w:jc w:val="center"/>
        <w:rPr>
          <w:rStyle w:val="Fontdeparagrafimplicit"/>
          <w:b/>
        </w:rPr>
      </w:pPr>
      <w:r>
        <w:rPr>
          <w:rStyle w:val="Fontdeparagrafimplicit"/>
          <w:b/>
        </w:rPr>
      </w:r>
      <w:bookmarkStart w:name="tip_incheiere" w:id="0"/>
      <w:r>
        <w:rPr>
          <w:rStyle w:val="Fontdeparagrafimplicit"/>
          <w:b/>
        </w:rPr>
      </w:r>
      <w:r>
        <w:rPr>
          <w:rStyle w:val="Fontdeparagrafimplicit"/>
          <w:b/>
        </w:rPr>
      </w:r>
      <w:r>
        <w:rPr>
          <w:rStyle w:val="Fontdeparagrafimplicit"/>
          <w:b/>
        </w:rPr>
        <w:t>DECIZIE</w:t>
      </w:r>
      <w:r>
        <w:rPr>
          <w:rStyle w:val="Fontdeparagrafimplicit"/>
          <w:b/>
        </w:rPr>
      </w:r>
      <w:bookmarkEnd w:id="0"/>
      <w:r>
        <w:rPr>
          <w:rStyle w:val="Fontdeparagrafimplicit"/>
          <w:b/>
        </w:rPr>
        <w:t xml:space="preserve"> Nr. </w:t>
      </w:r>
      <w:r w:rsidR="00DF5D9E">
        <w:rPr>
          <w:rStyle w:val="Fontdeparagrafimplicit"/>
          <w:b/>
        </w:rPr>
        <w:t>....</w:t>
      </w:r>
      <w:r>
        <w:rPr>
          <w:rStyle w:val="Fontdeparagrafimplicit"/>
          <w:b/>
        </w:rPr>
        <w:t>/</w:t>
      </w:r>
      <w:r w:rsidR="00DF5D9E">
        <w:rPr>
          <w:rStyle w:val="Fontdeparagrafimplicit"/>
          <w:b/>
        </w:rPr>
        <w:t>.....</w:t>
      </w:r>
    </w:p>
    <w:p w:rsidR="00D81A0D" w14:paraId="6D63138A" w14:textId="659F971D">
      <w:pPr>
        <w:jc w:val="center"/>
        <w:rPr>
          <w:rStyle w:val="Fontdeparagrafimplicit"/>
          <w:b/>
        </w:rPr>
      </w:pPr>
      <w:r>
        <w:rPr>
          <w:rStyle w:val="Fontdeparagrafimplicit"/>
          <w:b/>
        </w:rPr>
        <w:t>Şedinţa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DF5D9E">
        <w:rPr>
          <w:rStyle w:val="Fontdeparagrafimplicit"/>
          <w:b/>
        </w:rPr>
        <w:t>.................</w:t>
      </w:r>
      <w:r>
        <w:rPr>
          <w:rStyle w:val="Fontdeparagrafimplicit"/>
          <w:b/>
        </w:rPr>
        <w:t xml:space="preserve"> </w:t>
      </w:r>
    </w:p>
    <w:p w:rsidR="00D81A0D" w14:paraId="0CF17F4F" w14:textId="77777777">
      <w:pPr>
        <w:jc w:val="center"/>
        <w:rPr>
          <w:rStyle w:val="Fontdeparagrafimplicit"/>
          <w:b/>
        </w:rPr>
      </w:pPr>
      <w:r>
        <w:rPr>
          <w:rStyle w:val="Fontdeparagrafimplicit"/>
          <w:b/>
        </w:rPr>
        <w:t>Instanţa constituită din:</w:t>
      </w:r>
    </w:p>
    <w:p w:rsidR="00D81A0D" w14:paraId="27ADBC03" w14:textId="4CC9D3A8">
      <w:pPr>
        <w:jc w:val="center"/>
        <w:rPr>
          <w:rStyle w:val="Fontdeparagrafimplicit"/>
          <w:b/>
        </w:rPr>
      </w:pPr>
      <w:r>
        <w:rPr>
          <w:rStyle w:val="Fontdeparagrafimplicit"/>
          <w:b/>
        </w:rPr>
        <w:t xml:space="preserve">PREŞEDINTE </w:t>
      </w:r>
      <w:r w:rsidR="00DF5D9E">
        <w:rPr>
          <w:rStyle w:val="Fontdeparagrafimplicit"/>
          <w:b/>
        </w:rPr>
        <w:t>.................</w:t>
      </w:r>
    </w:p>
    <w:p w:rsidR="00D81A0D" w14:paraId="4F128F6A" w14:textId="55B1518A">
      <w:pPr>
        <w:jc w:val="center"/>
        <w:rPr>
          <w:rStyle w:val="Fontdeparagrafimplicit"/>
          <w:b/>
        </w:rPr>
      </w:pPr>
      <w:r>
        <w:rPr>
          <w:rStyle w:val="Fontdeparagrafimplicit"/>
          <w:b/>
        </w:rPr>
        <w:t xml:space="preserve">Judecător </w:t>
      </w:r>
      <w:r w:rsidR="00C97BBC">
        <w:rPr>
          <w:rStyle w:val="Fontdeparagrafimplicit"/>
          <w:b/>
        </w:rPr>
        <w:t>A0001</w:t>
      </w:r>
    </w:p>
    <w:p w:rsidR="00D81A0D" w14:paraId="1614A48F" w14:textId="503BD6C8">
      <w:pPr>
        <w:jc w:val="center"/>
        <w:rPr>
          <w:rStyle w:val="Fontdeparagrafimplicit"/>
          <w:b/>
        </w:rPr>
      </w:pPr>
      <w:r>
        <w:rPr>
          <w:rStyle w:val="Fontdeparagrafimplicit"/>
          <w:b/>
        </w:rPr>
        <w:t xml:space="preserve">Judecător </w:t>
      </w:r>
      <w:r w:rsidR="00DF5D9E">
        <w:rPr>
          <w:rStyle w:val="Fontdeparagrafimplicit"/>
          <w:b/>
        </w:rPr>
        <w:t>.................</w:t>
      </w:r>
    </w:p>
    <w:p w:rsidR="00D81A0D" w14:paraId="30F9CDA1" w14:textId="16966674">
      <w:pPr>
        <w:jc w:val="center"/>
        <w:rPr>
          <w:rStyle w:val="Fontdeparagrafimplicit"/>
          <w:b/>
        </w:rPr>
      </w:pPr>
      <w:r>
        <w:rPr>
          <w:rStyle w:val="Fontdeparagrafimplicit"/>
          <w:b/>
        </w:rPr>
        <w:t xml:space="preserve">Grefier </w:t>
      </w:r>
      <w:r w:rsidR="00DF5D9E">
        <w:rPr>
          <w:rStyle w:val="Fontdeparagrafimplicit"/>
          <w:b/>
        </w:rPr>
        <w:t>.................</w:t>
      </w:r>
    </w:p>
    <w:p w:rsidR="00D81A0D" w14:paraId="7A525E7E" w14:textId="77777777">
      <w:pPr>
        <w:jc w:val="center"/>
        <w:rPr>
          <w:rStyle w:val="Fontdeparagrafimplicit"/>
        </w:rPr>
      </w:pPr>
    </w:p>
    <w:p w:rsidR="00D81A0D" w14:paraId="45001324" w14:textId="77777777">
      <w:pPr>
        <w:jc w:val="center"/>
        <w:rPr>
          <w:rStyle w:val="Fontdeparagrafimplicit"/>
        </w:rPr>
      </w:pPr>
    </w:p>
    <w:p w:rsidR="00D81A0D" w14:paraId="2EEB2039" w14:textId="77777777">
      <w:pPr>
        <w:jc w:val="center"/>
        <w:rPr>
          <w:rStyle w:val="Fontdeparagrafimplicit"/>
        </w:rPr>
      </w:pPr>
    </w:p>
    <w:p w:rsidR="00D81A0D" w14:paraId="0D4003E0" w14:textId="022FBA30">
      <w:pPr>
        <w:ind w:firstLine="720"/>
        <w:jc w:val="both"/>
      </w:pPr>
      <w:r>
        <w:t xml:space="preserve">Pe rol judecarea recursului formulat de reclamantul </w:t>
      </w:r>
      <w:r w:rsidR="00DF5D9E">
        <w:rPr>
          <w:rStyle w:val="Fontdeparagrafimplicit"/>
          <w:b/>
        </w:rPr>
        <w:t>...Y...</w:t>
      </w:r>
      <w:r>
        <w:t xml:space="preserve">, împotriva sentinţei nr. nr. </w:t>
      </w:r>
      <w:r w:rsidR="00C834EA">
        <w:t>..../.............</w:t>
      </w:r>
      <w:r>
        <w:t xml:space="preserve"> pronunţată de Tribunalul </w:t>
      </w:r>
      <w:r w:rsidR="00DF5D9E">
        <w:t>..A..</w:t>
      </w:r>
      <w:r>
        <w:t xml:space="preserve"> Secţia Contencios Administrativ şi Fiscal în dosarul nr. </w:t>
      </w:r>
      <w:r w:rsidR="00DF5D9E">
        <w:t>..../.../2019</w:t>
      </w:r>
      <w:r>
        <w:t xml:space="preserve">, în contradictoriu cu intimaţii pârâţi: </w:t>
      </w:r>
      <w:r>
        <w:rPr>
          <w:rStyle w:val="Fontdeparagrafimplicit"/>
          <w:b/>
        </w:rPr>
        <w:t xml:space="preserve">ADMINISTRAŢIA JUDEŢEANĂ A FINANŢELOR PUBLICE </w:t>
      </w:r>
      <w:r w:rsidR="00DF5D9E">
        <w:rPr>
          <w:rStyle w:val="Fontdeparagrafimplicit"/>
          <w:b/>
        </w:rPr>
        <w:t>..A..</w:t>
      </w:r>
      <w:r>
        <w:rPr>
          <w:rStyle w:val="Fontdeparagrafimplicit"/>
          <w:b/>
        </w:rPr>
        <w:t xml:space="preserve">, SC </w:t>
      </w:r>
      <w:r w:rsidR="00C834EA">
        <w:rPr>
          <w:rStyle w:val="Fontdeparagrafimplicit"/>
          <w:b/>
        </w:rPr>
        <w:t>...Q...</w:t>
      </w:r>
      <w:r>
        <w:rPr>
          <w:rStyle w:val="Fontdeparagrafimplicit"/>
          <w:b/>
        </w:rPr>
        <w:t xml:space="preserve"> SRL PRIN </w:t>
      </w:r>
      <w:bookmarkStart w:name="_Hlk236600299" w:id="2"/>
      <w:r>
        <w:rPr>
          <w:rStyle w:val="Fontdeparagrafimplicit"/>
          <w:b/>
        </w:rPr>
        <w:t xml:space="preserve">LICHIDATOR </w:t>
      </w:r>
      <w:r w:rsidR="00C834EA">
        <w:rPr>
          <w:rStyle w:val="Fontdeparagrafimplicit"/>
          <w:b/>
        </w:rPr>
        <w:t>...G...</w:t>
      </w:r>
      <w:r>
        <w:rPr>
          <w:rStyle w:val="Fontdeparagrafimplicit"/>
          <w:b/>
        </w:rPr>
        <w:t xml:space="preserve"> </w:t>
      </w:r>
      <w:bookmarkEnd w:id="2"/>
      <w:r>
        <w:rPr>
          <w:rStyle w:val="Fontdeparagrafimplicit"/>
          <w:b/>
        </w:rPr>
        <w:t xml:space="preserve">SPRL, </w:t>
      </w:r>
      <w:r w:rsidR="00C834EA">
        <w:rPr>
          <w:rStyle w:val="Fontdeparagrafimplicit"/>
          <w:b/>
        </w:rPr>
        <w:t>...X...</w:t>
      </w:r>
      <w:r>
        <w:t xml:space="preserve">, având ca obiect suspendare executare act administrativ. </w:t>
      </w:r>
    </w:p>
    <w:p w:rsidR="00D81A0D" w14:paraId="6BE161B1" w14:textId="77777777">
      <w:pPr>
        <w:ind w:firstLine="720"/>
        <w:jc w:val="both"/>
      </w:pPr>
      <w:r>
        <w:t xml:space="preserve">La apelul nominal făcut în şedinţa </w:t>
      </w:r>
      <w:bookmarkStart w:name="tip_sedinta_copie_1" w:id="3"/>
      <w:r>
        <w:t>publică</w:t>
      </w:r>
      <w:bookmarkEnd w:id="3"/>
      <w:r>
        <w:t xml:space="preserve"> nu au răspuns părţile.</w:t>
      </w:r>
    </w:p>
    <w:p w:rsidR="00D81A0D" w14:paraId="406DC1C8" w14:textId="77777777">
      <w:pPr>
        <w:ind w:firstLine="720"/>
        <w:jc w:val="both"/>
      </w:pPr>
      <w:r>
        <w:t xml:space="preserve">Procedura </w:t>
      </w:r>
      <w:bookmarkStart w:name="tip_procedura" w:id="4"/>
      <w:r>
        <w:t>legal</w:t>
      </w:r>
      <w:bookmarkEnd w:id="4"/>
      <w:r>
        <w:t xml:space="preserve"> îndeplinită.</w:t>
      </w:r>
    </w:p>
    <w:p w:rsidR="00D81A0D" w14:paraId="4DAFE082" w14:textId="36ACD8F0">
      <w:pPr>
        <w:ind w:firstLine="720"/>
        <w:jc w:val="both"/>
      </w:pPr>
      <w:r>
        <w:t xml:space="preserve">S-a făcut </w:t>
      </w:r>
      <w:bookmarkStart w:name="tip_doc_despre_cauza" w:id="5"/>
      <w:r>
        <w:t>referatul</w:t>
      </w:r>
      <w:bookmarkEnd w:id="5"/>
      <w:r>
        <w:t xml:space="preserve"> cauzei de către </w:t>
      </w:r>
      <w:bookmarkStart w:name="functia_celui_care_f" w:id="6"/>
      <w:r>
        <w:t>grefier</w:t>
      </w:r>
      <w:bookmarkEnd w:id="6"/>
      <w:r>
        <w:t xml:space="preserve"> </w:t>
      </w:r>
      <w:bookmarkStart w:name="combo_invedereaza" w:id="7"/>
      <w:r>
        <w:t>care învederează</w:t>
      </w:r>
      <w:bookmarkEnd w:id="7"/>
      <w:r>
        <w:t xml:space="preserve"> instanţei obiectul cauzei, stadiul judecăţii, modalitatea de îndeplinire a procedurii de citare, faptul că recursul a fost declarat şi motivat în termenul legal, s-au depus relaţiile solicitate de la ORC </w:t>
      </w:r>
      <w:r w:rsidR="00DF5D9E">
        <w:t>..A..</w:t>
      </w:r>
      <w:r>
        <w:t>, s-a solicitat judecarea cauzei în lipsă, după care, instanţa constată cauza în stare de judecată şi o reţine spre soluţionare.</w:t>
      </w:r>
    </w:p>
    <w:p w:rsidR="00D81A0D" w14:paraId="6F44C6AC" w14:textId="77777777">
      <w:pPr>
        <w:ind w:firstLine="720"/>
        <w:jc w:val="both"/>
      </w:pPr>
    </w:p>
    <w:p w:rsidR="00D81A0D" w14:paraId="3C86A075" w14:textId="77777777">
      <w:pPr>
        <w:ind w:firstLine="720"/>
        <w:jc w:val="both"/>
      </w:pPr>
    </w:p>
    <w:p w:rsidR="00D81A0D" w14:paraId="13C6789B" w14:textId="77777777">
      <w:pPr>
        <w:jc w:val="center"/>
        <w:rPr>
          <w:rStyle w:val="Fontdeparagrafimplicit"/>
          <w:b/>
        </w:rPr>
      </w:pPr>
      <w:r>
        <w:rPr>
          <w:rStyle w:val="Fontdeparagrafimplicit"/>
          <w:b/>
        </w:rPr>
        <w:t>CURTEA</w:t>
      </w:r>
    </w:p>
    <w:p w:rsidR="00D81A0D" w14:paraId="400D8C74" w14:textId="77777777">
      <w:pPr>
        <w:jc w:val="center"/>
        <w:rPr>
          <w:rStyle w:val="Fontdeparagrafimplicit"/>
        </w:rPr>
      </w:pPr>
    </w:p>
    <w:p w:rsidR="00D81A0D" w14:paraId="62D2162E" w14:textId="77777777">
      <w:pPr>
        <w:jc w:val="center"/>
        <w:rPr>
          <w:rStyle w:val="Fontdeparagrafimplicit"/>
        </w:rPr>
      </w:pPr>
    </w:p>
    <w:p w:rsidR="00D81A0D" w14:paraId="30A9CCF6" w14:textId="77777777">
      <w:pPr>
        <w:ind w:firstLine="708"/>
        <w:jc w:val="both"/>
      </w:pPr>
      <w:r>
        <w:t>Deliberând asupra recursului, constată următoarele:</w:t>
      </w:r>
    </w:p>
    <w:p w:rsidR="00D81A0D" w14:paraId="7D28C292" w14:textId="1B6F38FA">
      <w:pPr>
        <w:ind w:firstLine="708"/>
        <w:jc w:val="both"/>
      </w:pPr>
      <w:r>
        <w:t xml:space="preserve">Prin </w:t>
      </w:r>
      <w:r>
        <w:rPr>
          <w:rStyle w:val="Fontdeparagrafimplicit"/>
          <w:b/>
        </w:rPr>
        <w:t xml:space="preserve">sentinţa nr. </w:t>
      </w:r>
      <w:r w:rsidR="00C834EA">
        <w:rPr>
          <w:rStyle w:val="Fontdeparagrafimplicit"/>
          <w:b/>
        </w:rPr>
        <w:t>..../.............</w:t>
      </w:r>
      <w:r>
        <w:rPr>
          <w:rStyle w:val="Fontdeparagrafimplicit"/>
          <w:b/>
        </w:rPr>
        <w:t xml:space="preserve"> pronunţată de Tribunalul </w:t>
      </w:r>
      <w:r w:rsidR="00DF5D9E">
        <w:rPr>
          <w:rStyle w:val="Fontdeparagrafimplicit"/>
          <w:b/>
        </w:rPr>
        <w:t>..A..</w:t>
      </w:r>
      <w:r>
        <w:rPr>
          <w:rStyle w:val="Fontdeparagrafimplicit"/>
          <w:b/>
        </w:rPr>
        <w:t xml:space="preserve"> Secţia Contencios Administrativ şi Fiscal în dosarul nr. </w:t>
      </w:r>
      <w:r w:rsidR="00DF5D9E">
        <w:rPr>
          <w:rStyle w:val="Fontdeparagrafimplicit"/>
          <w:b/>
        </w:rPr>
        <w:t>..../.../2019</w:t>
      </w:r>
      <w:r>
        <w:t xml:space="preserve"> a fost respinsă acţiunea formulată de </w:t>
      </w:r>
      <w:bookmarkStart w:name="_Hlk236599946" w:id="8"/>
      <w:r>
        <w:t xml:space="preserve">reclamantul </w:t>
      </w:r>
      <w:r w:rsidR="00DF5D9E">
        <w:t>...Y...</w:t>
      </w:r>
      <w:bookmarkEnd w:id="8"/>
      <w:r>
        <w:t>, CU DOM. PROCEDURAL ALES LA SPARL "</w:t>
      </w:r>
      <w:r w:rsidR="00DF5D9E">
        <w:t>.................</w:t>
      </w:r>
      <w:r>
        <w:t xml:space="preserve">", în </w:t>
      </w:r>
      <w:r w:rsidR="00C97BBC">
        <w:t>..............................</w:t>
      </w:r>
      <w:r>
        <w:t xml:space="preserve">, în contradictoriu cu pârâţii ADMINISTRAŢIA JUDEŢEANĂ A FINANŢELOR PUBLICE </w:t>
      </w:r>
      <w:r w:rsidR="00DF5D9E">
        <w:t>..A..</w:t>
      </w:r>
      <w:r>
        <w:t xml:space="preserve">, cu sediul în </w:t>
      </w:r>
      <w:r w:rsidR="00C97BBC">
        <w:t>.............................</w:t>
      </w:r>
      <w:r>
        <w:t xml:space="preserve">, </w:t>
      </w:r>
      <w:bookmarkStart w:name="_Hlk236600187" w:id="9"/>
      <w:r w:rsidR="00C834EA">
        <w:t>...Q...</w:t>
      </w:r>
      <w:r>
        <w:t xml:space="preserve"> SRL</w:t>
      </w:r>
      <w:bookmarkEnd w:id="9"/>
      <w:r>
        <w:t xml:space="preserve">, cu sediul în </w:t>
      </w:r>
      <w:r w:rsidR="00C97BBC">
        <w:t>...................................</w:t>
      </w:r>
      <w:r>
        <w:t xml:space="preserve"> şi </w:t>
      </w:r>
      <w:r w:rsidR="00C834EA">
        <w:t>...X...</w:t>
      </w:r>
      <w:r>
        <w:t xml:space="preserve">, domiciliat în </w:t>
      </w:r>
      <w:r w:rsidR="00C97BBC">
        <w:t>...................................</w:t>
      </w:r>
      <w:r>
        <w:t xml:space="preserve">,  privind suspendarea executării Deciziei </w:t>
      </w:r>
      <w:r w:rsidR="00C834EA">
        <w:t>........</w:t>
      </w:r>
      <w:r>
        <w:t>/2019. S-a dispus restituirea către reclamant a cauţiunii achitate în dosar.</w:t>
      </w:r>
    </w:p>
    <w:p w:rsidR="00D81A0D" w14:paraId="1FBD46A3" w14:textId="4C206FD4">
      <w:pPr>
        <w:ind w:firstLine="708"/>
        <w:jc w:val="both"/>
      </w:pPr>
      <w:r>
        <w:t xml:space="preserve">Împotriva acestei sentinţe a declarat recurs reclamantul </w:t>
      </w:r>
      <w:r w:rsidR="00DF5D9E">
        <w:t>...Y...</w:t>
      </w:r>
      <w:r>
        <w:t>, criticând-o pentru nelegalitate şi netemeinicie.</w:t>
      </w:r>
    </w:p>
    <w:p w:rsidR="00D81A0D" w14:paraId="3B4BAEC3" w14:textId="77777777">
      <w:pPr>
        <w:pStyle w:val="Frspaiere"/>
        <w:ind w:firstLine="708"/>
        <w:jc w:val="both"/>
      </w:pPr>
      <w:r>
        <w:t>În motivare, după expunerea situaţiei de fapt, a arătat că sentinţa este dată cu aplicarea greşită a prevederilor art. 2 lit. t şi ş din Legea nr. 554/2004 cu trimitere şi la prevederile art. 25 alin. 2 lit. b, c şi d Legea 207/2015 privind Codul de procedură fiscală.</w:t>
      </w:r>
    </w:p>
    <w:p w:rsidR="00D81A0D" w14:paraId="617C369F" w14:textId="77777777">
      <w:pPr>
        <w:pStyle w:val="Frspaiere"/>
        <w:ind w:firstLine="708"/>
        <w:jc w:val="both"/>
      </w:pPr>
      <w:r>
        <w:t>Referitor la cazul bine justificat:</w:t>
      </w:r>
    </w:p>
    <w:p w:rsidR="00D81A0D" w14:paraId="75484C0C" w14:textId="77777777">
      <w:pPr>
        <w:pStyle w:val="Frspaiere"/>
        <w:ind w:firstLine="708"/>
        <w:jc w:val="both"/>
      </w:pPr>
      <w:r>
        <w:t>În speţă, actul administrativ reprezintă decizie de antrenare întemeiată pe prevederile art. 25 alin. 2 lit. b, c şi d  - Pentru obligaţiile de plată restante ale debitorului declarat insolvabil în condiţiile prezentului cod, răspund solidar cu acesta următoarele persoane:</w:t>
      </w:r>
    </w:p>
    <w:p w:rsidR="00D81A0D" w14:paraId="719A63D7" w14:textId="77777777">
      <w:pPr>
        <w:pStyle w:val="Frspaiere"/>
        <w:ind w:firstLine="708"/>
        <w:jc w:val="both"/>
      </w:pPr>
      <w:r>
        <w:t>a)administratorii, asociaţii, acţionarii şi orice alte persoane care au provocat insolvabilitatea persoanei juridice debitoare prin înstrăinarea sau ascunderea, cu rea-credinţă, sub orice formă, a activelor debitorului;</w:t>
      </w:r>
    </w:p>
    <w:p w:rsidR="00D81A0D" w14:paraId="4AF51622" w14:textId="77777777">
      <w:pPr>
        <w:pStyle w:val="Frspaiere"/>
        <w:ind w:firstLine="708"/>
        <w:jc w:val="both"/>
      </w:pPr>
      <w:r>
        <w:t>b)administratorii care, în perioada exercitării mandatului, cu rea-credinţă, nu şi-au îndeplinit obligaţia legală de a cere instanţei competente deschiderea procedurii insolvenţei, pentru obligaţiile fiscale aferente perioadei respective şi rămase neachitate la data declarării stării de insolvabilitate;</w:t>
      </w:r>
    </w:p>
    <w:p w:rsidR="00D81A0D" w14:paraId="375EE6E6" w14:textId="77777777">
      <w:pPr>
        <w:pStyle w:val="Frspaiere"/>
        <w:ind w:firstLine="708"/>
        <w:jc w:val="both"/>
      </w:pPr>
      <w:r>
        <w:t>c)administratorii sau orice alte persoane care, cu rea-credinţă, au determinat nedeclararea şi/sau neachitarea la scadenţă a obligaţiilor fiscale;</w:t>
      </w:r>
    </w:p>
    <w:p w:rsidR="00D81A0D" w14:paraId="4ECCE982" w14:textId="77777777">
      <w:pPr>
        <w:pStyle w:val="Frspaiere"/>
        <w:ind w:firstLine="708"/>
        <w:jc w:val="both"/>
      </w:pPr>
      <w:r>
        <w:t>Această răspundere reprezintă în esenţă o răspundere civilă delictuală, având un element material specific, iar în cazul oricărei situaţii ce ar întemeia antrenarea este nevoie de o intenţie directă.</w:t>
      </w:r>
    </w:p>
    <w:p w:rsidR="00D81A0D" w14:paraId="262705E8" w14:textId="77777777">
      <w:pPr>
        <w:pStyle w:val="Frspaiere"/>
        <w:ind w:firstLine="708"/>
        <w:jc w:val="both"/>
      </w:pPr>
      <w:r>
        <w:t>Analiza pe fond a unei astfel de decizii presupune cercetarea conţinutului deciziei, argumentele organului fiscal şi intenţia cu care faptele sau omisiunea imputată au fost săvârşite.</w:t>
      </w:r>
    </w:p>
    <w:p w:rsidR="00D81A0D" w14:paraId="421A5B6A" w14:textId="77777777">
      <w:pPr>
        <w:pStyle w:val="Frspaiere"/>
        <w:ind w:firstLine="708"/>
        <w:jc w:val="both"/>
      </w:pPr>
      <w:r>
        <w:t>În schimb, elementele principale pe care cererea de suspendare a fost întemeiată, sub aspectul cazului bine justificat, sunt reprezentate de două înscrisuri, raportul lichidatorului şi procesul verbal de control din 23.10.2018.</w:t>
      </w:r>
    </w:p>
    <w:p w:rsidR="00D81A0D" w14:paraId="0831CBF3" w14:textId="77777777">
      <w:pPr>
        <w:pStyle w:val="Frspaiere"/>
        <w:ind w:firstLine="708"/>
        <w:jc w:val="both"/>
      </w:pPr>
      <w:r>
        <w:t>Singura împrejurare concretă invocată în decizie, este cea referitoare la diferenţa dintre situaţia financiară a anului 2016 şi cea a anului 2017, atunci când nu mai figurează activele circulante.</w:t>
      </w:r>
    </w:p>
    <w:p w:rsidR="00D81A0D" w14:paraId="7969E5F7" w14:textId="77777777">
      <w:pPr>
        <w:pStyle w:val="Frspaiere"/>
        <w:ind w:firstLine="708"/>
        <w:jc w:val="both"/>
      </w:pPr>
      <w:r>
        <w:t>Acesta a fost argumentul pe care a înţeles să îl combată sub aspectul văditei aparenţe de nelegalitate, fără a pretinde o analiză ce ar fi antamat întradevăr fondul cauzei.</w:t>
      </w:r>
    </w:p>
    <w:p w:rsidR="00D81A0D" w14:paraId="6EA839E0" w14:textId="77777777">
      <w:pPr>
        <w:pStyle w:val="Frspaiere"/>
        <w:ind w:firstLine="708"/>
        <w:jc w:val="both"/>
      </w:pPr>
      <w:r>
        <w:t>În realitate, aceste active au reprezentat în cea mai mare parte stocuri de marfă care fie s-au degradat din cauza scăderii activităţii, fie au fost valorificate şi achitate creanţe salariale, iar în acest sens solicită să se aibă în vedere:</w:t>
      </w:r>
    </w:p>
    <w:p w:rsidR="00D81A0D" w14:paraId="46C13E09" w14:textId="77777777">
      <w:pPr>
        <w:pStyle w:val="Frspaiere"/>
        <w:ind w:firstLine="708"/>
        <w:jc w:val="both"/>
      </w:pPr>
      <w:r>
        <w:t>-raportul administratorului judiciar cu privire la cauzele ce au determinat starea de insolvenţă;</w:t>
      </w:r>
    </w:p>
    <w:p w:rsidR="00D81A0D" w14:paraId="7E75BC41" w14:textId="77777777">
      <w:pPr>
        <w:pStyle w:val="Frspaiere"/>
        <w:ind w:firstLine="708"/>
        <w:jc w:val="both"/>
      </w:pPr>
      <w:r>
        <w:t>-procesul verbal de control din 23.10.2018 întocmit chiar de organul fiscal după deschiderea procedurii.</w:t>
      </w:r>
    </w:p>
    <w:p w:rsidR="00D81A0D" w14:paraId="05C3F36A" w14:textId="77777777">
      <w:pPr>
        <w:pStyle w:val="Frspaiere"/>
        <w:ind w:firstLine="708"/>
        <w:jc w:val="both"/>
      </w:pPr>
      <w:r>
        <w:t>În acest act de control se mai reţine că societatea a efectuat inventarierea patrimoniului şi că riscul fiscal prezentat este 0.</w:t>
      </w:r>
    </w:p>
    <w:p w:rsidR="00D81A0D" w14:paraId="495DEF44" w14:textId="77777777">
      <w:pPr>
        <w:pStyle w:val="Frspaiere"/>
        <w:ind w:firstLine="708"/>
        <w:jc w:val="both"/>
      </w:pPr>
      <w:r>
        <w:t>De asemenea, conform concluziilor controlului, fiind analizată perioada 2015-2017, potrivit documentelor societăţii a rezultat că societatea nu a transferat patrimoniu.</w:t>
      </w:r>
    </w:p>
    <w:p w:rsidR="00D81A0D" w14:paraId="33B0E1AA" w14:textId="77777777">
      <w:pPr>
        <w:pStyle w:val="Frspaiere"/>
        <w:ind w:firstLine="708"/>
        <w:jc w:val="both"/>
      </w:pPr>
      <w:r>
        <w:t>Implicit, trebuie avut în vedere că nu au existat indicii potrivit cărora stocurile ar fi fost lipsă şi ar fi existat nevoia de impunere suplimentară sub acest aspect.</w:t>
      </w:r>
    </w:p>
    <w:p w:rsidR="00D81A0D" w14:paraId="23CE080F" w14:textId="77777777">
      <w:pPr>
        <w:pStyle w:val="Frspaiere"/>
        <w:ind w:firstLine="708"/>
        <w:jc w:val="both"/>
        <w:rPr>
          <w:rStyle w:val="Fontdeparagrafimplicit"/>
          <w:u w:val="single"/>
        </w:rPr>
      </w:pPr>
      <w:r>
        <w:rPr>
          <w:rStyle w:val="Fontdeparagrafimplicit"/>
          <w:u w:val="single"/>
        </w:rPr>
        <w:t>Aşadar, chiar dacă se ignoră raportul, sustinând că ar putea fi avut în vedere în cadrul dosarului de fond, procesul verbal de control nu poate fi ignorat întrucât materializează un control anterior, al aceluiaşi organ fiscal şi care vizează tocmai împrejurarea imputată la acest moment.</w:t>
      </w:r>
    </w:p>
    <w:p w:rsidR="00D81A0D" w14:paraId="3217DE00" w14:textId="77777777">
      <w:pPr>
        <w:pStyle w:val="Frspaiere"/>
        <w:ind w:firstLine="708"/>
        <w:jc w:val="both"/>
      </w:pPr>
      <w:r>
        <w:t>De asemenea, apreciează reclamantul că următoarele aspecte invocate prin cerere nu sunt în măsură să antameze fondul cauzei, ci dimpotrivă trebuiau valorificate ca atare în ceea ce priveşte cazul bine justificat, întrucât nu pun în discuţie o analiză a răspunderii civile:</w:t>
      </w:r>
    </w:p>
    <w:p w:rsidR="00D81A0D" w14:paraId="58AC6277" w14:textId="77777777">
      <w:pPr>
        <w:pStyle w:val="Frspaiere"/>
        <w:ind w:firstLine="708"/>
        <w:jc w:val="both"/>
      </w:pPr>
      <w:r>
        <w:t>-nu se analizează în decizie motivele pentru care societatea a pierdut facilitatea eşalonării, activitatea societăţii la momentul la care i se aprobă cererea şi momentul la care pierde această eşalonare pentru a determina în ce măsură această consecinţă a fost una deliberată sau determinată de climat economic nefavorabil sau factori ce nu au fost sau putut fi influenţaţi de reprezentanţi;</w:t>
      </w:r>
    </w:p>
    <w:p w:rsidR="00D81A0D" w14:paraId="684A5F79" w14:textId="77777777">
      <w:pPr>
        <w:pStyle w:val="Frspaiere"/>
        <w:ind w:firstLine="708"/>
        <w:jc w:val="both"/>
      </w:pPr>
      <w:r>
        <w:t>-se enumeră că în anumite momente nu s-au depus declaraţii deşi ulterior deschiderii procedurii a fost verificată activitatea societăţii, iar controlul a determinat că nu există nereguli şi riscul fiscal este o; or, cum se poate susţine că riscul fiscal este o, că indirect situaţia societăţii este una creată de un context economic nefavorabil, că nu se identifică operaţiuni care să conducă la o suspiciune de fraudă, pentru ca mai apoi, fără a exista probe concrete să fie invocate trei temeiuri ale antrenării care contrazic acest control;</w:t>
      </w:r>
    </w:p>
    <w:p w:rsidR="00D81A0D" w14:paraId="083D828C" w14:textId="77777777">
      <w:pPr>
        <w:pStyle w:val="Frspaiere"/>
        <w:ind w:firstLine="708"/>
        <w:jc w:val="both"/>
      </w:pPr>
      <w:r>
        <w:t>-deşi perioada fiscală 2016-2017 a fost verificată după deschiderea procedurii şi atunci nu au fost identificate elemente care să conducă la oportunitatea unei antrenări, acum se invocă aceleaşi documente pentru a se trasa o concluzie bazată pe o prezumţie simplă, că stocurile au fost înstrăinate cu rea-credinţă, fără a fi analizate alte mişcări de natură contabilă ce sunt în mod direct influenţate sau ar trebui să fie în mod direct influenţate de eventuala dispariţie a activelor circulante.</w:t>
      </w:r>
    </w:p>
    <w:p w:rsidR="00D81A0D" w14:paraId="3AC5E351" w14:textId="77777777">
      <w:pPr>
        <w:pStyle w:val="Frspaiere"/>
        <w:ind w:firstLine="708"/>
        <w:jc w:val="both"/>
      </w:pPr>
      <w:r>
        <w:t>În concluzie, a prezentat dovezi şi înscrisuri, sub aspectul cazului bine justificat, înscrisuri ce reprezintă materializarea unor verificări anterioare ale organului fiscal şi care au vizat chiar împrejurarea principală imputată prin decizie.</w:t>
      </w:r>
    </w:p>
    <w:p w:rsidR="00D81A0D" w14:paraId="54AE6594" w14:textId="77777777">
      <w:pPr>
        <w:pStyle w:val="Frspaiere"/>
        <w:ind w:firstLine="708"/>
        <w:jc w:val="both"/>
      </w:pPr>
      <w:r>
        <w:t>În privinţa pagubei iminente, s-a reţinut că nu s-au prezentat înscrisuri relevante şi că doar o diminuare ilicită a patrimoniului se încadrează în noţiunea de pagubă.</w:t>
      </w:r>
    </w:p>
    <w:p w:rsidR="00D81A0D" w14:paraId="417BBFB9" w14:textId="77777777">
      <w:pPr>
        <w:pStyle w:val="Frspaiere"/>
        <w:ind w:firstLine="708"/>
        <w:jc w:val="both"/>
      </w:pPr>
      <w:r>
        <w:t>O astfel de apreciere nu poate fi reţinută ca fiind corectă întrucât indirect ar însemna ca paguba să fie analizată doar în cadrul unei cereri prin care se repară prejudiciul rezultat din executarea actului.</w:t>
      </w:r>
    </w:p>
    <w:p w:rsidR="00D81A0D" w14:paraId="4376F7B2" w14:textId="77777777">
      <w:pPr>
        <w:pStyle w:val="Frspaiere"/>
        <w:ind w:firstLine="708"/>
        <w:jc w:val="both"/>
      </w:pPr>
      <w:r>
        <w:t>Pe de altă parte, apreciază că un astfel de considerent este temeinic numai în măsura în care o astfel de analiză este subsecventă analizei cazului bine justificat, în care această din urmă condiţie este reţinută ca fiind îndeplinită şi astfel paguba în rezultă din executarea unui act ce în aparenţă este nelegal.</w:t>
      </w:r>
    </w:p>
    <w:p w:rsidR="00D81A0D" w14:paraId="46093930" w14:textId="77777777">
      <w:pPr>
        <w:pStyle w:val="Frspaiere"/>
        <w:ind w:firstLine="708"/>
        <w:jc w:val="both"/>
      </w:pPr>
      <w:r>
        <w:t>În atare situaţie, reiterează cele prezentate în cuprinsul cererii introductive şi dovedite cu înscrisurile la dosar, respectiv:</w:t>
      </w:r>
    </w:p>
    <w:p w:rsidR="00D81A0D" w14:paraId="6AE3B1E3" w14:textId="77777777">
      <w:pPr>
        <w:pStyle w:val="Frspaiere"/>
        <w:ind w:firstLine="708"/>
        <w:jc w:val="both"/>
      </w:pPr>
      <w:r>
        <w:t>-certificat de atestare fiscală din care rezultă că deţine în proprietate un teren;</w:t>
      </w:r>
    </w:p>
    <w:p w:rsidR="00D81A0D" w14:paraId="3C2C4E4C" w14:textId="77777777">
      <w:pPr>
        <w:pStyle w:val="Frspaiere"/>
        <w:ind w:firstLine="708"/>
        <w:jc w:val="both"/>
      </w:pPr>
      <w:r>
        <w:t>-adeverinţă de venit din care rezultă că în anul 2018 a obţinut un venit de 38 lei;</w:t>
      </w:r>
    </w:p>
    <w:p w:rsidR="00D81A0D" w14:paraId="0AC484C4" w14:textId="77777777">
      <w:pPr>
        <w:pStyle w:val="Frspaiere"/>
        <w:ind w:firstLine="708"/>
        <w:jc w:val="both"/>
      </w:pPr>
      <w:r>
        <w:t>-adeverinţă de venit din care rezultă că în anul 2019 a obţinut până la acest moment un venit net de 6501 lei.</w:t>
      </w:r>
    </w:p>
    <w:p w:rsidR="00D81A0D" w14:paraId="30260DCC" w14:textId="77777777">
      <w:pPr>
        <w:pStyle w:val="Frspaiere"/>
        <w:ind w:firstLine="708"/>
        <w:jc w:val="both"/>
      </w:pPr>
      <w:r>
        <w:t>-contract de credit garantat cu ipotecă personală, în valoare de 44550 euro, având o rată lunară de 338 euro.</w:t>
      </w:r>
    </w:p>
    <w:p w:rsidR="00D81A0D" w14:paraId="3EEC2699" w14:textId="77777777">
      <w:pPr>
        <w:pStyle w:val="Frspaiere"/>
        <w:ind w:firstLine="708"/>
        <w:jc w:val="both"/>
      </w:pPr>
      <w:r>
        <w:t>Apreciază că nu se poate în nicio situaţie reţine, faţă de particularitatea că în speţă este vorba de afectarea patrimoniului unei persoane fizice, că trebuiau depuse alte înscrisuri sau că acestea nu sunt relevante.</w:t>
      </w:r>
    </w:p>
    <w:p w:rsidR="00D81A0D" w14:paraId="04918D1C" w14:textId="77777777">
      <w:pPr>
        <w:pStyle w:val="Frspaiere"/>
        <w:ind w:firstLine="708"/>
        <w:jc w:val="both"/>
      </w:pPr>
      <w:r>
        <w:t>Prima analiză ce trebuia efectuată de instanţă sub aspectul pagubei iminente, era aceea în raport de valoarea creanţei pentru care i se atrage răspunderea şi având în vedere că veniturile obţinute nu sunt suficiente pentru a acoperi această creanţă, fiind astfel evident că executarea silită se va extinde asupra vânzării locuinţei deţinute în coproprietate cu soţia şi în care locuiesc împreună.</w:t>
      </w:r>
    </w:p>
    <w:p w:rsidR="00D81A0D" w14:paraId="5EDF1043" w14:textId="77777777">
      <w:pPr>
        <w:pStyle w:val="Frspaiere"/>
        <w:ind w:firstLine="708"/>
        <w:jc w:val="both"/>
      </w:pPr>
      <w:r>
        <w:t>A doua analiză era aceea că paguba este una iremediabilă întrucât această procedură, ca şi durată, este una mult mai scurtă în comparaţie cu procedura judiciară a anulării actului, în condiţiile în care până la soluţionarea prezentei cereri nu mi se va comunica nici măcar răspunsul la procedura prealabilă.</w:t>
      </w:r>
    </w:p>
    <w:p w:rsidR="00D81A0D" w14:paraId="2E7FB0CF" w14:textId="77777777">
      <w:pPr>
        <w:pStyle w:val="Frspaiere"/>
        <w:ind w:firstLine="708"/>
        <w:jc w:val="both"/>
      </w:pPr>
      <w:r>
        <w:t>Astfel, în eventualitatea în care actiunea de fond s-ar admite, prevederile procesual fiscale nu reglełnentează calea întoarcerii executării silite, ci doar pe aceea a restituirii sumelor încasate de pe urma vânzării (art. 168 C.pr.fisc.).</w:t>
      </w:r>
    </w:p>
    <w:p w:rsidR="00D81A0D" w14:paraId="73AEC033" w14:textId="77777777">
      <w:pPr>
        <w:pStyle w:val="Frspaiere"/>
        <w:ind w:firstLine="708"/>
        <w:jc w:val="both"/>
      </w:pPr>
      <w:r>
        <w:t>In concluzie, apreciază că analiza instanţei sub aspectul pagubei iminente a fost una superficială, că înscrisurile depuse la dosar reflectă integrat efectele executării asupra patrimoniului astfel că în eventualitatea în care cererea de suspendare ar fi respinsă, paguba nu poate fi remediată deşi acţiunea de fond ar fi admisă.</w:t>
      </w:r>
    </w:p>
    <w:p w:rsidR="00D81A0D" w14:paraId="12105DEA" w14:textId="77777777">
      <w:pPr>
        <w:pStyle w:val="Frspaiere"/>
        <w:ind w:firstLine="708"/>
        <w:jc w:val="both"/>
      </w:pPr>
      <w:r>
        <w:t>În drept, a invocat prevederile art. 488 alin. 1 pct. 8 C.pr.civ.</w:t>
      </w:r>
    </w:p>
    <w:p w:rsidR="00D81A0D" w14:paraId="18EF9760" w14:textId="77777777">
      <w:pPr>
        <w:pStyle w:val="Frspaiere"/>
        <w:ind w:firstLine="708"/>
        <w:jc w:val="both"/>
      </w:pPr>
      <w:r>
        <w:t>Intimaţii-pârâţi, legal citaţi, nu au formulat întâmpinare.</w:t>
      </w:r>
    </w:p>
    <w:p w:rsidR="00D81A0D" w14:paraId="3A8F0EA6" w14:textId="77777777">
      <w:pPr>
        <w:ind w:firstLine="708"/>
        <w:jc w:val="both"/>
        <w:rPr>
          <w:rStyle w:val="Fontdeparagrafimplicit"/>
          <w:b/>
        </w:rPr>
      </w:pPr>
      <w:r>
        <w:rPr>
          <w:rStyle w:val="Fontdeparagrafimplicit"/>
          <w:b/>
        </w:rPr>
        <w:t>Analizând recursul prin prisma motivului de casare invocat şi a dispoziţiilor legale incidente, Curtea reţine că acesta este nefondat, pentru considerentele ce succed:</w:t>
      </w:r>
    </w:p>
    <w:p w:rsidR="00D81A0D" w14:paraId="1D31C8CE" w14:textId="77777777">
      <w:pPr>
        <w:ind w:firstLine="708"/>
        <w:jc w:val="both"/>
      </w:pPr>
      <w:r>
        <w:t>Ca și motiv de casare au fost invocate dispozițiile art.488 alin.1 pct.8 din c.p.c., respectiv atunci când hotărârea a fost dată cu încălcarea sau aplicarea greșită a normelor de drept material, în concret invocându-se aplicarea greșită a dispozițiilor art.2 alin.1 lit.t și ș din legea nr.554/2004 a contenciosului administrativ, cu trimitere la prevederile art.25 alin.2 lit.b, c și d din Legea nr.207/2015 privind Codul fiscal.</w:t>
      </w:r>
    </w:p>
    <w:p w:rsidR="00D81A0D" w14:paraId="19F139CA" w14:textId="77777777">
      <w:pPr>
        <w:ind w:firstLine="708"/>
        <w:jc w:val="both"/>
      </w:pPr>
      <w:r>
        <w:t>La examinarea acestui motiv de casare curtea va porni de la același principiu ca și instanța de fond, respectiv acela că suspendarea executării actului administrativ este o operațiune de întrerupere temporară a efectele acestuia, fiind o măsură de excepție care se justifică numai dacă actul conține dispoziții a căror îndeplinire ar produce consecințe grave sau imposibil de înlăturat în ipoteza în care acesta ar fi ulterior anulat prin hotărâre judecătorească, în acest sens fiind și prevederile art.14 din legea nr.554/2004 a contenciosului administrativ care prevede două condiții cumulative exprese pentru a se putea dispune această măsură, respectiv cazul bine justificat și existența unei pagube iminente (art.2 alin.1 pct.t și ș din același act normativ).</w:t>
      </w:r>
    </w:p>
    <w:p w:rsidR="00D81A0D" w14:paraId="5642C1A3" w14:textId="77777777">
      <w:pPr>
        <w:ind w:firstLine="708"/>
        <w:jc w:val="both"/>
      </w:pPr>
      <w:r>
        <w:t>Referitor la prima condiție (cazul bine justificat), doctrina și jurisprudența au precizat constant că aceasta, pornind de la definiția legală prevăzută de textul menționat anterior, presupune existența unor vicii grave și evidente ale actului administrativ a cărui suspendare se solicită, precum emiterea lui de un organ necompetent ori nemotivarea totală sau parțială în fapt sau în drept, invocarea ca și argumente a unor aspecte care țin de fondul litigiului privind legalitatea și temeinicia sa neputând fi folosită în cadrul procesual al unei astfel de cereri.</w:t>
      </w:r>
    </w:p>
    <w:p w:rsidR="00D81A0D" w14:paraId="5A0B8073" w14:textId="77777777">
      <w:pPr>
        <w:ind w:firstLine="708"/>
        <w:jc w:val="both"/>
      </w:pPr>
      <w:r>
        <w:t>În argumentarea existenței acestei condiții a cazului bine justificat, recurentul a invocat faptul că tribunalul nu a avut în vedere, pe de o parte, două înscrisuri (raportul lichidatorului și procesul verbal de control din data de 23.10.2018) relevante sub acest aspect, iar pe de altă parte, argumentele invocate privitoare la pierderea facilității eșalonării plății datoriilor de către societate, contextul economic nefavorabil și lipsa unei antrenării a răspunderii administratorului ulterior deschiderii procedurii insolvenței, toate reprezentând motive evidente pentru existența acestei condiții de suspendare a actului administrativ reprezentat de decizia de antrenare a răspunderii solidare.</w:t>
      </w:r>
    </w:p>
    <w:p w:rsidR="00D81A0D" w14:paraId="064BADBF" w14:textId="77777777">
      <w:pPr>
        <w:ind w:firstLine="708"/>
        <w:jc w:val="both"/>
      </w:pPr>
      <w:r>
        <w:t>Curtea apreciază că la analiza acestei condiții a suspendării deciziei de antrenare a răspunderii solidare, instanța de fond a făcut o corectă interpretare și aplicare a textului art.2 alin.1 lit.t din legea nr.554/2004 deoarece a luat în considerare și examinat fiecare din argumentele invocate de recurent, concluzionând just că în acest cadru procesual, unele din acestea nu sunt fondate (există o motivare în fapt și în drept), iar altele (natura actelor și operațiunilor care au determinat starea de insolvabilitate, precum și neachitarea obligațiilor către bugetul de stat) nu pot fi examinate deoarece ar antama fondul cauzei, în această ultimă categorie fiind și relevanța înscrisurilor și a motivelor indicate expres în recurs de reclamant.</w:t>
      </w:r>
    </w:p>
    <w:p w:rsidR="00D81A0D" w14:paraId="2055366E" w14:textId="77777777">
      <w:pPr>
        <w:ind w:firstLine="708"/>
        <w:jc w:val="both"/>
      </w:pPr>
      <w:r>
        <w:t>În ceea ce privește cea de-a doua condiție reprezentată de existența unei pagube iminente (art.2 alin.1 lit.ș din Legea nr.554/2004), curtea constată că aceasta are un caracter subsecvent față de existența cazului bine justificat (cum corect a reținut și instanța de fond), și cum în recurs au fost invocate aceleași argumente în susținerea acesteia ca și în fața instanței de fond referitoare la situația economică și financiară a recurentului reclamant, precum și riscurile pe care o eventuală executare a deciziei le-ar avea asupra sa și a familiei, instanța de control le apreciază ca fiind insuficiente pentru a face dovada existenței acestei condiții.</w:t>
      </w:r>
    </w:p>
    <w:p w:rsidR="00D81A0D" w14:paraId="0015DCBA" w14:textId="77777777">
      <w:pPr>
        <w:ind w:firstLine="708"/>
        <w:jc w:val="both"/>
      </w:pPr>
      <w:r>
        <w:t>Având în vedere considerațiile expuse anterior din care rezultă că instanța de fond a făcut o corectă interpretare și aplicare a dispozițiilor legale în materia suspendării executării actului administrativ prevăzute de Legea nr.554/2004 a contenciosului administrativ, curtea urmează a constat că nu este incident în cauză motivul de casare prevăzut de art.488 alin.1 pct.8 din c.p.c., astfel încât, în baza art.496 alin.1 din c.p.c., va respinge recursul ca nefondat.</w:t>
      </w:r>
    </w:p>
    <w:p w:rsidR="00D81A0D" w14:paraId="61C178FA" w14:textId="77777777">
      <w:pPr>
        <w:ind w:firstLine="708"/>
        <w:jc w:val="both"/>
      </w:pPr>
    </w:p>
    <w:p w:rsidR="00D81A0D" w14:paraId="564AEB82" w14:textId="77777777">
      <w:pPr>
        <w:ind w:firstLine="708"/>
        <w:jc w:val="both"/>
      </w:pPr>
    </w:p>
    <w:p w:rsidR="00D81A0D" w14:paraId="1339B5CB" w14:textId="77777777"/>
    <w:p w:rsidR="00D81A0D" w14:paraId="27FFDEE0" w14:textId="77777777">
      <w:pPr>
        <w:jc w:val="center"/>
        <w:rPr>
          <w:rStyle w:val="Fontdeparagrafimplicit"/>
          <w:b/>
        </w:rPr>
      </w:pPr>
      <w:r>
        <w:rPr>
          <w:rStyle w:val="Fontdeparagrafimplicit"/>
          <w:b/>
        </w:rPr>
        <w:t>PENTRU ACESTE MOTIVE,</w:t>
      </w:r>
      <w:r>
        <w:rPr>
          <w:rStyle w:val="Fontdeparagrafimplicit"/>
          <w:b/>
        </w:rPr>
        <w:br/>
        <w:t>ÎN NUMELE LEGII</w:t>
      </w:r>
    </w:p>
    <w:p w:rsidR="00D81A0D" w14:paraId="1E15FEB6" w14:textId="77777777">
      <w:pPr>
        <w:jc w:val="center"/>
        <w:rPr>
          <w:rStyle w:val="Fontdeparagrafimplicit"/>
          <w:b/>
        </w:rPr>
      </w:pPr>
      <w:r>
        <w:rPr>
          <w:rStyle w:val="Fontdeparagrafimplicit"/>
          <w:b/>
        </w:rPr>
        <w:t>DECIDE</w:t>
      </w:r>
    </w:p>
    <w:p w:rsidR="00D81A0D" w14:paraId="4CD93C98" w14:textId="77777777">
      <w:pPr>
        <w:rPr>
          <w:rStyle w:val="Fontdeparagrafimplicit"/>
        </w:rPr>
      </w:pPr>
    </w:p>
    <w:p w:rsidR="00D81A0D" w14:paraId="44F68110" w14:textId="77777777">
      <w:pPr>
        <w:rPr>
          <w:rStyle w:val="Fontdeparagrafimplicit"/>
        </w:rPr>
      </w:pPr>
    </w:p>
    <w:p w:rsidR="00D81A0D" w14:paraId="3FC22797" w14:textId="3EB895F4">
      <w:pPr>
        <w:ind w:firstLine="708"/>
        <w:jc w:val="both"/>
      </w:pPr>
      <w:r>
        <w:t xml:space="preserve">Respinge recursul formulat de recurentul-reclamant </w:t>
      </w:r>
      <w:r w:rsidR="00DF5D9E">
        <w:rPr>
          <w:rStyle w:val="Fontdeparagrafimplicit"/>
          <w:b/>
        </w:rPr>
        <w:t>...Y...</w:t>
      </w:r>
      <w:r>
        <w:t xml:space="preserve"> împotriva sentinţei nr. </w:t>
      </w:r>
      <w:r w:rsidR="00C834EA">
        <w:t>..../.............</w:t>
      </w:r>
      <w:r>
        <w:t xml:space="preserve"> pronunţată de Tribunalul </w:t>
      </w:r>
      <w:r w:rsidR="00DF5D9E">
        <w:t>..A..</w:t>
      </w:r>
      <w:r>
        <w:t xml:space="preserve"> Secţia Contencios Administrativ şi Fiscal în dosarul </w:t>
      </w:r>
      <w:r>
        <w:t xml:space="preserve">nr. </w:t>
      </w:r>
      <w:r w:rsidR="00DF5D9E">
        <w:t>..../.../2019</w:t>
      </w:r>
      <w:r>
        <w:t xml:space="preserve">, în contradictoriu cu intimaţii-pârâţi </w:t>
      </w:r>
      <w:r>
        <w:rPr>
          <w:rStyle w:val="Fontdeparagrafimplicit"/>
          <w:b/>
        </w:rPr>
        <w:t xml:space="preserve">ADMINISTRAŢIA JUDEŢEANĂ A FINANŢELOR PUBLICE </w:t>
      </w:r>
      <w:r w:rsidR="00DF5D9E">
        <w:rPr>
          <w:rStyle w:val="Fontdeparagrafimplicit"/>
          <w:b/>
        </w:rPr>
        <w:t>..A..</w:t>
      </w:r>
      <w:r>
        <w:rPr>
          <w:rStyle w:val="Fontdeparagrafimplicit"/>
          <w:b/>
        </w:rPr>
        <w:t xml:space="preserve">, </w:t>
      </w:r>
      <w:r w:rsidR="00C834EA">
        <w:rPr>
          <w:rStyle w:val="Fontdeparagrafimplicit"/>
          <w:b/>
        </w:rPr>
        <w:t>...Q...</w:t>
      </w:r>
      <w:r>
        <w:rPr>
          <w:rStyle w:val="Fontdeparagrafimplicit"/>
          <w:b/>
        </w:rPr>
        <w:t xml:space="preserve"> SRL şi </w:t>
      </w:r>
      <w:r w:rsidR="00C834EA">
        <w:rPr>
          <w:rStyle w:val="Fontdeparagrafimplicit"/>
          <w:b/>
        </w:rPr>
        <w:t>...X...</w:t>
      </w:r>
      <w:r>
        <w:t>, ca nefondat.</w:t>
      </w:r>
    </w:p>
    <w:p w:rsidR="00D81A0D" w14:paraId="1675B176" w14:textId="77777777">
      <w:pPr>
        <w:ind w:firstLine="708"/>
        <w:jc w:val="both"/>
      </w:pPr>
      <w:r>
        <w:t>Definitivă.</w:t>
      </w:r>
    </w:p>
    <w:p w:rsidR="00D81A0D" w14:paraId="3C25BB08" w14:textId="49294D03">
      <w:pPr>
        <w:ind w:firstLine="708"/>
        <w:jc w:val="both"/>
      </w:pPr>
      <w:r>
        <w:t xml:space="preserve">Pronunţată în şedinţa </w:t>
      </w:r>
      <w:bookmarkStart w:name="tip_sedinta_copie_2" w:id="10"/>
      <w:r>
        <w:t>publică</w:t>
      </w:r>
      <w:bookmarkEnd w:id="10"/>
      <w:r>
        <w:t xml:space="preserve"> de la </w:t>
      </w:r>
      <w:r w:rsidR="00DF5D9E">
        <w:t>.................</w:t>
      </w:r>
      <w:r>
        <w:t>.</w:t>
      </w:r>
    </w:p>
    <w:p w:rsidR="00D81A0D" w14:paraId="0E850078" w14:textId="77777777"/>
    <w:p w:rsidR="00D81A0D" w14:paraId="1F6FB7EA" w14:textId="77777777">
      <w:pPr>
        <w:jc w:val="center"/>
      </w:pPr>
      <w:bookmarkStart w:name="completul_1" w:id="11"/>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6"/>
        <w:gridCol w:w="3095"/>
        <w:gridCol w:w="3095"/>
      </w:tblGrid>
      <w:tr w14:paraId="6959CCE2" w14:textId="77777777">
        <w:tblPrEx>
          <w:tblW w:w="0" w:type="auto"/>
          <w:tblLook w:val="04A0"/>
        </w:tblPrEx>
        <w:tc>
          <w:tcPr>
            <w:tcW w:w="3096" w:type="dxa"/>
          </w:tcPr>
          <w:p w:rsidR="00D81A0D" w14:paraId="1BEF47F4" w14:textId="77777777">
            <w:pPr>
              <w:jc w:val="center"/>
            </w:pPr>
            <w:r>
              <w:t>Preşedinte,</w:t>
            </w:r>
          </w:p>
          <w:p w:rsidR="00D81A0D" w14:paraId="45A81B1B" w14:textId="54204131">
            <w:pPr>
              <w:jc w:val="center"/>
            </w:pPr>
            <w:r>
              <w:t>.................</w:t>
            </w:r>
          </w:p>
        </w:tc>
        <w:tc>
          <w:tcPr>
            <w:tcW w:w="3096" w:type="dxa"/>
          </w:tcPr>
          <w:p w:rsidR="00D81A0D" w14:paraId="5D24AEE0" w14:textId="77777777">
            <w:pPr>
              <w:jc w:val="center"/>
            </w:pPr>
            <w:r>
              <w:t>Judecător,</w:t>
            </w:r>
          </w:p>
          <w:p w:rsidR="00D81A0D" w14:paraId="6355BFEF" w14:textId="1471F7F6">
            <w:pPr>
              <w:jc w:val="center"/>
            </w:pPr>
            <w:r>
              <w:t>A0001</w:t>
            </w:r>
          </w:p>
        </w:tc>
        <w:tc>
          <w:tcPr>
            <w:tcW w:w="3096" w:type="dxa"/>
          </w:tcPr>
          <w:p w:rsidR="00D81A0D" w14:paraId="6BB117A0" w14:textId="77777777">
            <w:pPr>
              <w:jc w:val="center"/>
            </w:pPr>
            <w:r>
              <w:t>Judecător,</w:t>
            </w:r>
          </w:p>
          <w:p w:rsidR="00D81A0D" w14:paraId="03E4533C" w14:textId="2912BDFC">
            <w:pPr>
              <w:jc w:val="center"/>
            </w:pPr>
            <w:r>
              <w:t>.................</w:t>
            </w:r>
          </w:p>
        </w:tc>
      </w:tr>
      <w:tr w14:paraId="2938DC08" w14:textId="77777777">
        <w:tblPrEx>
          <w:tblW w:w="0" w:type="auto"/>
          <w:tblLook w:val="04A0"/>
        </w:tblPrEx>
        <w:tc>
          <w:tcPr>
            <w:tcW w:w="3096" w:type="dxa"/>
          </w:tcPr>
          <w:p w:rsidR="00D81A0D" w14:paraId="3515DAC3" w14:textId="77777777">
            <w:pPr>
              <w:jc w:val="center"/>
            </w:pPr>
          </w:p>
        </w:tc>
        <w:tc>
          <w:tcPr>
            <w:tcW w:w="3096" w:type="dxa"/>
          </w:tcPr>
          <w:p w:rsidR="00D81A0D" w14:paraId="22762A75" w14:textId="77777777">
            <w:pPr>
              <w:jc w:val="center"/>
            </w:pPr>
            <w:r>
              <w:t>Grefier,</w:t>
            </w:r>
          </w:p>
          <w:p w:rsidR="00D81A0D" w14:paraId="2A478626" w14:textId="4B4F392C">
            <w:pPr>
              <w:jc w:val="center"/>
            </w:pPr>
            <w:r>
              <w:t>.................</w:t>
            </w:r>
          </w:p>
        </w:tc>
        <w:tc>
          <w:tcPr>
            <w:tcW w:w="3096" w:type="dxa"/>
          </w:tcPr>
          <w:p w:rsidR="00D81A0D" w14:paraId="14F229C3" w14:textId="77777777">
            <w:pPr>
              <w:jc w:val="center"/>
            </w:pPr>
          </w:p>
        </w:tc>
      </w:tr>
    </w:tbl>
    <w:p w:rsidR="00D81A0D" w14:paraId="055DEF9C" w14:textId="77777777">
      <w:pPr>
        <w:jc w:val="center"/>
      </w:pPr>
      <w:bookmarkEnd w:id="11"/>
    </w:p>
    <w:p w:rsidR="00D81A0D" w14:paraId="7FBDD8D5" w14:textId="77777777">
      <w:pPr>
        <w:jc w:val="center"/>
      </w:pPr>
    </w:p>
    <w:p w:rsidR="00D81A0D" w14:paraId="3134672E" w14:textId="77777777"/>
    <w:p w:rsidR="00D81A0D" w14:paraId="426716AB" w14:textId="734EEF1E">
      <w:pPr>
        <w:rPr>
          <w:rStyle w:val="Fontdeparagrafimplicit"/>
          <w:sz w:val="20"/>
        </w:rPr>
      </w:pPr>
      <w:r>
        <w:rPr>
          <w:rStyle w:val="Fontdeparagrafimplicit"/>
          <w:sz w:val="20"/>
        </w:rPr>
        <w:t>Red.</w:t>
      </w:r>
      <w:r w:rsidR="008C3E5D">
        <w:rPr>
          <w:rStyle w:val="Fontdeparagrafimplicit"/>
          <w:sz w:val="20"/>
        </w:rPr>
        <w:t>A0001/.......</w:t>
      </w:r>
    </w:p>
    <w:p w:rsidR="00D81A0D" w14:paraId="07DD787D" w14:textId="56B36EA9">
      <w:pPr>
        <w:rPr>
          <w:rStyle w:val="Fontdeparagrafimplicit"/>
          <w:sz w:val="20"/>
        </w:rPr>
      </w:pPr>
      <w:r>
        <w:rPr>
          <w:rStyle w:val="Fontdeparagrafimplicit"/>
          <w:sz w:val="20"/>
        </w:rPr>
        <w:t>Thred.</w:t>
      </w:r>
      <w:r w:rsidR="008C3E5D">
        <w:rPr>
          <w:rStyle w:val="Fontdeparagrafimplicit"/>
          <w:sz w:val="20"/>
        </w:rPr>
        <w:t>....../</w:t>
      </w:r>
      <w:r>
        <w:rPr>
          <w:rStyle w:val="Fontdeparagrafimplicit"/>
          <w:sz w:val="20"/>
        </w:rPr>
        <w:t>6 ex.</w:t>
      </w:r>
    </w:p>
    <w:p w:rsidR="00D81A0D" w14:paraId="56640922" w14:textId="55B731F9">
      <w:pPr>
        <w:rPr>
          <w:rStyle w:val="Fontdeparagrafimplicit"/>
          <w:sz w:val="20"/>
        </w:rPr>
      </w:pPr>
      <w:r>
        <w:rPr>
          <w:rStyle w:val="Fontdeparagrafimplicit"/>
          <w:sz w:val="20"/>
        </w:rPr>
        <w:t xml:space="preserve">Jud.fond </w:t>
      </w:r>
      <w:r w:rsidR="008C3E5D">
        <w:rPr>
          <w:rStyle w:val="Fontdeparagrafimplicit"/>
          <w:sz w:val="20"/>
        </w:rPr>
        <w:t>..............</w:t>
      </w:r>
    </w:p>
    <w:p w:rsidR="00D81A0D" w14:paraId="56BF4041" w14:textId="77777777">
      <w:pPr>
        <w:rPr>
          <w:rStyle w:val="Fontdeparagrafimplicit"/>
        </w:rPr>
      </w:pPr>
      <w:bookmarkStart w:name="_PictureBullets" w:id="12"/>
      <w:r>
        <w:rPr>
          <w:rStyle w:val="Fontdeparagrafimplicit"/>
          <w:noProof/>
          <w:vanish/>
        </w:rPr>
        <w:drawing>
          <wp:inline distT="0" distB="0" distL="0" distR="0">
            <wp:extent cx="66675" cy="190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Id4"/>
                    <a:stretch>
                      <a:fillRect/>
                    </a:stretch>
                  </pic:blipFill>
                  <pic:spPr>
                    <a:xfrm>
                      <a:off x="0" y="0"/>
                      <a:ext cx="66675" cy="19050"/>
                    </a:xfrm>
                    <a:prstGeom prst="rect">
                      <a:avLst/>
                    </a:prstGeom>
                    <a:noFill/>
                  </pic:spPr>
                </pic:pic>
              </a:graphicData>
            </a:graphic>
          </wp:inline>
        </w:drawing>
      </w:r>
      <w:bookmarkEnd w:id="12"/>
    </w:p>
    <w:sectPr>
      <w:footerReference w:type="even" r:id="rId5"/>
      <w:footerReference w:type="default" r:id="rId6"/>
      <w:pgSz w:w="11906" w:h="16838"/>
      <w:pgMar w:top="851" w:right="1418"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81A0D" w14:paraId="6FC66B6B"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D81A0D" w14:paraId="2A13CAEE"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D81A0D" w14:paraId="05FFA312"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D81A0D" w14:paraId="3B1F90E1"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10C7108"/>
    <w:multiLevelType w:val="hybridMultilevel"/>
    <w:tmpl w:val="B226E08C"/>
    <w:lvl w:ilvl="0">
      <w:start w:val="1"/>
      <w:numFmt w:val="bullet"/>
      <w:lvlText w:val="•"/>
      <w:lvlJc w:val="left"/>
      <w:pPr>
        <w:ind w:left="70"/>
      </w:pPr>
      <w:rPr>
        <w:rFonts w:ascii="Times New Roman" w:hAnsi="Times New Roman"/>
        <w:b w:val="0"/>
        <w:i w:val="0"/>
        <w:strike w:val="0"/>
        <w:color w:val="000000"/>
        <w:sz w:val="28"/>
        <w:u w:val="none" w:color="000000"/>
        <w:shd w:val="clear" w:color="auto" w:fill="auto"/>
        <w:vertAlign w:val="baseline"/>
      </w:rPr>
    </w:lvl>
    <w:lvl w:ilvl="1">
      <w:start w:val="1"/>
      <w:numFmt w:val="bullet"/>
      <w:lvlText w:val="o"/>
      <w:lvlJc w:val="left"/>
      <w:pPr>
        <w:ind w:left="1949"/>
      </w:pPr>
      <w:rPr>
        <w:rFonts w:ascii="Times New Roman" w:hAnsi="Times New Roman"/>
        <w:b w:val="0"/>
        <w:i w:val="0"/>
        <w:strike w:val="0"/>
        <w:color w:val="000000"/>
        <w:sz w:val="28"/>
        <w:u w:val="none" w:color="000000"/>
        <w:shd w:val="clear" w:color="auto" w:fill="auto"/>
        <w:vertAlign w:val="baseline"/>
      </w:rPr>
    </w:lvl>
    <w:lvl w:ilvl="2">
      <w:start w:val="1"/>
      <w:numFmt w:val="bullet"/>
      <w:lvlText w:val="▪"/>
      <w:lvlJc w:val="left"/>
      <w:pPr>
        <w:ind w:left="2669"/>
      </w:pPr>
      <w:rPr>
        <w:rFonts w:ascii="Times New Roman" w:hAnsi="Times New Roman"/>
        <w:b w:val="0"/>
        <w:i w:val="0"/>
        <w:strike w:val="0"/>
        <w:color w:val="000000"/>
        <w:sz w:val="28"/>
        <w:u w:val="none" w:color="000000"/>
        <w:shd w:val="clear" w:color="auto" w:fill="auto"/>
        <w:vertAlign w:val="baseline"/>
      </w:rPr>
    </w:lvl>
    <w:lvl w:ilvl="3">
      <w:start w:val="1"/>
      <w:numFmt w:val="bullet"/>
      <w:lvlText w:val="•"/>
      <w:lvlJc w:val="left"/>
      <w:pPr>
        <w:ind w:left="3389"/>
      </w:pPr>
      <w:rPr>
        <w:rFonts w:ascii="Times New Roman" w:hAnsi="Times New Roman"/>
        <w:b w:val="0"/>
        <w:i w:val="0"/>
        <w:strike w:val="0"/>
        <w:color w:val="000000"/>
        <w:sz w:val="28"/>
        <w:u w:val="none" w:color="000000"/>
        <w:shd w:val="clear" w:color="auto" w:fill="auto"/>
        <w:vertAlign w:val="baseline"/>
      </w:rPr>
    </w:lvl>
    <w:lvl w:ilvl="4">
      <w:start w:val="1"/>
      <w:numFmt w:val="bullet"/>
      <w:lvlText w:val="o"/>
      <w:lvlJc w:val="left"/>
      <w:pPr>
        <w:ind w:left="4109"/>
      </w:pPr>
      <w:rPr>
        <w:rFonts w:ascii="Times New Roman" w:hAnsi="Times New Roman"/>
        <w:b w:val="0"/>
        <w:i w:val="0"/>
        <w:strike w:val="0"/>
        <w:color w:val="000000"/>
        <w:sz w:val="28"/>
        <w:u w:val="none" w:color="000000"/>
        <w:shd w:val="clear" w:color="auto" w:fill="auto"/>
        <w:vertAlign w:val="baseline"/>
      </w:rPr>
    </w:lvl>
    <w:lvl w:ilvl="5">
      <w:start w:val="1"/>
      <w:numFmt w:val="bullet"/>
      <w:lvlText w:val="▪"/>
      <w:lvlJc w:val="left"/>
      <w:pPr>
        <w:ind w:left="4829"/>
      </w:pPr>
      <w:rPr>
        <w:rFonts w:ascii="Times New Roman" w:hAnsi="Times New Roman"/>
        <w:b w:val="0"/>
        <w:i w:val="0"/>
        <w:strike w:val="0"/>
        <w:color w:val="000000"/>
        <w:sz w:val="28"/>
        <w:u w:val="none" w:color="000000"/>
        <w:shd w:val="clear" w:color="auto" w:fill="auto"/>
        <w:vertAlign w:val="baseline"/>
      </w:rPr>
    </w:lvl>
    <w:lvl w:ilvl="6">
      <w:start w:val="1"/>
      <w:numFmt w:val="bullet"/>
      <w:lvlText w:val="•"/>
      <w:lvlJc w:val="left"/>
      <w:pPr>
        <w:ind w:left="5549"/>
      </w:pPr>
      <w:rPr>
        <w:rFonts w:ascii="Times New Roman" w:hAnsi="Times New Roman"/>
        <w:b w:val="0"/>
        <w:i w:val="0"/>
        <w:strike w:val="0"/>
        <w:color w:val="000000"/>
        <w:sz w:val="28"/>
        <w:u w:val="none" w:color="000000"/>
        <w:shd w:val="clear" w:color="auto" w:fill="auto"/>
        <w:vertAlign w:val="baseline"/>
      </w:rPr>
    </w:lvl>
    <w:lvl w:ilvl="7">
      <w:start w:val="1"/>
      <w:numFmt w:val="bullet"/>
      <w:lvlText w:val="o"/>
      <w:lvlJc w:val="left"/>
      <w:pPr>
        <w:ind w:left="6269"/>
      </w:pPr>
      <w:rPr>
        <w:rFonts w:ascii="Times New Roman" w:hAnsi="Times New Roman"/>
        <w:b w:val="0"/>
        <w:i w:val="0"/>
        <w:strike w:val="0"/>
        <w:color w:val="000000"/>
        <w:sz w:val="28"/>
        <w:u w:val="none" w:color="000000"/>
        <w:shd w:val="clear" w:color="auto" w:fill="auto"/>
        <w:vertAlign w:val="baseline"/>
      </w:rPr>
    </w:lvl>
    <w:lvl w:ilvl="8">
      <w:start w:val="1"/>
      <w:numFmt w:val="bullet"/>
      <w:lvlText w:val="▪"/>
      <w:lvlJc w:val="left"/>
      <w:pPr>
        <w:ind w:left="6989"/>
      </w:pPr>
      <w:rPr>
        <w:rFonts w:ascii="Times New Roman" w:hAnsi="Times New Roman"/>
        <w:b w:val="0"/>
        <w:i w:val="0"/>
        <w:strike w:val="0"/>
        <w:color w:val="000000"/>
        <w:sz w:val="28"/>
        <w:u w:val="none" w:color="000000"/>
        <w:shd w:val="clear" w:color="auto" w:fill="auto"/>
        <w:vertAlign w:val="baseline"/>
      </w:rPr>
    </w:lvl>
  </w:abstractNum>
  <w:abstractNum w:abstractNumId="1" w15:restartNumberingAfterBreak="0">
    <w:nsid w:val="4A3D434B"/>
    <w:multiLevelType w:val="hybridMultilevel"/>
    <w:tmpl w:val="5C802DBA"/>
    <w:lvl w:ilvl="0">
      <w:start w:val="1"/>
      <w:numFmt w:val="bullet"/>
      <w:lvlText w:val="-"/>
      <w:lvlJc w:val="left"/>
      <w:pPr>
        <w:ind w:left="10"/>
      </w:pPr>
      <w:rPr>
        <w:rFonts w:ascii="Times New Roman" w:hAnsi="Times New Roman"/>
        <w:b w:val="0"/>
        <w:i w:val="0"/>
        <w:strike w:val="0"/>
        <w:color w:val="000000"/>
        <w:sz w:val="26"/>
        <w:u w:val="none" w:color="000000"/>
        <w:shd w:val="clear" w:color="auto" w:fill="auto"/>
        <w:vertAlign w:val="baseline"/>
      </w:rPr>
    </w:lvl>
    <w:lvl w:ilvl="1">
      <w:start w:val="1"/>
      <w:numFmt w:val="bullet"/>
      <w:lvlText w:val="o"/>
      <w:lvlJc w:val="left"/>
      <w:pPr>
        <w:ind w:left="1800"/>
      </w:pPr>
      <w:rPr>
        <w:rFonts w:ascii="Times New Roman" w:hAnsi="Times New Roman"/>
        <w:b w:val="0"/>
        <w:i w:val="0"/>
        <w:strike w:val="0"/>
        <w:color w:val="000000"/>
        <w:sz w:val="26"/>
        <w:u w:val="none" w:color="000000"/>
        <w:shd w:val="clear" w:color="auto" w:fill="auto"/>
        <w:vertAlign w:val="baseline"/>
      </w:rPr>
    </w:lvl>
    <w:lvl w:ilvl="2">
      <w:start w:val="1"/>
      <w:numFmt w:val="bullet"/>
      <w:lvlText w:val="▪"/>
      <w:lvlJc w:val="left"/>
      <w:pPr>
        <w:ind w:left="2520"/>
      </w:pPr>
      <w:rPr>
        <w:rFonts w:ascii="Times New Roman" w:hAnsi="Times New Roman"/>
        <w:b w:val="0"/>
        <w:i w:val="0"/>
        <w:strike w:val="0"/>
        <w:color w:val="000000"/>
        <w:sz w:val="26"/>
        <w:u w:val="none" w:color="000000"/>
        <w:shd w:val="clear" w:color="auto" w:fill="auto"/>
        <w:vertAlign w:val="baseline"/>
      </w:rPr>
    </w:lvl>
    <w:lvl w:ilvl="3">
      <w:start w:val="1"/>
      <w:numFmt w:val="bullet"/>
      <w:lvlText w:val="•"/>
      <w:lvlJc w:val="left"/>
      <w:pPr>
        <w:ind w:left="3240"/>
      </w:pPr>
      <w:rPr>
        <w:rFonts w:ascii="Times New Roman" w:hAnsi="Times New Roman"/>
        <w:b w:val="0"/>
        <w:i w:val="0"/>
        <w:strike w:val="0"/>
        <w:color w:val="000000"/>
        <w:sz w:val="26"/>
        <w:u w:val="none" w:color="000000"/>
        <w:shd w:val="clear" w:color="auto" w:fill="auto"/>
        <w:vertAlign w:val="baseline"/>
      </w:rPr>
    </w:lvl>
    <w:lvl w:ilvl="4">
      <w:start w:val="1"/>
      <w:numFmt w:val="bullet"/>
      <w:lvlText w:val="o"/>
      <w:lvlJc w:val="left"/>
      <w:pPr>
        <w:ind w:left="3960"/>
      </w:pPr>
      <w:rPr>
        <w:rFonts w:ascii="Times New Roman" w:hAnsi="Times New Roman"/>
        <w:b w:val="0"/>
        <w:i w:val="0"/>
        <w:strike w:val="0"/>
        <w:color w:val="000000"/>
        <w:sz w:val="26"/>
        <w:u w:val="none" w:color="000000"/>
        <w:shd w:val="clear" w:color="auto" w:fill="auto"/>
        <w:vertAlign w:val="baseline"/>
      </w:rPr>
    </w:lvl>
    <w:lvl w:ilvl="5">
      <w:start w:val="1"/>
      <w:numFmt w:val="bullet"/>
      <w:lvlText w:val="▪"/>
      <w:lvlJc w:val="left"/>
      <w:pPr>
        <w:ind w:left="4680"/>
      </w:pPr>
      <w:rPr>
        <w:rFonts w:ascii="Times New Roman" w:hAnsi="Times New Roman"/>
        <w:b w:val="0"/>
        <w:i w:val="0"/>
        <w:strike w:val="0"/>
        <w:color w:val="000000"/>
        <w:sz w:val="26"/>
        <w:u w:val="none" w:color="000000"/>
        <w:shd w:val="clear" w:color="auto" w:fill="auto"/>
        <w:vertAlign w:val="baseline"/>
      </w:rPr>
    </w:lvl>
    <w:lvl w:ilvl="6">
      <w:start w:val="1"/>
      <w:numFmt w:val="bullet"/>
      <w:lvlText w:val="•"/>
      <w:lvlJc w:val="left"/>
      <w:pPr>
        <w:ind w:left="5400"/>
      </w:pPr>
      <w:rPr>
        <w:rFonts w:ascii="Times New Roman" w:hAnsi="Times New Roman"/>
        <w:b w:val="0"/>
        <w:i w:val="0"/>
        <w:strike w:val="0"/>
        <w:color w:val="000000"/>
        <w:sz w:val="26"/>
        <w:u w:val="none" w:color="000000"/>
        <w:shd w:val="clear" w:color="auto" w:fill="auto"/>
        <w:vertAlign w:val="baseline"/>
      </w:rPr>
    </w:lvl>
    <w:lvl w:ilvl="7">
      <w:start w:val="1"/>
      <w:numFmt w:val="bullet"/>
      <w:lvlText w:val="o"/>
      <w:lvlJc w:val="left"/>
      <w:pPr>
        <w:ind w:left="6120"/>
      </w:pPr>
      <w:rPr>
        <w:rFonts w:ascii="Times New Roman" w:hAnsi="Times New Roman"/>
        <w:b w:val="0"/>
        <w:i w:val="0"/>
        <w:strike w:val="0"/>
        <w:color w:val="000000"/>
        <w:sz w:val="26"/>
        <w:u w:val="none" w:color="000000"/>
        <w:shd w:val="clear" w:color="auto" w:fill="auto"/>
        <w:vertAlign w:val="baseline"/>
      </w:rPr>
    </w:lvl>
    <w:lvl w:ilvl="8">
      <w:start w:val="1"/>
      <w:numFmt w:val="bullet"/>
      <w:lvlText w:val="▪"/>
      <w:lvlJc w:val="left"/>
      <w:pPr>
        <w:ind w:left="6840"/>
      </w:pPr>
      <w:rPr>
        <w:rFonts w:ascii="Times New Roman" w:hAnsi="Times New Roman"/>
        <w:b w:val="0"/>
        <w:i w:val="0"/>
        <w:strike w:val="0"/>
        <w:color w:val="000000"/>
        <w:sz w:val="26"/>
        <w:u w:val="none" w:color="000000"/>
        <w:shd w:val="clear" w:color="auto" w:fill="auto"/>
        <w:vertAlign w:val="baseline"/>
      </w:rPr>
    </w:lvl>
  </w:abstractNum>
  <w:abstractNum w:abstractNumId="2" w15:restartNumberingAfterBreak="0">
    <w:nsid w:val="769F7F10"/>
    <w:multiLevelType w:val="multilevel"/>
    <w:tmpl w:val="7122BEB6"/>
    <w:lvl w:ilvl="0">
      <w:start w:val="1"/>
      <w:numFmt w:val="lowerLetter"/>
      <w:lvlText w:val="%1)"/>
      <w:lvlJc w:val="left"/>
      <w:pPr>
        <w:ind w:left="34"/>
      </w:pPr>
      <w:rPr>
        <w:rFonts w:ascii="Times New Roman" w:hAnsi="Times New Roman"/>
        <w:b w:val="0"/>
        <w:i w:val="0"/>
        <w:strike w:val="0"/>
        <w:color w:val="000000"/>
        <w:sz w:val="34"/>
        <w:u w:val="none" w:color="000000"/>
        <w:shd w:val="clear" w:color="auto" w:fill="auto"/>
        <w:vertAlign w:val="baseline"/>
      </w:rPr>
    </w:lvl>
    <w:lvl w:ilvl="1">
      <w:start w:val="1"/>
      <w:numFmt w:val="lowerLetter"/>
      <w:lvlText w:val="%2"/>
      <w:lvlJc w:val="left"/>
      <w:pPr>
        <w:ind w:left="1817"/>
      </w:pPr>
      <w:rPr>
        <w:rFonts w:ascii="Times New Roman" w:hAnsi="Times New Roman"/>
        <w:b w:val="0"/>
        <w:i w:val="0"/>
        <w:strike w:val="0"/>
        <w:color w:val="000000"/>
        <w:sz w:val="34"/>
        <w:u w:val="none" w:color="000000"/>
        <w:shd w:val="clear" w:color="auto" w:fill="auto"/>
        <w:vertAlign w:val="baseline"/>
      </w:rPr>
    </w:lvl>
    <w:lvl w:ilvl="2">
      <w:start w:val="1"/>
      <w:numFmt w:val="lowerRoman"/>
      <w:lvlText w:val="%3"/>
      <w:lvlJc w:val="left"/>
      <w:pPr>
        <w:ind w:left="2537"/>
      </w:pPr>
      <w:rPr>
        <w:rFonts w:ascii="Times New Roman" w:hAnsi="Times New Roman"/>
        <w:b w:val="0"/>
        <w:i w:val="0"/>
        <w:strike w:val="0"/>
        <w:color w:val="000000"/>
        <w:sz w:val="34"/>
        <w:u w:val="none" w:color="000000"/>
        <w:shd w:val="clear" w:color="auto" w:fill="auto"/>
        <w:vertAlign w:val="baseline"/>
      </w:rPr>
    </w:lvl>
    <w:lvl w:ilvl="3">
      <w:start w:val="1"/>
      <w:numFmt w:val="decimal"/>
      <w:lvlText w:val="%4"/>
      <w:lvlJc w:val="left"/>
      <w:pPr>
        <w:ind w:left="3257"/>
      </w:pPr>
      <w:rPr>
        <w:rFonts w:ascii="Times New Roman" w:hAnsi="Times New Roman"/>
        <w:b w:val="0"/>
        <w:i w:val="0"/>
        <w:strike w:val="0"/>
        <w:color w:val="000000"/>
        <w:sz w:val="34"/>
        <w:u w:val="none" w:color="000000"/>
        <w:shd w:val="clear" w:color="auto" w:fill="auto"/>
        <w:vertAlign w:val="baseline"/>
      </w:rPr>
    </w:lvl>
    <w:lvl w:ilvl="4">
      <w:start w:val="1"/>
      <w:numFmt w:val="lowerLetter"/>
      <w:lvlText w:val="%5"/>
      <w:lvlJc w:val="left"/>
      <w:pPr>
        <w:ind w:left="3977"/>
      </w:pPr>
      <w:rPr>
        <w:rFonts w:ascii="Times New Roman" w:hAnsi="Times New Roman"/>
        <w:b w:val="0"/>
        <w:i w:val="0"/>
        <w:strike w:val="0"/>
        <w:color w:val="000000"/>
        <w:sz w:val="34"/>
        <w:u w:val="none" w:color="000000"/>
        <w:shd w:val="clear" w:color="auto" w:fill="auto"/>
        <w:vertAlign w:val="baseline"/>
      </w:rPr>
    </w:lvl>
    <w:lvl w:ilvl="5">
      <w:start w:val="1"/>
      <w:numFmt w:val="lowerRoman"/>
      <w:lvlText w:val="%6"/>
      <w:lvlJc w:val="left"/>
      <w:pPr>
        <w:ind w:left="4697"/>
      </w:pPr>
      <w:rPr>
        <w:rFonts w:ascii="Times New Roman" w:hAnsi="Times New Roman"/>
        <w:b w:val="0"/>
        <w:i w:val="0"/>
        <w:strike w:val="0"/>
        <w:color w:val="000000"/>
        <w:sz w:val="34"/>
        <w:u w:val="none" w:color="000000"/>
        <w:shd w:val="clear" w:color="auto" w:fill="auto"/>
        <w:vertAlign w:val="baseline"/>
      </w:rPr>
    </w:lvl>
    <w:lvl w:ilvl="6">
      <w:start w:val="1"/>
      <w:numFmt w:val="decimal"/>
      <w:lvlText w:val="%7"/>
      <w:lvlJc w:val="left"/>
      <w:pPr>
        <w:ind w:left="5417"/>
      </w:pPr>
      <w:rPr>
        <w:rFonts w:ascii="Times New Roman" w:hAnsi="Times New Roman"/>
        <w:b w:val="0"/>
        <w:i w:val="0"/>
        <w:strike w:val="0"/>
        <w:color w:val="000000"/>
        <w:sz w:val="34"/>
        <w:u w:val="none" w:color="000000"/>
        <w:shd w:val="clear" w:color="auto" w:fill="auto"/>
        <w:vertAlign w:val="baseline"/>
      </w:rPr>
    </w:lvl>
    <w:lvl w:ilvl="7">
      <w:start w:val="1"/>
      <w:numFmt w:val="lowerLetter"/>
      <w:lvlText w:val="%8"/>
      <w:lvlJc w:val="left"/>
      <w:pPr>
        <w:ind w:left="6137"/>
      </w:pPr>
      <w:rPr>
        <w:rFonts w:ascii="Times New Roman" w:hAnsi="Times New Roman"/>
        <w:b w:val="0"/>
        <w:i w:val="0"/>
        <w:strike w:val="0"/>
        <w:color w:val="000000"/>
        <w:sz w:val="34"/>
        <w:u w:val="none" w:color="000000"/>
        <w:shd w:val="clear" w:color="auto" w:fill="auto"/>
        <w:vertAlign w:val="baseline"/>
      </w:rPr>
    </w:lvl>
    <w:lvl w:ilvl="8">
      <w:start w:val="1"/>
      <w:numFmt w:val="lowerRoman"/>
      <w:lvlText w:val="%9"/>
      <w:lvlJc w:val="left"/>
      <w:pPr>
        <w:ind w:left="6857"/>
      </w:pPr>
      <w:rPr>
        <w:rFonts w:ascii="Times New Roman" w:hAnsi="Times New Roman"/>
        <w:b w:val="0"/>
        <w:i w:val="0"/>
        <w:strike w:val="0"/>
        <w:color w:val="000000"/>
        <w:sz w:val="34"/>
        <w:u w:val="none" w:color="000000"/>
        <w:shd w:val="clear" w:color="auto" w:fill="auto"/>
        <w:vertAlign w:val="baseline"/>
      </w:rPr>
    </w:lvl>
  </w:abstractNum>
  <w:abstractNum w:abstractNumId="3" w15:restartNumberingAfterBreak="0">
    <w:nsid w:val="77B22CB6"/>
    <w:multiLevelType w:val="hybridMultilevel"/>
    <w:tmpl w:val="CACC6C6E"/>
    <w:lvl w:ilvl="0">
      <w:start w:val="1"/>
      <w:numFmt w:val="bullet"/>
      <w:lvlText w:val="-"/>
      <w:lvlJc w:val="left"/>
      <w:pPr>
        <w:ind w:left="90"/>
      </w:pPr>
      <w:rPr>
        <w:rFonts w:ascii="Times New Roman" w:hAnsi="Times New Roman"/>
        <w:b w:val="0"/>
        <w:i w:val="0"/>
        <w:strike w:val="0"/>
        <w:color w:val="000000"/>
        <w:sz w:val="30"/>
        <w:u w:val="none" w:color="000000"/>
        <w:shd w:val="clear" w:color="auto" w:fill="auto"/>
        <w:vertAlign w:val="baseline"/>
      </w:rPr>
    </w:lvl>
    <w:lvl w:ilvl="1">
      <w:start w:val="1"/>
      <w:numFmt w:val="bullet"/>
      <w:lvlText w:val="o"/>
      <w:lvlJc w:val="left"/>
      <w:pPr>
        <w:ind w:left="1805"/>
      </w:pPr>
      <w:rPr>
        <w:rFonts w:ascii="Times New Roman" w:hAnsi="Times New Roman"/>
        <w:b w:val="0"/>
        <w:i w:val="0"/>
        <w:strike w:val="0"/>
        <w:color w:val="000000"/>
        <w:sz w:val="30"/>
        <w:u w:val="none" w:color="000000"/>
        <w:shd w:val="clear" w:color="auto" w:fill="auto"/>
        <w:vertAlign w:val="baseline"/>
      </w:rPr>
    </w:lvl>
    <w:lvl w:ilvl="2">
      <w:start w:val="1"/>
      <w:numFmt w:val="bullet"/>
      <w:lvlText w:val="▪"/>
      <w:lvlJc w:val="left"/>
      <w:pPr>
        <w:ind w:left="2525"/>
      </w:pPr>
      <w:rPr>
        <w:rFonts w:ascii="Times New Roman" w:hAnsi="Times New Roman"/>
        <w:b w:val="0"/>
        <w:i w:val="0"/>
        <w:strike w:val="0"/>
        <w:color w:val="000000"/>
        <w:sz w:val="30"/>
        <w:u w:val="none" w:color="000000"/>
        <w:shd w:val="clear" w:color="auto" w:fill="auto"/>
        <w:vertAlign w:val="baseline"/>
      </w:rPr>
    </w:lvl>
    <w:lvl w:ilvl="3">
      <w:start w:val="1"/>
      <w:numFmt w:val="bullet"/>
      <w:lvlText w:val="•"/>
      <w:lvlJc w:val="left"/>
      <w:pPr>
        <w:ind w:left="3245"/>
      </w:pPr>
      <w:rPr>
        <w:rFonts w:ascii="Times New Roman" w:hAnsi="Times New Roman"/>
        <w:b w:val="0"/>
        <w:i w:val="0"/>
        <w:strike w:val="0"/>
        <w:color w:val="000000"/>
        <w:sz w:val="30"/>
        <w:u w:val="none" w:color="000000"/>
        <w:shd w:val="clear" w:color="auto" w:fill="auto"/>
        <w:vertAlign w:val="baseline"/>
      </w:rPr>
    </w:lvl>
    <w:lvl w:ilvl="4">
      <w:start w:val="1"/>
      <w:numFmt w:val="bullet"/>
      <w:lvlText w:val="o"/>
      <w:lvlJc w:val="left"/>
      <w:pPr>
        <w:ind w:left="3965"/>
      </w:pPr>
      <w:rPr>
        <w:rFonts w:ascii="Times New Roman" w:hAnsi="Times New Roman"/>
        <w:b w:val="0"/>
        <w:i w:val="0"/>
        <w:strike w:val="0"/>
        <w:color w:val="000000"/>
        <w:sz w:val="30"/>
        <w:u w:val="none" w:color="000000"/>
        <w:shd w:val="clear" w:color="auto" w:fill="auto"/>
        <w:vertAlign w:val="baseline"/>
      </w:rPr>
    </w:lvl>
    <w:lvl w:ilvl="5">
      <w:start w:val="1"/>
      <w:numFmt w:val="bullet"/>
      <w:lvlText w:val="▪"/>
      <w:lvlJc w:val="left"/>
      <w:pPr>
        <w:ind w:left="4685"/>
      </w:pPr>
      <w:rPr>
        <w:rFonts w:ascii="Times New Roman" w:hAnsi="Times New Roman"/>
        <w:b w:val="0"/>
        <w:i w:val="0"/>
        <w:strike w:val="0"/>
        <w:color w:val="000000"/>
        <w:sz w:val="30"/>
        <w:u w:val="none" w:color="000000"/>
        <w:shd w:val="clear" w:color="auto" w:fill="auto"/>
        <w:vertAlign w:val="baseline"/>
      </w:rPr>
    </w:lvl>
    <w:lvl w:ilvl="6">
      <w:start w:val="1"/>
      <w:numFmt w:val="bullet"/>
      <w:lvlText w:val="•"/>
      <w:lvlJc w:val="left"/>
      <w:pPr>
        <w:ind w:left="5405"/>
      </w:pPr>
      <w:rPr>
        <w:rFonts w:ascii="Times New Roman" w:hAnsi="Times New Roman"/>
        <w:b w:val="0"/>
        <w:i w:val="0"/>
        <w:strike w:val="0"/>
        <w:color w:val="000000"/>
        <w:sz w:val="30"/>
        <w:u w:val="none" w:color="000000"/>
        <w:shd w:val="clear" w:color="auto" w:fill="auto"/>
        <w:vertAlign w:val="baseline"/>
      </w:rPr>
    </w:lvl>
    <w:lvl w:ilvl="7">
      <w:start w:val="1"/>
      <w:numFmt w:val="bullet"/>
      <w:lvlText w:val="o"/>
      <w:lvlJc w:val="left"/>
      <w:pPr>
        <w:ind w:left="6125"/>
      </w:pPr>
      <w:rPr>
        <w:rFonts w:ascii="Times New Roman" w:hAnsi="Times New Roman"/>
        <w:b w:val="0"/>
        <w:i w:val="0"/>
        <w:strike w:val="0"/>
        <w:color w:val="000000"/>
        <w:sz w:val="30"/>
        <w:u w:val="none" w:color="000000"/>
        <w:shd w:val="clear" w:color="auto" w:fill="auto"/>
        <w:vertAlign w:val="baseline"/>
      </w:rPr>
    </w:lvl>
    <w:lvl w:ilvl="8">
      <w:start w:val="1"/>
      <w:numFmt w:val="bullet"/>
      <w:lvlText w:val="▪"/>
      <w:lvlJc w:val="left"/>
      <w:pPr>
        <w:ind w:left="6845"/>
      </w:pPr>
      <w:rPr>
        <w:rFonts w:ascii="Times New Roman" w:hAnsi="Times New Roman"/>
        <w:b w:val="0"/>
        <w:i w:val="0"/>
        <w:strike w:val="0"/>
        <w:color w:val="000000"/>
        <w:sz w:val="30"/>
        <w:u w:val="none" w:color="000000"/>
        <w:shd w:val="clear" w:color="auto" w:fill="auto"/>
        <w:vertAlign w:val="baseline"/>
      </w:rPr>
    </w:lvl>
  </w:abstractNum>
  <w:num w:numId="1" w16cid:durableId="673726668">
    <w:abstractNumId w:val="2"/>
  </w:num>
  <w:num w:numId="2" w16cid:durableId="1447845279">
    <w:abstractNumId w:val="0"/>
  </w:num>
  <w:num w:numId="3" w16cid:durableId="190346117">
    <w:abstractNumId w:val="1"/>
  </w:num>
  <w:num w:numId="4" w16cid:durableId="1397972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A0D"/>
    <w:rsid w:val="00443444"/>
    <w:rsid w:val="008C3E5D"/>
    <w:rsid w:val="009C40D7"/>
    <w:rsid w:val="00A110E2"/>
    <w:rsid w:val="00B67F49"/>
    <w:rsid w:val="00C834EA"/>
    <w:rsid w:val="00C97BBC"/>
    <w:rsid w:val="00D81A0D"/>
    <w:rsid w:val="00DF5D9E"/>
    <w:rsid w:val="00E6350D"/>
  </w:rsids>
  <w:docVars>
    <w:docVar w:name="url" w:val="http://10.19.48.53:80/ecris_cdms/document_upload.aspx?id_document=5400000001299929&amp;id_departament=5&amp;id_sesiune=1706123&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6E07D12F"/>
  <w15:docId w15:val="{3BC52993-DEF1-432F-A9CF-5369862C9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sz w:val="24"/>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16</ap:TotalTime>
  <ap:Pages>5</ap:Pages>
  <ap:Words>2296</ap:Words>
  <ap:Characters>13319</ap:Characters>
  <ap:Application>Microsoft Office Word</ap:Application>
  <ap:DocSecurity>0</ap:DocSecurity>
  <ap:Lines>110</ap:Lines>
  <ap:Paragraphs>31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15584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