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846453" w:rsidP="00846453">
      <w:pPr>
        <w:tabs>
          <w:tab w:val="left" w:pos="2156"/>
        </w:tabs>
        <w:rPr>
          <w:color w:val="BFBFBF"/>
        </w:rPr>
      </w:pPr>
    </w:p>
    <w:p w:rsidR="003B2F77" w:rsidP="00846453">
      <w:pPr>
        <w:tabs>
          <w:tab w:val="left" w:pos="2156"/>
        </w:tabs>
        <w:rPr>
          <w:color w:val="BFBFBF"/>
        </w:rPr>
      </w:pPr>
    </w:p>
    <w:p w:rsidRPr="00846453" w:rsidR="003B2F77" w:rsidP="00846453">
      <w:pPr>
        <w:tabs>
          <w:tab w:val="left" w:pos="2156"/>
        </w:tabs>
        <w:rPr>
          <w:color w:val="BFBFBF"/>
        </w:rPr>
      </w:pPr>
    </w:p>
    <w:p w:rsidRPr="002328A5" w:rsidR="003B2F77" w:rsidP="00846453">
      <w:pPr>
        <w:tabs>
          <w:tab w:val="left" w:pos="2156"/>
        </w:tabs>
        <w:rPr>
          <w:b/>
          <w:bCs/>
        </w:rPr>
      </w:pPr>
      <w:r w:rsidRPr="002328A5">
        <w:rPr>
          <w:b/>
          <w:bCs/>
        </w:rPr>
        <w:t>HOT. 30</w:t>
      </w:r>
    </w:p>
    <w:p w:rsidRPr="00846453" w:rsidR="00846453" w:rsidP="00846453">
      <w:pPr>
        <w:tabs>
          <w:tab w:val="left" w:pos="2156"/>
        </w:tabs>
      </w:pPr>
      <w:r w:rsidRPr="00846453">
        <w:t xml:space="preserve">Dosar nr. </w:t>
      </w:r>
      <w:r w:rsidR="00836676">
        <w:t>...</w:t>
      </w:r>
    </w:p>
    <w:p w:rsidRPr="00846453" w:rsidR="00846453" w:rsidP="00846453">
      <w:pPr>
        <w:tabs>
          <w:tab w:val="left" w:pos="2156"/>
        </w:tabs>
        <w:jc w:val="center"/>
      </w:pPr>
      <w:r w:rsidRPr="00846453">
        <w:t>R O M Â N I A</w:t>
      </w:r>
    </w:p>
    <w:p w:rsidRPr="00846453" w:rsidR="00846453" w:rsidP="00846453">
      <w:pPr>
        <w:tabs>
          <w:tab w:val="left" w:pos="2156"/>
        </w:tabs>
        <w:jc w:val="center"/>
      </w:pPr>
    </w:p>
    <w:p w:rsidRPr="00846453" w:rsidR="00846453" w:rsidP="00846453">
      <w:pPr>
        <w:tabs>
          <w:tab w:val="left" w:pos="2156"/>
        </w:tabs>
        <w:jc w:val="center"/>
      </w:pPr>
      <w:r w:rsidRPr="00846453">
        <w:t xml:space="preserve">CURTEA DE APEL </w:t>
      </w:r>
      <w:r w:rsidR="00836676">
        <w:t>...</w:t>
      </w:r>
    </w:p>
    <w:p w:rsidRPr="00846453" w:rsidR="00846453" w:rsidP="00846453">
      <w:pPr>
        <w:tabs>
          <w:tab w:val="left" w:pos="2156"/>
        </w:tabs>
        <w:jc w:val="center"/>
        <w:rPr>
          <w:lang w:val="en-US"/>
        </w:rPr>
      </w:pPr>
      <w:r w:rsidRPr="00846453">
        <w:t xml:space="preserve">SECŢIA </w:t>
      </w:r>
      <w:r w:rsidR="00836676">
        <w:t>...</w:t>
      </w:r>
    </w:p>
    <w:p w:rsidRPr="00846453" w:rsidR="00846453" w:rsidP="00846453">
      <w:pPr>
        <w:tabs>
          <w:tab w:val="left" w:pos="2156"/>
        </w:tabs>
      </w:pPr>
    </w:p>
    <w:p w:rsidRPr="00846453" w:rsidR="00846453" w:rsidP="00846453">
      <w:pPr>
        <w:tabs>
          <w:tab w:val="left" w:pos="2156"/>
        </w:tabs>
        <w:jc w:val="center"/>
      </w:pPr>
      <w:bookmarkStart w:name="tip_incheiere" w:id="0"/>
      <w:r w:rsidRPr="00846453">
        <w:t>DECIZIE</w:t>
      </w:r>
      <w:bookmarkEnd w:id="0"/>
      <w:r w:rsidRPr="00846453">
        <w:t xml:space="preserve"> Nr. </w:t>
      </w:r>
      <w:r w:rsidR="00836676">
        <w:t>...</w:t>
      </w:r>
    </w:p>
    <w:p w:rsidRPr="00846453" w:rsidR="00846453" w:rsidP="00846453">
      <w:pPr>
        <w:tabs>
          <w:tab w:val="left" w:pos="2156"/>
        </w:tabs>
        <w:jc w:val="center"/>
      </w:pPr>
      <w:r w:rsidRPr="00846453">
        <w:t>Şedinţa </w:t>
      </w:r>
      <w:bookmarkStart w:name="tip_sedinta" w:id="1"/>
      <w:r w:rsidRPr="00846453">
        <w:t>publică</w:t>
      </w:r>
      <w:bookmarkEnd w:id="1"/>
      <w:r w:rsidRPr="00846453">
        <w:t xml:space="preserve"> de la </w:t>
      </w:r>
      <w:r w:rsidR="00836676">
        <w:t>...</w:t>
      </w:r>
    </w:p>
    <w:p w:rsidRPr="00846453" w:rsidR="00846453" w:rsidP="00846453">
      <w:pPr>
        <w:tabs>
          <w:tab w:val="left" w:pos="2156"/>
        </w:tabs>
        <w:jc w:val="center"/>
      </w:pPr>
      <w:r w:rsidRPr="00846453">
        <w:t>Completul compus din:</w:t>
      </w:r>
    </w:p>
    <w:p w:rsidRPr="00846453" w:rsidR="00846453" w:rsidP="00846453">
      <w:pPr>
        <w:tabs>
          <w:tab w:val="left" w:pos="2156"/>
        </w:tabs>
        <w:jc w:val="center"/>
      </w:pPr>
      <w:r w:rsidRPr="00846453">
        <w:t xml:space="preserve">PREŞEDINTE- </w:t>
      </w:r>
      <w:r w:rsidR="00836676">
        <w:t>...</w:t>
      </w:r>
    </w:p>
    <w:p w:rsidRPr="00846453" w:rsidR="00846453" w:rsidP="00846453">
      <w:pPr>
        <w:tabs>
          <w:tab w:val="left" w:pos="2156"/>
        </w:tabs>
        <w:jc w:val="center"/>
      </w:pPr>
      <w:r w:rsidRPr="00846453">
        <w:t xml:space="preserve">Judecător- </w:t>
      </w:r>
      <w:r w:rsidR="00836676">
        <w:t>A0007</w:t>
      </w:r>
    </w:p>
    <w:p w:rsidRPr="00846453" w:rsidR="00846453" w:rsidP="00846453">
      <w:pPr>
        <w:tabs>
          <w:tab w:val="left" w:pos="2156"/>
        </w:tabs>
        <w:jc w:val="center"/>
      </w:pPr>
      <w:r w:rsidRPr="00846453">
        <w:t xml:space="preserve">Judecător- </w:t>
      </w:r>
      <w:r w:rsidR="00836676">
        <w:t>...</w:t>
      </w:r>
    </w:p>
    <w:p w:rsidRPr="00846453" w:rsidR="00846453" w:rsidP="00846453">
      <w:pPr>
        <w:tabs>
          <w:tab w:val="left" w:pos="2156"/>
        </w:tabs>
        <w:jc w:val="center"/>
      </w:pPr>
      <w:r w:rsidRPr="00846453">
        <w:t xml:space="preserve">Grefier- </w:t>
      </w:r>
      <w:r w:rsidR="00836676">
        <w:t>...</w:t>
      </w:r>
    </w:p>
    <w:p w:rsidRPr="00846453" w:rsidR="00846453" w:rsidP="00846453">
      <w:pPr>
        <w:tabs>
          <w:tab w:val="left" w:pos="2156"/>
        </w:tabs>
        <w:jc w:val="center"/>
      </w:pPr>
    </w:p>
    <w:p w:rsidRPr="00846453" w:rsidR="00846453" w:rsidP="00846453">
      <w:pPr>
        <w:tabs>
          <w:tab w:val="left" w:pos="2156"/>
        </w:tabs>
        <w:jc w:val="center"/>
      </w:pPr>
      <w:bookmarkStart w:name="nume_procuror" w:id="2"/>
      <w:r w:rsidRPr="00846453">
        <w:rPr>
          <w:noProof/>
        </w:rPr>
        <w:t> </w:t>
      </w:r>
      <w:r w:rsidRPr="00846453">
        <w:rPr>
          <w:noProof/>
        </w:rPr>
        <w:t> </w:t>
      </w:r>
      <w:r w:rsidRPr="00846453">
        <w:rPr>
          <w:noProof/>
        </w:rPr>
        <w:t> </w:t>
      </w:r>
      <w:r w:rsidRPr="00846453">
        <w:rPr>
          <w:noProof/>
        </w:rPr>
        <w:t> </w:t>
      </w:r>
      <w:r w:rsidRPr="00846453">
        <w:rPr>
          <w:noProof/>
        </w:rPr>
        <w:t> </w:t>
      </w:r>
      <w:bookmarkEnd w:id="2"/>
    </w:p>
    <w:p w:rsidRPr="00846453" w:rsidR="00846453" w:rsidP="00846453">
      <w:pPr>
        <w:tabs>
          <w:tab w:val="left" w:pos="2156"/>
        </w:tabs>
        <w:ind w:firstLine="709"/>
        <w:jc w:val="both"/>
      </w:pPr>
      <w:r w:rsidRPr="00846453">
        <w:t>Pe rol fii</w:t>
      </w:r>
      <w:r w:rsidRPr="00846453">
        <w:t xml:space="preserve">nd judecarea recursului declarat de recurenta-pârâta </w:t>
      </w:r>
      <w:r w:rsidRPr="00846453">
        <w:rPr>
          <w:b/>
        </w:rPr>
        <w:t xml:space="preserve">DIRECŢIA GENERALĂ REGIONALĂ A FINANŢELOR PUBLICE </w:t>
      </w:r>
      <w:r w:rsidR="00836676">
        <w:rPr>
          <w:b/>
        </w:rPr>
        <w:t>...</w:t>
      </w:r>
      <w:r w:rsidRPr="00846453">
        <w:rPr>
          <w:b/>
        </w:rPr>
        <w:t xml:space="preserve"> prin ADMINISTRAŢIA JUDEŢEANĂ A FINANŢELOR PUBLICE </w:t>
      </w:r>
      <w:r w:rsidR="00836676">
        <w:rPr>
          <w:b/>
        </w:rPr>
        <w:t>...</w:t>
      </w:r>
      <w:r w:rsidRPr="00846453">
        <w:t xml:space="preserve"> împotriva sentinţei nr. </w:t>
      </w:r>
      <w:r w:rsidR="00836676">
        <w:t>...</w:t>
      </w:r>
      <w:r w:rsidRPr="00846453">
        <w:t xml:space="preserve"> pronunţată de Tribunalul </w:t>
      </w:r>
      <w:r w:rsidR="00836676">
        <w:t>...</w:t>
      </w:r>
      <w:r w:rsidRPr="00846453">
        <w:t xml:space="preserve"> – Secţia </w:t>
      </w:r>
      <w:r w:rsidR="00836676">
        <w:t>....</w:t>
      </w:r>
      <w:r w:rsidRPr="00846453">
        <w:t xml:space="preserve"> în dosarul nr.</w:t>
      </w:r>
      <w:r w:rsidR="00836676">
        <w:t>...</w:t>
      </w:r>
      <w:r w:rsidRPr="00846453">
        <w:t>, în con</w:t>
      </w:r>
      <w:r w:rsidRPr="00846453">
        <w:t xml:space="preserve">tradictoriu cu intimatul reclamant </w:t>
      </w:r>
      <w:r w:rsidRPr="00836676" w:rsidR="00836676">
        <w:rPr>
          <w:b/>
          <w:bCs/>
        </w:rPr>
        <w:t>X</w:t>
      </w:r>
      <w:r w:rsidRPr="00846453">
        <w:t xml:space="preserve"> prin SINDICATUL FINANŢE PUBLICE </w:t>
      </w:r>
      <w:r w:rsidR="00836676">
        <w:t>...</w:t>
      </w:r>
      <w:r w:rsidRPr="00846453">
        <w:t>, având ca obiect litigiu privind funcţionarii publici (Legea Nr.188/1999).</w:t>
      </w:r>
    </w:p>
    <w:p w:rsidRPr="00846453" w:rsidR="00846453" w:rsidP="00846453">
      <w:pPr>
        <w:tabs>
          <w:tab w:val="left" w:pos="2156"/>
        </w:tabs>
        <w:ind w:firstLine="709"/>
        <w:jc w:val="both"/>
      </w:pPr>
      <w:r w:rsidRPr="00846453">
        <w:t xml:space="preserve">La apelul nominal făcut în şedinţa </w:t>
      </w:r>
      <w:r w:rsidRPr="00846453">
        <w:t>publică</w:t>
      </w:r>
      <w:r w:rsidRPr="00846453">
        <w:t xml:space="preserve"> au lipsit părţile.</w:t>
      </w:r>
    </w:p>
    <w:p w:rsidRPr="00846453" w:rsidR="00846453" w:rsidP="00846453">
      <w:pPr>
        <w:tabs>
          <w:tab w:val="left" w:pos="2156"/>
        </w:tabs>
        <w:ind w:firstLine="709"/>
        <w:jc w:val="both"/>
      </w:pPr>
      <w:r w:rsidRPr="00846453">
        <w:t xml:space="preserve">Procedura de citare este </w:t>
      </w:r>
      <w:r w:rsidRPr="00846453">
        <w:t>legal</w:t>
      </w:r>
      <w:r w:rsidRPr="00846453">
        <w:t xml:space="preserve"> îndeplinită.</w:t>
      </w:r>
    </w:p>
    <w:p w:rsidRPr="00846453" w:rsidR="00846453" w:rsidP="00846453">
      <w:pPr>
        <w:tabs>
          <w:tab w:val="left" w:pos="2156"/>
        </w:tabs>
        <w:ind w:firstLine="709"/>
        <w:jc w:val="both"/>
      </w:pPr>
      <w:r w:rsidRPr="00846453">
        <w:t xml:space="preserve">S-a făcut </w:t>
      </w:r>
      <w:r w:rsidRPr="00846453">
        <w:t>referatul</w:t>
      </w:r>
      <w:r w:rsidRPr="00846453">
        <w:t xml:space="preserve"> cauzei de către </w:t>
      </w:r>
      <w:r w:rsidRPr="00846453">
        <w:t>grefier</w:t>
      </w:r>
      <w:r w:rsidRPr="00846453">
        <w:t xml:space="preserve">ul de şedinţă, </w:t>
      </w:r>
      <w:r w:rsidRPr="00846453">
        <w:t>care învederează</w:t>
      </w:r>
      <w:r w:rsidRPr="00846453">
        <w:t xml:space="preserve"> modalitatea de îndeplinire a procedurii de citare, şi faptul că recursul a fost declarat în termenul legal, după care, nemaifiind cereri de formulat sau excepţii de invocat, Curtea reţine recursul în pronunţare.</w:t>
      </w:r>
    </w:p>
    <w:p w:rsidRPr="00846453" w:rsidR="00846453" w:rsidP="00846453">
      <w:pPr>
        <w:tabs>
          <w:tab w:val="left" w:pos="2156"/>
        </w:tabs>
        <w:jc w:val="center"/>
      </w:pPr>
      <w:r w:rsidRPr="00846453">
        <w:t>CURTEA</w:t>
      </w:r>
    </w:p>
    <w:p w:rsidRPr="00846453" w:rsidR="00846453" w:rsidP="00846453">
      <w:pPr>
        <w:tabs>
          <w:tab w:val="left" w:pos="2156"/>
        </w:tabs>
        <w:jc w:val="center"/>
      </w:pPr>
    </w:p>
    <w:p w:rsidRPr="00846453" w:rsidR="00846453" w:rsidP="00846453">
      <w:pPr>
        <w:tabs>
          <w:tab w:val="left" w:pos="2156"/>
        </w:tabs>
        <w:ind w:firstLine="709"/>
        <w:jc w:val="both"/>
      </w:pPr>
      <w:r w:rsidRPr="00846453">
        <w:t>Deliberând asupra recursului, constată următoarele:</w:t>
      </w:r>
    </w:p>
    <w:p w:rsidRPr="00846453" w:rsidR="00846453" w:rsidP="00846453">
      <w:pPr>
        <w:tabs>
          <w:tab w:val="left" w:pos="2156"/>
        </w:tabs>
        <w:ind w:firstLine="708"/>
        <w:jc w:val="both"/>
      </w:pPr>
      <w:r w:rsidRPr="00846453">
        <w:t xml:space="preserve">Prin </w:t>
      </w:r>
      <w:r w:rsidRPr="00846453">
        <w:rPr>
          <w:b/>
        </w:rPr>
        <w:t xml:space="preserve">sentinţa </w:t>
      </w:r>
      <w:r w:rsidR="00E24EB3">
        <w:rPr>
          <w:b/>
        </w:rPr>
        <w:t>...</w:t>
      </w:r>
      <w:r w:rsidRPr="00846453">
        <w:rPr>
          <w:b/>
        </w:rPr>
        <w:t xml:space="preserve"> pronunţată de Tribunalul </w:t>
      </w:r>
      <w:r w:rsidR="00E24EB3">
        <w:rPr>
          <w:b/>
        </w:rPr>
        <w:t>...</w:t>
      </w:r>
      <w:r w:rsidRPr="00846453">
        <w:rPr>
          <w:b/>
        </w:rPr>
        <w:t xml:space="preserve"> – Secţia </w:t>
      </w:r>
      <w:r w:rsidR="00E24EB3">
        <w:rPr>
          <w:b/>
        </w:rPr>
        <w:t>...</w:t>
      </w:r>
      <w:r w:rsidRPr="00846453">
        <w:rPr>
          <w:b/>
        </w:rPr>
        <w:t xml:space="preserve"> în dosarul nr.</w:t>
      </w:r>
      <w:r w:rsidR="00E24EB3">
        <w:rPr>
          <w:b/>
        </w:rPr>
        <w:t>...</w:t>
      </w:r>
      <w:r w:rsidRPr="00846453">
        <w:rPr>
          <w:b/>
        </w:rPr>
        <w:t xml:space="preserve"> </w:t>
      </w:r>
      <w:r w:rsidRPr="00846453">
        <w:t>s-a admis  acţiunea</w:t>
      </w:r>
      <w:r w:rsidRPr="00846453">
        <w:t xml:space="preserve"> precizată formulată de reclamantul </w:t>
      </w:r>
      <w:r w:rsidRPr="00E24EB3" w:rsidR="00E24EB3">
        <w:rPr>
          <w:b/>
          <w:bCs/>
        </w:rPr>
        <w:t>X</w:t>
      </w:r>
      <w:r w:rsidRPr="00846453">
        <w:t xml:space="preserve"> prin SINDICATUL FINANŢE PUBLICE </w:t>
      </w:r>
      <w:r w:rsidR="00E24EB3">
        <w:t>...</w:t>
      </w:r>
      <w:r w:rsidRPr="00846453">
        <w:t xml:space="preserve">, în contradictoriu cu pârâta DIRECTIA GENERALA REGIONALA A FINANTELOR PUBLICE </w:t>
      </w:r>
      <w:r w:rsidR="00E24EB3">
        <w:t>...</w:t>
      </w:r>
      <w:r w:rsidRPr="00846453">
        <w:t xml:space="preserve">. </w:t>
      </w:r>
    </w:p>
    <w:p w:rsidRPr="00846453" w:rsidR="00846453" w:rsidP="00846453">
      <w:pPr>
        <w:tabs>
          <w:tab w:val="left" w:pos="2156"/>
        </w:tabs>
        <w:ind w:firstLine="708"/>
        <w:jc w:val="both"/>
      </w:pPr>
      <w:r w:rsidRPr="00846453">
        <w:t>A fost obligată pârâta să stabilească salariul de bază al reclamantei, în perioada 01.12.2019 - 31.12.2022, la suma de 9.425 lei.</w:t>
      </w:r>
    </w:p>
    <w:p w:rsidRPr="00846453" w:rsidR="00846453" w:rsidP="00846453">
      <w:pPr>
        <w:tabs>
          <w:tab w:val="left" w:pos="2156"/>
        </w:tabs>
        <w:ind w:firstLine="708"/>
        <w:jc w:val="both"/>
      </w:pPr>
      <w:r w:rsidRPr="00846453">
        <w:t>A fost obligată pârâta să-i achite reclamantei diferenţele dintre salariul de bază cuvenit în intervalul anterior menţionat şi salariile de bază achitate în mod efectiv - 8.723 lei în perioada 01.12.2019-31.12.2019 - 8.957 l</w:t>
      </w:r>
      <w:r w:rsidRPr="00846453">
        <w:t>ei în perioada 01.01.2020-31.07.2022 şi - 9.074 lei în perioada 01.08.2022-31.12.2022, sumele cuvenite urmând a fi actualizate în raport de coeficientul de inflaţie, precum şi să-i achite dobânda legală aferentă, până la momentul plăţii efective.</w:t>
      </w:r>
    </w:p>
    <w:p w:rsidRPr="00846453" w:rsidR="00846453" w:rsidP="00846453">
      <w:pPr>
        <w:tabs>
          <w:tab w:val="left" w:pos="2156"/>
        </w:tabs>
        <w:ind w:firstLine="708"/>
        <w:jc w:val="both"/>
      </w:pPr>
      <w:r w:rsidRPr="00846453">
        <w:t>A fost obligată pârâta să achite reclamantei suma de 119 lei, cu titlu de cheltuieli de judecată.</w:t>
      </w:r>
    </w:p>
    <w:p w:rsidRPr="00846453" w:rsidR="00846453" w:rsidP="00846453">
      <w:pPr>
        <w:tabs>
          <w:tab w:val="left" w:pos="2156"/>
        </w:tabs>
        <w:ind w:firstLine="708"/>
        <w:jc w:val="both"/>
      </w:pPr>
      <w:r w:rsidRPr="00846453">
        <w:rPr>
          <w:b/>
        </w:rPr>
        <w:t xml:space="preserve">Împotriva acestei sentinţe, a declarat recurs pârâta DIRECŢIA GENERALĂ REGIONALĂ A FINANŢELOR PUBLICE </w:t>
      </w:r>
      <w:r w:rsidR="00E24EB3">
        <w:rPr>
          <w:b/>
        </w:rPr>
        <w:t>...</w:t>
      </w:r>
      <w:r w:rsidRPr="00846453">
        <w:rPr>
          <w:b/>
        </w:rPr>
        <w:t xml:space="preserve"> prin ADMINISTRAŢIA JUDEŢEANĂ A FINANŢELOR PUBLICE </w:t>
      </w:r>
      <w:r w:rsidR="00E24EB3">
        <w:rPr>
          <w:b/>
        </w:rPr>
        <w:t>...</w:t>
      </w:r>
      <w:r w:rsidRPr="00846453">
        <w:t>.</w:t>
      </w:r>
    </w:p>
    <w:p w:rsidRPr="00846453" w:rsidR="00846453" w:rsidP="00846453">
      <w:pPr>
        <w:tabs>
          <w:tab w:val="left" w:pos="2156"/>
        </w:tabs>
        <w:ind w:firstLine="708"/>
        <w:jc w:val="both"/>
        <w:rPr>
          <w:i/>
        </w:rPr>
      </w:pPr>
      <w:r w:rsidRPr="00846453">
        <w:rPr>
          <w:i/>
        </w:rPr>
        <w:t>Motive</w:t>
      </w:r>
      <w:r w:rsidRPr="00846453">
        <w:rPr>
          <w:i/>
        </w:rPr>
        <w:t xml:space="preserve"> de recurs:</w:t>
      </w:r>
    </w:p>
    <w:p w:rsidRPr="00846453" w:rsidR="00846453" w:rsidP="00846453">
      <w:pPr>
        <w:tabs>
          <w:tab w:val="left" w:pos="2156"/>
        </w:tabs>
        <w:ind w:firstLine="708"/>
        <w:jc w:val="both"/>
      </w:pPr>
      <w:r w:rsidRPr="00846453">
        <w:t>Recurenta pârâtă a solicitat admiterea recursului, casarea sentinţei şi, rejudecând, respingerea cererii de chemare în judecată.</w:t>
      </w:r>
    </w:p>
    <w:p w:rsidRPr="00846453" w:rsidR="00846453" w:rsidP="00846453">
      <w:pPr>
        <w:tabs>
          <w:tab w:val="left" w:pos="2156"/>
        </w:tabs>
        <w:ind w:firstLine="708"/>
        <w:jc w:val="both"/>
        <w:rPr>
          <w:i/>
        </w:rPr>
      </w:pPr>
      <w:r w:rsidRPr="00846453">
        <w:rPr>
          <w:i/>
        </w:rPr>
        <w:t>Dezvoltarea motivelor de recurs:</w:t>
      </w:r>
    </w:p>
    <w:p w:rsidRPr="00846453" w:rsidR="00846453" w:rsidP="00846453">
      <w:pPr>
        <w:widowControl w:val="0"/>
        <w:tabs>
          <w:tab w:val="left" w:pos="2156"/>
        </w:tabs>
        <w:ind w:firstLine="720"/>
        <w:jc w:val="both"/>
        <w:rPr>
          <w:rFonts w:eastAsia="Trebuchet MS"/>
          <w:lang w:val="ro-MD" w:eastAsia="en-US"/>
        </w:rPr>
      </w:pPr>
      <w:bookmarkStart w:name="_Hlk134187657" w:id="3"/>
      <w:r w:rsidRPr="00846453">
        <w:rPr>
          <w:rFonts w:eastAsia="Trebuchet MS"/>
          <w:lang w:val="ro-MD" w:eastAsia="en-US"/>
        </w:rPr>
        <w:t>A arătat că, hotărârea instanţei de fond a fost dată cu incălcarea normelor de drept material, fiind incident motivul de casare prev. de art. 488 alin.1 pct. 8 C.pc</w:t>
      </w:r>
      <w:r w:rsidRPr="00846453">
        <w:rPr>
          <w:rFonts w:eastAsia="Trebuchet MS"/>
          <w:lang w:val="ro-MD" w:eastAsia="en-US"/>
        </w:rPr>
        <w:t>.</w:t>
      </w:r>
    </w:p>
    <w:p w:rsidRPr="00846453" w:rsidR="00846453" w:rsidP="00846453">
      <w:pPr>
        <w:widowControl w:val="0"/>
        <w:tabs>
          <w:tab w:val="left" w:pos="2156"/>
        </w:tabs>
        <w:ind w:firstLine="720"/>
        <w:jc w:val="both"/>
        <w:rPr>
          <w:rFonts w:eastAsia="Trebuchet MS"/>
          <w:lang w:val="ro-MD" w:eastAsia="en-US"/>
        </w:rPr>
      </w:pPr>
      <w:r w:rsidRPr="00846453">
        <w:rPr>
          <w:rFonts w:eastAsia="Trebuchet MS"/>
          <w:color w:val="000000"/>
          <w:lang w:val="ro-MD" w:eastAsia="en-US"/>
        </w:rPr>
        <w:t>Recurenta pârâtă a arătat că, la pronunțarea hotărârii, instanța de fond nu a avut in vedere dispozițiile art.435 alin.1 din Legea nr.134/2010 privind Codul de Procedura Ci</w:t>
      </w:r>
      <w:r w:rsidRPr="00846453">
        <w:rPr>
          <w:rFonts w:eastAsia="Trebuchet MS"/>
          <w:color w:val="000000"/>
          <w:lang w:val="ro-MD" w:eastAsia="en-US"/>
        </w:rPr>
        <w:t>vila, potrivit cărora ”hotararea judecătoreasca este obligatorie si produce efecte numai intre parti si succesorii acestora”, fiind evident că, prin intermediul demersului judiciar, reclamantul a solicitat extinderea efectelor unor hotarari judecătorești, care au fost pronunțate in litigii distincte, in cadrul unor situații particulare, ceea ce contravine dispoziției normei mai sus citata.</w:t>
      </w:r>
    </w:p>
    <w:p w:rsidRPr="00846453" w:rsidR="00846453" w:rsidP="00846453">
      <w:pPr>
        <w:widowControl w:val="0"/>
        <w:tabs>
          <w:tab w:val="left" w:pos="2156"/>
        </w:tabs>
        <w:ind w:firstLine="720"/>
        <w:jc w:val="both"/>
        <w:rPr>
          <w:rFonts w:eastAsia="Trebuchet MS"/>
          <w:lang w:val="ro-MD" w:eastAsia="en-US"/>
        </w:rPr>
      </w:pPr>
      <w:r w:rsidRPr="00846453">
        <w:rPr>
          <w:rFonts w:eastAsia="Trebuchet MS"/>
          <w:color w:val="000000"/>
          <w:lang w:val="ro-MD" w:eastAsia="en-US"/>
        </w:rPr>
        <w:t>De asemenea că, aspectul care trebuia lămurit de instanța de fond, se refera la raportul dintre opozabilitatea hotărâri</w:t>
      </w:r>
      <w:r w:rsidRPr="00846453">
        <w:rPr>
          <w:rFonts w:eastAsia="Trebuchet MS"/>
          <w:color w:val="000000"/>
          <w:lang w:val="ro-MD" w:eastAsia="en-US"/>
        </w:rPr>
        <w:t>lor judecătorești si obligativitatea hotărârilor judecătorești.</w:t>
      </w:r>
    </w:p>
    <w:p w:rsidRPr="00846453" w:rsidR="00846453" w:rsidP="00846453">
      <w:pPr>
        <w:widowControl w:val="0"/>
        <w:tabs>
          <w:tab w:val="left" w:pos="2156"/>
        </w:tabs>
        <w:ind w:firstLine="720"/>
        <w:jc w:val="both"/>
        <w:rPr>
          <w:rFonts w:eastAsia="Trebuchet MS"/>
          <w:lang w:val="ro-MD" w:eastAsia="en-US"/>
        </w:rPr>
      </w:pPr>
      <w:r w:rsidRPr="00846453">
        <w:rPr>
          <w:rFonts w:eastAsia="Trebuchet MS"/>
          <w:color w:val="000000"/>
          <w:lang w:val="ro-MD" w:eastAsia="en-US"/>
        </w:rPr>
        <w:t>A arătat că, opozabilitatea este acea calitate a unui act juridic sau a unui drept subiectiv de a impune respectarea lui, de către alte persoane decât părțile intre care s-a legat raportul juridic, in timp ce, o hotărâre judecătoreasca este obligatorie si produce efecte numai intre parti si succesorii acestora.</w:t>
      </w:r>
    </w:p>
    <w:p w:rsidRPr="00846453" w:rsidR="00846453" w:rsidP="00846453">
      <w:pPr>
        <w:widowControl w:val="0"/>
        <w:tabs>
          <w:tab w:val="left" w:pos="2156"/>
        </w:tabs>
        <w:ind w:firstLine="720"/>
        <w:jc w:val="both"/>
        <w:rPr>
          <w:rFonts w:eastAsia="Trebuchet MS"/>
          <w:lang w:val="ro-MD" w:eastAsia="en-US"/>
        </w:rPr>
      </w:pPr>
      <w:r w:rsidRPr="00846453">
        <w:rPr>
          <w:rFonts w:eastAsia="Trebuchet MS"/>
          <w:color w:val="000000"/>
          <w:lang w:val="ro-MD" w:eastAsia="en-US"/>
        </w:rPr>
        <w:t>Totodată că, reclamantul a solicitat ca parata sa calculeze si sa plateasca diferența dintre salariul de baza efectiv achitat si salari</w:t>
      </w:r>
      <w:r w:rsidRPr="00846453">
        <w:rPr>
          <w:rFonts w:eastAsia="Trebuchet MS"/>
          <w:color w:val="000000"/>
          <w:lang w:val="ro-MD" w:eastAsia="en-US"/>
        </w:rPr>
        <w:t xml:space="preserve">ul de baza cuvenit la nivelul maxim de salarizare pentru funcții similare aflate in plata in cadrul D.G.R.F.P </w:t>
      </w:r>
      <w:r w:rsidR="00E24EB3">
        <w:rPr>
          <w:rFonts w:eastAsia="Trebuchet MS"/>
          <w:color w:val="000000"/>
          <w:lang w:val="ro-MD" w:eastAsia="en-US"/>
        </w:rPr>
        <w:t>G</w:t>
      </w:r>
      <w:r w:rsidRPr="00846453">
        <w:rPr>
          <w:rFonts w:eastAsia="Trebuchet MS"/>
          <w:color w:val="000000"/>
          <w:lang w:val="ro-MD" w:eastAsia="en-US"/>
        </w:rPr>
        <w:t>, prevalandu-se de hotarari judecătorești definitive, altele decât cele ce privesc părțile din litigiu.</w:t>
      </w:r>
    </w:p>
    <w:p w:rsidRPr="00846453" w:rsidR="00846453" w:rsidP="00846453">
      <w:pPr>
        <w:widowControl w:val="0"/>
        <w:tabs>
          <w:tab w:val="left" w:pos="2156"/>
        </w:tabs>
        <w:ind w:firstLine="720"/>
        <w:jc w:val="both"/>
        <w:rPr>
          <w:rFonts w:eastAsia="Trebuchet MS"/>
          <w:lang w:val="ro-MD" w:eastAsia="en-US"/>
        </w:rPr>
      </w:pPr>
      <w:r w:rsidRPr="00846453">
        <w:rPr>
          <w:rFonts w:eastAsia="Trebuchet MS"/>
          <w:color w:val="000000"/>
          <w:lang w:val="ro-MD" w:eastAsia="en-US"/>
        </w:rPr>
        <w:t xml:space="preserve"> A invocat Decizia nr.2/2016, pronunţată de Înalta Curte de Casație si Justiție - </w:t>
      </w:r>
      <w:r w:rsidRPr="00846453">
        <w:rPr>
          <w:rFonts w:eastAsia="Trebuchet MS"/>
          <w:color w:val="000000"/>
          <w:lang w:val="ro-MD" w:eastAsia="en-US"/>
        </w:rPr>
        <w:t>Completul pentru dezlegarea unor chestiuni de drept, prin care a admis in parte sesizarea formulata  de Curtea de Apel Constanta privind pronunțarea unei hotărâri prealabile pentru dezlegarea modului de interpretare</w:t>
      </w:r>
      <w:r w:rsidRPr="00846453">
        <w:rPr>
          <w:rFonts w:eastAsia="Trebuchet MS"/>
          <w:color w:val="000000"/>
          <w:lang w:val="ro-MD" w:eastAsia="en-US"/>
        </w:rPr>
        <w:t xml:space="preserve"> si aplicare a dispozițiilor art.2 raportat la art.1, alin.2, lit.e, pct.i si alin.3 si ale art.27 din O.G.nr. 137/2000 privind prevenirea si sancționarea tuturor formelor de discriminare, stabilind  ca, ”in aplicarea art.2(..), punerea in executare a hotărârilor judecătorești prin care s-au acordat unor angajați anumite drepturi salariate nu reprezintă un tratament discriminatoriu al celorlalți angajați".</w:t>
      </w:r>
    </w:p>
    <w:p w:rsidRPr="00846453" w:rsidR="00846453" w:rsidP="00846453">
      <w:pPr>
        <w:widowControl w:val="0"/>
        <w:tabs>
          <w:tab w:val="left" w:pos="2156"/>
        </w:tabs>
        <w:ind w:firstLine="720"/>
        <w:jc w:val="both"/>
        <w:rPr>
          <w:rFonts w:eastAsia="Trebuchet MS"/>
          <w:lang w:val="ro-MD" w:eastAsia="en-US"/>
        </w:rPr>
      </w:pPr>
      <w:r w:rsidRPr="00846453">
        <w:rPr>
          <w:rFonts w:eastAsia="Trebuchet MS"/>
          <w:color w:val="000000"/>
          <w:lang w:val="ro-MD" w:eastAsia="en-US"/>
        </w:rPr>
        <w:t>A concluzionat că, hotărârile judecătorești la care a făcut referire intimatul si care au fost avute i</w:t>
      </w:r>
      <w:r w:rsidRPr="00846453">
        <w:rPr>
          <w:rFonts w:eastAsia="Trebuchet MS"/>
          <w:color w:val="000000"/>
          <w:lang w:val="ro-MD" w:eastAsia="en-US"/>
        </w:rPr>
        <w:t>n vedere de instanța de fond la pronunțarea soluției, nu produc, conform legii, efecte in ceea ce privește oricare alti funcționari care nu a avut calitatea de reclamanti in dosarele in care s-au pronunțat.</w:t>
      </w:r>
      <w:bookmarkStart w:name="bookmark13" w:id="4"/>
      <w:bookmarkEnd w:id="4"/>
    </w:p>
    <w:p w:rsidRPr="00846453" w:rsidR="00846453" w:rsidP="00846453">
      <w:pPr>
        <w:widowControl w:val="0"/>
        <w:tabs>
          <w:tab w:val="left" w:pos="2156"/>
        </w:tabs>
        <w:ind w:firstLine="720"/>
        <w:jc w:val="both"/>
        <w:rPr>
          <w:rFonts w:eastAsia="Trebuchet MS"/>
          <w:lang w:val="ro-MD" w:eastAsia="en-US"/>
        </w:rPr>
      </w:pPr>
      <w:r w:rsidRPr="00846453">
        <w:rPr>
          <w:rFonts w:eastAsia="Trebuchet MS"/>
          <w:lang w:val="ro-MD" w:eastAsia="en-US"/>
        </w:rPr>
        <w:t>Recurenta pârâtă a mai arătat că</w:t>
      </w:r>
      <w:r w:rsidRPr="00846453">
        <w:rPr>
          <w:rFonts w:eastAsia="Trebuchet MS"/>
          <w:color w:val="000000"/>
          <w:lang w:val="ro-MD" w:eastAsia="en-US"/>
        </w:rPr>
        <w:t xml:space="preserve"> instanța de fond a încălcat princ</w:t>
      </w:r>
      <w:r w:rsidRPr="00846453">
        <w:rPr>
          <w:rFonts w:eastAsia="Trebuchet MS"/>
          <w:color w:val="000000"/>
          <w:lang w:val="ro-MD" w:eastAsia="en-US"/>
        </w:rPr>
        <w:t>ipiul nediscriminarii reglementat la art. 6 lit.b din Legea-cadru nr.153/2017.</w:t>
      </w:r>
    </w:p>
    <w:p w:rsidRPr="00846453" w:rsidR="00846453" w:rsidP="00846453">
      <w:pPr>
        <w:widowControl w:val="0"/>
        <w:tabs>
          <w:tab w:val="left" w:pos="2156"/>
        </w:tabs>
        <w:ind w:firstLine="720"/>
        <w:jc w:val="both"/>
        <w:rPr>
          <w:rFonts w:eastAsia="Trebuchet MS"/>
          <w:lang w:val="ro-MD" w:eastAsia="en-US"/>
        </w:rPr>
      </w:pPr>
      <w:r w:rsidRPr="00846453">
        <w:rPr>
          <w:rFonts w:eastAsia="Trebuchet MS"/>
          <w:color w:val="000000"/>
          <w:lang w:val="ro-MD" w:eastAsia="en-US"/>
        </w:rPr>
        <w:t>A aratat că, prin Legea nr.153/2017, s-a creat cadrul legislativ pentru stabilirea sistemului de salarizare a personalului din sectorul bugetar plătit din buget</w:t>
      </w:r>
      <w:r w:rsidRPr="00846453">
        <w:rPr>
          <w:rFonts w:eastAsia="Trebuchet MS"/>
          <w:color w:val="000000"/>
          <w:lang w:val="ro-MD" w:eastAsia="en-US"/>
        </w:rPr>
        <w:t>ul general consolidat al statului, art.12 alin.1 statuând ca, salariile de baza, soldele de functie/salariile de funcții, indemnizațiile de încadrare si indemnizațiile lunare se stabiliesc potrivit prevederilor acestei legi si anexelor l-IX, astfel incat sa se încadreze in fondurile aprobate de la bugetul de stat, bugetul asigurărilor sociale sociale de stat, bugetele locale si bugetele fondurilor special pentru cheltuielile de personal.</w:t>
      </w:r>
    </w:p>
    <w:p w:rsidRPr="00846453" w:rsidR="00846453" w:rsidP="00846453">
      <w:pPr>
        <w:widowControl w:val="0"/>
        <w:tabs>
          <w:tab w:val="left" w:pos="2156"/>
        </w:tabs>
        <w:ind w:firstLine="720"/>
        <w:jc w:val="both"/>
        <w:rPr>
          <w:rFonts w:eastAsia="Trebuchet MS"/>
          <w:lang w:val="ro-MD" w:eastAsia="en-US"/>
        </w:rPr>
      </w:pPr>
      <w:r w:rsidRPr="00846453">
        <w:rPr>
          <w:rFonts w:eastAsia="Trebuchet MS"/>
          <w:color w:val="000000"/>
          <w:lang w:val="ro-MD" w:eastAsia="en-US"/>
        </w:rPr>
        <w:t>De asemenea că, potrivit dispozițiilor art.12 alin.2 din Legea nr.153/</w:t>
      </w:r>
      <w:r w:rsidRPr="00846453">
        <w:rPr>
          <w:rFonts w:eastAsia="Trebuchet MS"/>
          <w:color w:val="000000"/>
          <w:lang w:val="ro-MD" w:eastAsia="en-US"/>
        </w:rPr>
        <w:t>2017, salariile de baza, soldele de functie/salariile de funcții, indemnizațiile de încadrare, ar trebui sa fie stabilite, pentru toate funcțiile cuprinse in Anexele l-VIII, prin înmulțirea coeficentilor prevazuti in anexe cu salariul de baza minim brut pe tara garantat in plata, in vigoare.</w:t>
      </w:r>
    </w:p>
    <w:p w:rsidRPr="00846453" w:rsidR="00846453" w:rsidP="00846453">
      <w:pPr>
        <w:widowControl w:val="0"/>
        <w:tabs>
          <w:tab w:val="left" w:pos="2156"/>
        </w:tabs>
        <w:ind w:firstLine="720"/>
        <w:jc w:val="both"/>
        <w:rPr>
          <w:rFonts w:eastAsia="Trebuchet MS"/>
          <w:lang w:val="ro-MD" w:eastAsia="en-US"/>
        </w:rPr>
      </w:pPr>
      <w:r w:rsidRPr="00846453">
        <w:rPr>
          <w:rFonts w:eastAsia="Trebuchet MS"/>
          <w:color w:val="000000"/>
          <w:lang w:val="ro-MD" w:eastAsia="en-US"/>
        </w:rPr>
        <w:t>Totodată că, prin Legea cadru nr.153/2017, s-a modificat noțiunea salariului de baza, fiind incluse si drepturile bănești acordate conform art.14 din Legea nr.285/2010.</w:t>
      </w:r>
    </w:p>
    <w:p w:rsidRPr="00846453" w:rsidR="00846453" w:rsidP="00846453">
      <w:pPr>
        <w:widowControl w:val="0"/>
        <w:tabs>
          <w:tab w:val="left" w:pos="2156"/>
        </w:tabs>
        <w:ind w:firstLine="720"/>
        <w:jc w:val="both"/>
        <w:rPr>
          <w:rFonts w:eastAsia="Trebuchet MS"/>
          <w:lang w:val="ro-MD" w:eastAsia="en-US"/>
        </w:rPr>
      </w:pPr>
      <w:r w:rsidRPr="00846453">
        <w:rPr>
          <w:rFonts w:eastAsia="Trebuchet MS"/>
          <w:color w:val="000000"/>
          <w:lang w:val="ro-MD" w:eastAsia="en-US"/>
        </w:rPr>
        <w:t>A arătat că, stabilirea salariului pentru personal</w:t>
      </w:r>
      <w:r w:rsidRPr="00846453">
        <w:rPr>
          <w:rFonts w:eastAsia="Trebuchet MS"/>
          <w:color w:val="000000"/>
          <w:lang w:val="ro-MD" w:eastAsia="en-US"/>
        </w:rPr>
        <w:t>ul care avanseaza in gradație, se face prin aplicarea majorării aferente transei de vechime, la salariul de baza care include drepturile bănești acordate, conform art.14 din Legea nr.285/2010.</w:t>
      </w:r>
    </w:p>
    <w:p w:rsidRPr="00846453" w:rsidR="00846453" w:rsidP="00846453">
      <w:pPr>
        <w:widowControl w:val="0"/>
        <w:tabs>
          <w:tab w:val="left" w:pos="2156"/>
        </w:tabs>
        <w:ind w:firstLine="720"/>
        <w:jc w:val="both"/>
        <w:rPr>
          <w:rFonts w:eastAsia="Trebuchet MS"/>
          <w:lang w:val="ro-MD" w:eastAsia="en-US"/>
        </w:rPr>
      </w:pPr>
      <w:r w:rsidRPr="00846453">
        <w:rPr>
          <w:rFonts w:eastAsia="Trebuchet MS"/>
          <w:color w:val="000000"/>
          <w:lang w:val="ro-MD" w:eastAsia="en-US"/>
        </w:rPr>
        <w:t>De asemenea că, fiind vorba de o baza de calcul mai mare începând cu data de 01.07.2017, exista diferente salariale pentru ace</w:t>
      </w:r>
      <w:r w:rsidRPr="00846453">
        <w:rPr>
          <w:rFonts w:eastAsia="Trebuchet MS"/>
          <w:color w:val="000000"/>
          <w:lang w:val="ro-MD" w:eastAsia="en-US"/>
        </w:rPr>
        <w:t xml:space="preserve">eași funcție (de exemplu: inspector grad profesional superior gradația 5), intre personalul care a avut dreptul sa obțină gradația inainte de 01.07.2017 si, cel care indeplineste condițiile de </w:t>
      </w:r>
      <w:r w:rsidRPr="00846453">
        <w:rPr>
          <w:rFonts w:eastAsia="Trebuchet MS"/>
          <w:color w:val="000000"/>
          <w:lang w:val="ro-MD" w:eastAsia="en-US"/>
        </w:rPr>
        <w:t>vechime incepand cu 01.07.2017.</w:t>
      </w:r>
    </w:p>
    <w:p w:rsidRPr="00846453" w:rsidR="00846453" w:rsidP="00846453">
      <w:pPr>
        <w:widowControl w:val="0"/>
        <w:tabs>
          <w:tab w:val="left" w:pos="2156"/>
        </w:tabs>
        <w:ind w:firstLine="720"/>
        <w:jc w:val="both"/>
        <w:rPr>
          <w:rFonts w:eastAsia="Trebuchet MS"/>
          <w:lang w:val="ro-MD" w:eastAsia="en-US"/>
        </w:rPr>
      </w:pPr>
      <w:r w:rsidRPr="00846453">
        <w:rPr>
          <w:rFonts w:eastAsia="Trebuchet MS"/>
          <w:color w:val="000000"/>
          <w:lang w:val="ro-MD" w:eastAsia="en-US"/>
        </w:rPr>
        <w:t>S-a menționat ca avansarea personalului încadrat pe funcții de execuție in gradația corespunzătoare transei de vechime in munca, si, calculul indemnizațiilor potrivit acestor gradații, se face potrivit normelor juridice in vigoare la data avansarii, cuantumurile ce ar fi putut fi calculate, potrivit legislației aplicabile, ulterior acestei date, neavand regimul juridic al unor drepturi castigate.</w:t>
      </w:r>
    </w:p>
    <w:p w:rsidRPr="00846453" w:rsidR="00846453" w:rsidP="00846453">
      <w:pPr>
        <w:widowControl w:val="0"/>
        <w:tabs>
          <w:tab w:val="left" w:pos="2156"/>
        </w:tabs>
        <w:ind w:firstLine="720"/>
        <w:jc w:val="both"/>
        <w:rPr>
          <w:rFonts w:eastAsia="Trebuchet MS"/>
          <w:lang w:val="ro-MD" w:eastAsia="en-US"/>
        </w:rPr>
      </w:pPr>
      <w:r w:rsidRPr="00846453">
        <w:rPr>
          <w:rFonts w:eastAsia="Trebuchet MS"/>
          <w:color w:val="000000"/>
          <w:lang w:val="ro-MD" w:eastAsia="en-US"/>
        </w:rPr>
        <w:t>A mai arătat că, diferența de salarizare este determinata de regimul juridic apl</w:t>
      </w:r>
      <w:r w:rsidRPr="00846453">
        <w:rPr>
          <w:rFonts w:eastAsia="Trebuchet MS"/>
          <w:color w:val="000000"/>
          <w:lang w:val="ro-MD" w:eastAsia="en-US"/>
        </w:rPr>
        <w:t>icabil la momentul împlinirii vechimii in munca, si, in consecința, nu prezintă importanta, cuantumurile ce puteau fi calculate potrivit legislației ce se aplica ulterior datei de 01.07.2017, acestea neavând regimul juridic al unor drepturi câștigate.</w:t>
      </w:r>
    </w:p>
    <w:p w:rsidRPr="00846453" w:rsidR="00846453" w:rsidP="00846453">
      <w:pPr>
        <w:widowControl w:val="0"/>
        <w:tabs>
          <w:tab w:val="left" w:pos="2156"/>
        </w:tabs>
        <w:ind w:firstLine="720"/>
        <w:jc w:val="both"/>
        <w:rPr>
          <w:rFonts w:eastAsia="Trebuchet MS"/>
          <w:lang w:val="ro-MD" w:eastAsia="en-US"/>
        </w:rPr>
      </w:pPr>
      <w:r w:rsidRPr="00846453">
        <w:rPr>
          <w:rFonts w:eastAsia="Trebuchet MS"/>
          <w:color w:val="000000"/>
          <w:lang w:val="ro-MD" w:eastAsia="en-US"/>
        </w:rPr>
        <w:t>Totodată că, situația diferita in care se regăsesc funcționarii publici, nu poate fi interpretata ca o încălcare a dispozițiilor legale care consacra egalitatea in fata legii si a autorităților publice.</w:t>
      </w:r>
    </w:p>
    <w:p w:rsidRPr="00846453" w:rsidR="00846453" w:rsidP="00846453">
      <w:pPr>
        <w:widowControl w:val="0"/>
        <w:tabs>
          <w:tab w:val="left" w:pos="2156"/>
        </w:tabs>
        <w:ind w:firstLine="720"/>
        <w:jc w:val="both"/>
        <w:rPr>
          <w:rFonts w:eastAsia="Trebuchet MS"/>
          <w:lang w:val="ro-MD" w:eastAsia="en-US"/>
        </w:rPr>
      </w:pPr>
      <w:r w:rsidRPr="00846453">
        <w:rPr>
          <w:rFonts w:eastAsia="Trebuchet MS"/>
          <w:color w:val="000000"/>
          <w:lang w:val="ro-MD" w:eastAsia="en-US"/>
        </w:rPr>
        <w:t>Recurenta pârâtă a arătat că, scopul declarat al Legii nr</w:t>
      </w:r>
      <w:r w:rsidRPr="00846453">
        <w:rPr>
          <w:rFonts w:eastAsia="Trebuchet MS"/>
          <w:color w:val="000000"/>
          <w:lang w:val="ro-MD" w:eastAsia="en-US"/>
        </w:rPr>
        <w:t>.153/2017, este acela de a stabili un sistem unitar de salarizare pentru personalul din sectorul bugetar plătit din bugetul general consolidat al statului, prin determinarea domeniului de aplicare, a principiilor generale de stabilire a salariilor de baza, soldelor de funcție/salariilor in funcție, indemnizațiilor si a altor drepturi salariale specific celor 7 familii ocupaționale de funcții bugetare.</w:t>
      </w:r>
    </w:p>
    <w:p w:rsidRPr="00846453" w:rsidR="00846453" w:rsidP="00846453">
      <w:pPr>
        <w:widowControl w:val="0"/>
        <w:tabs>
          <w:tab w:val="left" w:pos="2156"/>
        </w:tabs>
        <w:ind w:firstLine="720"/>
        <w:jc w:val="both"/>
        <w:rPr>
          <w:rFonts w:eastAsia="Trebuchet MS"/>
          <w:lang w:val="ro-MD" w:eastAsia="en-US"/>
        </w:rPr>
      </w:pPr>
      <w:r w:rsidRPr="00846453">
        <w:rPr>
          <w:rFonts w:eastAsia="Trebuchet MS"/>
          <w:color w:val="000000"/>
          <w:lang w:val="ro-MD" w:eastAsia="en-US"/>
        </w:rPr>
        <w:t>A arătat că, aplicarea etapizata a Legii nr.153/2017, a inclus reglementari de principiu, de la care legiui</w:t>
      </w:r>
      <w:r w:rsidRPr="00846453">
        <w:rPr>
          <w:rFonts w:eastAsia="Trebuchet MS"/>
          <w:color w:val="000000"/>
          <w:lang w:val="ro-MD" w:eastAsia="en-US"/>
        </w:rPr>
        <w:t>torul a inteles sa deroge prin acte normative ulterioare, stabilind majorați salariale sau acordarea de sporuri, precum si aplicarea accelerata a prevederilor legii, pentru diverse funcții sau categorii socioprofesionale ( funcții de demnitate publica, personal didactic, personal medico-sanitar, s.a.).</w:t>
      </w:r>
    </w:p>
    <w:p w:rsidRPr="00846453" w:rsidR="00846453" w:rsidP="00846453">
      <w:pPr>
        <w:widowControl w:val="0"/>
        <w:tabs>
          <w:tab w:val="left" w:pos="2156"/>
        </w:tabs>
        <w:ind w:firstLine="720"/>
        <w:jc w:val="both"/>
        <w:rPr>
          <w:rFonts w:eastAsia="Trebuchet MS"/>
          <w:lang w:val="ro-MD" w:eastAsia="en-US"/>
        </w:rPr>
      </w:pPr>
      <w:r w:rsidRPr="00846453">
        <w:rPr>
          <w:rFonts w:eastAsia="Trebuchet MS"/>
          <w:color w:val="000000"/>
          <w:lang w:val="ro-MD" w:eastAsia="en-US"/>
        </w:rPr>
        <w:t>A învederat că, prin Decizia nr. 794/15.12.2016 pronunțata de Curtea Constituțională, in solutionarea excepției de neconstituționalitate a dispozițiilor art.3ind.1 alin. 1 ind. 1 - alin.1 ind.4 din O.U.G. nr.</w:t>
      </w:r>
      <w:r w:rsidRPr="00846453">
        <w:rPr>
          <w:rFonts w:eastAsia="Trebuchet MS"/>
          <w:color w:val="000000"/>
          <w:lang w:val="ro-MD" w:eastAsia="en-US"/>
        </w:rPr>
        <w:t xml:space="preserve"> 57/2015 privind salarizarea personalului plătit din fonduri publice in anul 2016, prorogarea unor termene, precum si unele masuri fiscal-bugetare, invocata de reclamanți, nu au fost declarate neconstituționale prevederi din Legea cadru nr.153/2017 or legea salarizării, in ansamblul sau.</w:t>
      </w:r>
    </w:p>
    <w:p w:rsidRPr="00846453" w:rsidR="00846453" w:rsidP="00846453">
      <w:pPr>
        <w:widowControl w:val="0"/>
        <w:tabs>
          <w:tab w:val="left" w:pos="2156"/>
        </w:tabs>
        <w:ind w:firstLine="720"/>
        <w:jc w:val="both"/>
        <w:rPr>
          <w:rFonts w:eastAsia="Trebuchet MS"/>
          <w:lang w:val="ro-MD" w:eastAsia="en-US"/>
        </w:rPr>
      </w:pPr>
      <w:r w:rsidRPr="00846453">
        <w:rPr>
          <w:rFonts w:eastAsia="Trebuchet MS"/>
          <w:color w:val="000000"/>
          <w:lang w:val="ro-MD" w:eastAsia="en-US"/>
        </w:rPr>
        <w:t>De asemenea că, sunt cunoscute efectele obligatorii și ex nune ale unei decizii pronunțată în controlul constituțional, potrivit art.147 alin.(4) din Constituția României, totuși, prin paragraful 37 din acesta decizie, porn</w:t>
      </w:r>
      <w:r w:rsidRPr="00846453">
        <w:rPr>
          <w:rFonts w:eastAsia="Trebuchet MS"/>
          <w:color w:val="000000"/>
          <w:lang w:val="ro-MD" w:eastAsia="en-US"/>
        </w:rPr>
        <w:t>ind de la obligativitatea legiuitorului de a pune de acord dispozițiile legii fundamentale, Curtea constată că, până la adoptarea soluției legislative corespunzătoare, aceasta arată întinderea obligației tuturor subiecților de drept de a se conforma dispozițiilor din considerente și dispozitiv, dar până la intrarea în vigoare a cadrului legislativ pentru stabilirea sistemului de salarizare a personalului din sectorul bugetar plătit din bugetul general consolidat al statului, în cazul nostru Legea- cadru nr.</w:t>
      </w:r>
      <w:r w:rsidRPr="00846453">
        <w:rPr>
          <w:rFonts w:eastAsia="Trebuchet MS"/>
          <w:color w:val="000000"/>
          <w:lang w:val="ro-MD" w:eastAsia="en-US"/>
        </w:rPr>
        <w:t>153/2017, ce are ca scop armonizarea sistemului de salarizare din sectorul bugetar.</w:t>
      </w:r>
    </w:p>
    <w:p w:rsidRPr="00846453" w:rsidR="00846453" w:rsidP="00846453">
      <w:pPr>
        <w:widowControl w:val="0"/>
        <w:tabs>
          <w:tab w:val="left" w:pos="2156"/>
        </w:tabs>
        <w:ind w:firstLine="720"/>
        <w:jc w:val="both"/>
        <w:rPr>
          <w:rFonts w:eastAsia="Trebuchet MS"/>
          <w:lang w:val="ro-MD" w:eastAsia="en-US"/>
        </w:rPr>
      </w:pPr>
      <w:r w:rsidRPr="00846453">
        <w:rPr>
          <w:rFonts w:eastAsia="Trebuchet MS"/>
          <w:color w:val="000000"/>
          <w:lang w:val="ro-MD" w:eastAsia="en-US"/>
        </w:rPr>
        <w:t>A mai arătat că, toate discrepantele ivite in aplicarea legii vor fi eliminate, la momentul aplicării integrale a actului normativ, termenul limita stabilit inițial, fiind anul 2022, care a fost amânat prin Ordonanțe de urgente, urmând ca salariile de baza ale personalului ANAF, sa ajungă la același cuantum pentru funcționarii care au aceeași funcție, același grad si aceeași gradație.</w:t>
      </w:r>
    </w:p>
    <w:p w:rsidRPr="00846453" w:rsidR="00846453" w:rsidP="00846453">
      <w:pPr>
        <w:widowControl w:val="0"/>
        <w:tabs>
          <w:tab w:val="left" w:pos="2156"/>
        </w:tabs>
        <w:ind w:firstLine="720"/>
        <w:jc w:val="both"/>
        <w:rPr>
          <w:rFonts w:eastAsia="Trebuchet MS"/>
          <w:lang w:val="ro-MD" w:eastAsia="en-US"/>
        </w:rPr>
      </w:pPr>
      <w:r w:rsidRPr="00846453">
        <w:rPr>
          <w:rFonts w:eastAsia="Trebuchet MS"/>
          <w:color w:val="000000"/>
          <w:lang w:val="ro-MD" w:eastAsia="en-US"/>
        </w:rPr>
        <w:t>Referitor la actualizarea sumelor cu ind</w:t>
      </w:r>
      <w:r w:rsidRPr="00846453">
        <w:rPr>
          <w:rFonts w:eastAsia="Trebuchet MS"/>
          <w:color w:val="000000"/>
          <w:lang w:val="ro-MD" w:eastAsia="en-US"/>
        </w:rPr>
        <w:t>icele de inflație și dobânda legală, pe care intimatul-reclamant le-a obținut, a solicitat instanței respingerea acesteia, ca nemotivată și nesusținută legal, iar în al doilea rând, ca inadmisibilă, având în vedere dublul caracter al instituției actualizării, respectiv reparatoriu și sancționatoriu.</w:t>
      </w:r>
    </w:p>
    <w:p w:rsidRPr="00846453" w:rsidR="00846453" w:rsidP="00846453">
      <w:pPr>
        <w:widowControl w:val="0"/>
        <w:tabs>
          <w:tab w:val="left" w:pos="2156"/>
        </w:tabs>
        <w:ind w:firstLine="720"/>
        <w:jc w:val="both"/>
        <w:rPr>
          <w:rFonts w:eastAsia="Trebuchet MS"/>
          <w:lang w:val="ro-MD" w:eastAsia="en-US"/>
        </w:rPr>
      </w:pPr>
      <w:r w:rsidRPr="00846453">
        <w:rPr>
          <w:rFonts w:eastAsia="Trebuchet MS"/>
          <w:color w:val="000000"/>
          <w:lang w:val="ro-MD" w:eastAsia="en-US"/>
        </w:rPr>
        <w:t xml:space="preserve">În materia drepturilor salariale scopul actualizării este, din perspectiva creditorului, acela al reparării integrale a prejudiciului suferit prin neplata la scadență a creanței, actualizarea având semnificația </w:t>
      </w:r>
      <w:r w:rsidRPr="00846453">
        <w:rPr>
          <w:rFonts w:eastAsia="Trebuchet MS"/>
          <w:color w:val="000000"/>
          <w:lang w:val="ro-MD" w:eastAsia="en-US"/>
        </w:rPr>
        <w:t>unei sancțiuni pentru pasivitatea sa prin stingerea obligației.</w:t>
      </w:r>
    </w:p>
    <w:p w:rsidRPr="00846453" w:rsidR="00846453" w:rsidP="00846453">
      <w:pPr>
        <w:widowControl w:val="0"/>
        <w:tabs>
          <w:tab w:val="left" w:pos="2156"/>
        </w:tabs>
        <w:ind w:firstLine="720"/>
        <w:jc w:val="both"/>
        <w:rPr>
          <w:rFonts w:eastAsia="Trebuchet MS"/>
          <w:lang w:val="ro-MD" w:eastAsia="en-US"/>
        </w:rPr>
      </w:pPr>
      <w:r w:rsidRPr="00846453">
        <w:rPr>
          <w:rFonts w:eastAsia="Trebuchet MS"/>
          <w:color w:val="000000"/>
          <w:lang w:val="ro-MD" w:eastAsia="en-US"/>
        </w:rPr>
        <w:t xml:space="preserve">De asemenea că, D.G.R.F.P </w:t>
      </w:r>
      <w:r w:rsidR="00E24EB3">
        <w:rPr>
          <w:rFonts w:eastAsia="Trebuchet MS"/>
          <w:color w:val="000000"/>
          <w:lang w:val="ro-MD" w:eastAsia="en-US"/>
        </w:rPr>
        <w:t>...</w:t>
      </w:r>
      <w:r w:rsidRPr="00846453">
        <w:rPr>
          <w:rFonts w:eastAsia="Trebuchet MS"/>
          <w:color w:val="000000"/>
          <w:lang w:val="ro-MD" w:eastAsia="en-US"/>
        </w:rPr>
        <w:t xml:space="preserve"> a procedat în mod corect și legal la stabilirea drepturilor salariale pentru personalul plătit din fonduri bugetare, în conformitate cu prevederile legale în vigoare și, în consecință, nu există nici obligație neîndeplinită și nici întârziere nejustificată a plății salariului sau neplata acestuia, fapt pentru care solicită </w:t>
      </w:r>
      <w:r w:rsidRPr="00846453">
        <w:rPr>
          <w:rFonts w:eastAsia="Trebuchet MS"/>
          <w:color w:val="000000"/>
          <w:lang w:val="ro-MD" w:eastAsia="en-US"/>
        </w:rPr>
        <w:t>instanței respingerea acestui capăt de cerere.</w:t>
      </w:r>
    </w:p>
    <w:p w:rsidRPr="00846453" w:rsidR="00846453" w:rsidP="00846453">
      <w:pPr>
        <w:widowControl w:val="0"/>
        <w:tabs>
          <w:tab w:val="left" w:pos="2156"/>
        </w:tabs>
        <w:ind w:firstLine="720"/>
        <w:jc w:val="both"/>
        <w:rPr>
          <w:rFonts w:eastAsia="Trebuchet MS"/>
          <w:lang w:val="ro-MD" w:eastAsia="en-US"/>
        </w:rPr>
      </w:pPr>
      <w:r w:rsidRPr="00846453">
        <w:rPr>
          <w:rFonts w:eastAsia="Trebuchet MS"/>
          <w:color w:val="000000"/>
          <w:lang w:val="ro-MD" w:eastAsia="en-US"/>
        </w:rPr>
        <w:t>Sub aspectul condiției ca obligația să fie aju</w:t>
      </w:r>
      <w:r w:rsidRPr="00846453">
        <w:rPr>
          <w:rFonts w:eastAsia="Trebuchet MS"/>
          <w:color w:val="000000"/>
          <w:lang w:val="ro-MD" w:eastAsia="en-US"/>
        </w:rPr>
        <w:t>nsă la scadență, a arătat că, nici aceasta nu este îndeplinită, deoarece neacordarea pretinselor drepturi salariale nu a fost sancționată printr-o hotărâre judecătorească care să constituie titlu executoriu. De asemenea că,  nu se regăsește nici caracterul reparatoriu și nici caracterul sancționatoriu al instituției actualizării.</w:t>
      </w:r>
    </w:p>
    <w:p w:rsidRPr="00846453" w:rsidR="00846453" w:rsidP="00846453">
      <w:pPr>
        <w:widowControl w:val="0"/>
        <w:tabs>
          <w:tab w:val="left" w:pos="2156"/>
        </w:tabs>
        <w:ind w:firstLine="720"/>
        <w:jc w:val="both"/>
        <w:rPr>
          <w:rFonts w:eastAsia="Trebuchet MS"/>
          <w:lang w:val="ro-MD" w:eastAsia="en-US"/>
        </w:rPr>
      </w:pPr>
      <w:r w:rsidRPr="00846453">
        <w:rPr>
          <w:rFonts w:eastAsia="Trebuchet MS"/>
          <w:color w:val="000000"/>
          <w:lang w:val="ro-MD" w:eastAsia="en-US"/>
        </w:rPr>
        <w:t>Conform prevederilor O.G. nr.13/2011 privind dobânda legala remuneratorie și penalizatoare pentru obligații bănești, precum si pentru reglementarea unor măsuri financiar-fiscale în</w:t>
      </w:r>
      <w:r w:rsidRPr="00846453">
        <w:rPr>
          <w:rFonts w:eastAsia="Trebuchet MS"/>
          <w:color w:val="000000"/>
          <w:lang w:val="ro-MD" w:eastAsia="en-US"/>
        </w:rPr>
        <w:t xml:space="preserve"> domeniul bancar, cu modificările și completările ulterioare, învederăm instanței de judecată că, sub aspectul dobânzii legale, un prejudiciu nu se poate repara de două ori.</w:t>
      </w:r>
    </w:p>
    <w:p w:rsidRPr="00846453" w:rsidR="00846453" w:rsidP="00846453">
      <w:pPr>
        <w:widowControl w:val="0"/>
        <w:tabs>
          <w:tab w:val="left" w:pos="2156"/>
        </w:tabs>
        <w:ind w:firstLine="720"/>
        <w:jc w:val="both"/>
        <w:rPr>
          <w:rFonts w:eastAsia="Trebuchet MS"/>
          <w:lang w:val="ro-MD" w:eastAsia="en-US"/>
        </w:rPr>
      </w:pPr>
      <w:r w:rsidRPr="00846453">
        <w:rPr>
          <w:rFonts w:eastAsia="Trebuchet MS"/>
          <w:color w:val="000000"/>
          <w:lang w:val="ro-MD" w:eastAsia="en-US"/>
        </w:rPr>
        <w:t>În acest sens, a arătat că, dobânda legală include tot ceea ce s-ar putea adăuga la o sumă, o anumită depreciere a monedei, o lipsă de folosință a banilor, așa încâ</w:t>
      </w:r>
      <w:r w:rsidRPr="00846453">
        <w:rPr>
          <w:rFonts w:eastAsia="Trebuchet MS"/>
          <w:color w:val="000000"/>
          <w:lang w:val="ro-MD" w:eastAsia="en-US"/>
        </w:rPr>
        <w:t>t aceeași sumă nu poate fi în același timp și actualizată cu inflația și cu dobânda legală aplicată.</w:t>
      </w:r>
    </w:p>
    <w:p w:rsidRPr="00846453" w:rsidR="00846453" w:rsidP="00846453">
      <w:pPr>
        <w:widowControl w:val="0"/>
        <w:tabs>
          <w:tab w:val="left" w:pos="2156"/>
        </w:tabs>
        <w:ind w:firstLine="720"/>
        <w:jc w:val="both"/>
        <w:rPr>
          <w:rFonts w:eastAsia="Trebuchet MS"/>
          <w:lang w:val="ro-MD" w:eastAsia="en-US"/>
        </w:rPr>
      </w:pPr>
      <w:r w:rsidRPr="00846453">
        <w:rPr>
          <w:rFonts w:eastAsia="Trebuchet MS"/>
          <w:color w:val="000000"/>
          <w:lang w:val="ro-MD" w:eastAsia="en-US"/>
        </w:rPr>
        <w:t>O.G. nr. 13/2011 prevede la art. 1 alin. 5 faptul că „prin dobândă legală</w:t>
      </w:r>
      <w:r w:rsidRPr="00846453">
        <w:rPr>
          <w:rFonts w:eastAsia="Trebuchet MS"/>
          <w:color w:val="000000"/>
          <w:lang w:val="ro-MD" w:eastAsia="en-US"/>
        </w:rPr>
        <w:t xml:space="preserve"> se înțelege nu numai sumele socotite în bani în acest titlu, dar și alte prestații sub orice titlu sau denumire, la care debitorul se obligă drept echivalent al folosinței capitalului”.</w:t>
      </w:r>
    </w:p>
    <w:p w:rsidRPr="00846453" w:rsidR="00846453" w:rsidP="00846453">
      <w:pPr>
        <w:widowControl w:val="0"/>
        <w:tabs>
          <w:tab w:val="left" w:pos="2156"/>
        </w:tabs>
        <w:ind w:firstLine="720"/>
        <w:jc w:val="both"/>
        <w:rPr>
          <w:rFonts w:eastAsia="Trebuchet MS"/>
          <w:lang w:val="ro-MD" w:eastAsia="en-US"/>
        </w:rPr>
      </w:pPr>
      <w:r w:rsidRPr="00846453">
        <w:rPr>
          <w:rFonts w:eastAsia="Trebuchet MS"/>
          <w:color w:val="000000"/>
          <w:lang w:val="ro-MD" w:eastAsia="en-US"/>
        </w:rPr>
        <w:t>S-a făcut trimitere la prevederile art. 1 alin. 3 din același act normativ, potrivit cărora „dobânda datorată de debitorul obligației băne</w:t>
      </w:r>
      <w:r w:rsidRPr="00846453">
        <w:rPr>
          <w:rFonts w:eastAsia="Trebuchet MS"/>
          <w:color w:val="000000"/>
          <w:lang w:val="ro-MD" w:eastAsia="en-US"/>
        </w:rPr>
        <w:t>ști pentru neîndeplinirea obligației respective la scadență este denumită dobândă penalizatoare”, iar conform art. 166 alin. 4 din Codul Muncii, "întârzierea nejustificată a plății salari</w:t>
      </w:r>
      <w:r w:rsidRPr="00846453">
        <w:rPr>
          <w:rFonts w:eastAsia="Trebuchet MS"/>
          <w:color w:val="000000"/>
          <w:lang w:val="ro-MD" w:eastAsia="en-US"/>
        </w:rPr>
        <w:t>ului sau neplata acestuia poate determina obligarea angajatorului la plata de daune interese pentru repararea prejudiciului produs salariatului".</w:t>
      </w:r>
    </w:p>
    <w:p w:rsidRPr="00846453" w:rsidR="00846453" w:rsidP="00846453">
      <w:pPr>
        <w:widowControl w:val="0"/>
        <w:tabs>
          <w:tab w:val="left" w:pos="2156"/>
        </w:tabs>
        <w:ind w:firstLine="720"/>
        <w:jc w:val="both"/>
        <w:rPr>
          <w:rFonts w:eastAsia="Trebuchet MS"/>
          <w:lang w:val="ro-MD" w:eastAsia="en-US"/>
        </w:rPr>
      </w:pPr>
      <w:r w:rsidRPr="00846453">
        <w:rPr>
          <w:rFonts w:eastAsia="Trebuchet MS"/>
          <w:color w:val="000000"/>
          <w:lang w:val="ro-MD" w:eastAsia="en-US"/>
        </w:rPr>
        <w:t>In susținerea nelegalității hotărârii, s-a invocat si faptul ca, drepturile salariale nu sunt obligații purtătoare de dobânzi.</w:t>
      </w:r>
      <w:bookmarkStart w:name="bookmark16" w:id="5"/>
      <w:bookmarkEnd w:id="5"/>
    </w:p>
    <w:p w:rsidRPr="00846453" w:rsidR="00846453" w:rsidP="00846453">
      <w:pPr>
        <w:widowControl w:val="0"/>
        <w:tabs>
          <w:tab w:val="left" w:pos="2156"/>
        </w:tabs>
        <w:ind w:firstLine="720"/>
        <w:jc w:val="both"/>
        <w:rPr>
          <w:rFonts w:eastAsia="Trebuchet MS"/>
          <w:color w:val="000000"/>
          <w:lang w:val="ro-MD" w:eastAsia="en-US"/>
        </w:rPr>
      </w:pPr>
      <w:r w:rsidRPr="00846453">
        <w:rPr>
          <w:rFonts w:eastAsia="Trebuchet MS"/>
          <w:color w:val="000000"/>
          <w:lang w:val="ro-MD" w:eastAsia="en-US"/>
        </w:rPr>
        <w:t>A mai arătat că, este nelegala obligarea instituției la plata cheltuielilor de judecata in suma de 119 lei, învederând că, instanţa de fond, în exercitarea rolului său activ, trebuia să aibă în vedere prevederile art. 451 alin. 2 din Codul</w:t>
      </w:r>
      <w:r w:rsidRPr="00846453">
        <w:rPr>
          <w:rFonts w:eastAsia="Trebuchet MS"/>
          <w:color w:val="000000"/>
          <w:lang w:val="ro-MD" w:eastAsia="en-US"/>
        </w:rPr>
        <w:t xml:space="preserve"> de Procedură Civilă.</w:t>
      </w:r>
    </w:p>
    <w:p w:rsidRPr="00846453" w:rsidR="00846453" w:rsidP="00846453">
      <w:pPr>
        <w:widowControl w:val="0"/>
        <w:tabs>
          <w:tab w:val="left" w:pos="2156"/>
        </w:tabs>
        <w:ind w:firstLine="720"/>
        <w:jc w:val="both"/>
        <w:rPr>
          <w:rFonts w:eastAsia="Trebuchet MS"/>
          <w:lang w:val="ro-MD" w:eastAsia="en-US"/>
        </w:rPr>
      </w:pPr>
      <w:r w:rsidRPr="00846453">
        <w:rPr>
          <w:rFonts w:eastAsia="Trebuchet MS"/>
          <w:color w:val="000000"/>
          <w:lang w:val="ro-MD" w:eastAsia="en-US"/>
        </w:rPr>
        <w:t>A invocat Minuta întâlnirii reprezentanților Consiliului Superior al Magistraturii cu președinții secțiilor civile ale înaltei Curți de Casație și Justiție și curților de apel din data de 14-15 noiembrie 2019. De asemenea că, Curtea Constituțională, prin Decizia nr. 760 /2018 a reiterat ideea potrivit căreia plata cheltuielilor de judecată de către partea care cade în pretenții se fundamentează pe ideea de culpă procesuală. Noțiunea de culpă procesuală nu se supra</w:t>
      </w:r>
      <w:r w:rsidRPr="00846453">
        <w:rPr>
          <w:rFonts w:eastAsia="Trebuchet MS"/>
          <w:color w:val="000000"/>
          <w:lang w:val="ro-MD" w:eastAsia="en-US"/>
        </w:rPr>
        <w:t>pune cu noțiunea de re</w:t>
      </w:r>
      <w:r w:rsidRPr="00846453">
        <w:rPr>
          <w:rFonts w:eastAsia="Trebuchet MS"/>
          <w:color w:val="000000"/>
          <w:lang w:val="ro-MD" w:eastAsia="en-US"/>
        </w:rPr>
        <w:t>a-credință. Acest aspect a fost subliniat și de doctrina în materie, arătându-se că ideea de culpă procesuală este independentă de buna sau reaua-credință a părții, pentru că inclusiv partea care a fost de bună-credință poate să piardă procesul.</w:t>
      </w:r>
    </w:p>
    <w:p w:rsidRPr="00846453" w:rsidR="00846453" w:rsidP="00846453">
      <w:pPr>
        <w:widowControl w:val="0"/>
        <w:tabs>
          <w:tab w:val="left" w:pos="2156"/>
        </w:tabs>
        <w:ind w:firstLine="720"/>
        <w:jc w:val="both"/>
        <w:rPr>
          <w:rFonts w:eastAsia="Trebuchet MS"/>
          <w:lang w:val="ro-MD" w:eastAsia="en-US"/>
        </w:rPr>
      </w:pPr>
      <w:r w:rsidRPr="00846453">
        <w:rPr>
          <w:rFonts w:eastAsia="Trebuchet MS"/>
          <w:color w:val="000000"/>
          <w:lang w:val="ro-MD" w:eastAsia="en-US"/>
        </w:rPr>
        <w:t>Prin urmare, deși suma de 119 lei pare a fi modică, raportat la pretențiile reclamantilor este nejustificată si se impune a fi cenzurat de instanța.</w:t>
      </w:r>
    </w:p>
    <w:p w:rsidRPr="00846453" w:rsidR="00846453" w:rsidP="00846453">
      <w:pPr>
        <w:widowControl w:val="0"/>
        <w:tabs>
          <w:tab w:val="left" w:pos="2156"/>
        </w:tabs>
        <w:ind w:firstLine="720"/>
        <w:jc w:val="both"/>
      </w:pPr>
      <w:r w:rsidRPr="00846453">
        <w:rPr>
          <w:rFonts w:eastAsia="Trebuchet MS"/>
          <w:i/>
          <w:color w:val="000000"/>
          <w:lang w:val="ro-MD" w:eastAsia="en-US"/>
        </w:rPr>
        <w:t>Temeiul de drept</w:t>
      </w:r>
      <w:r w:rsidRPr="00846453">
        <w:rPr>
          <w:rFonts w:eastAsia="Trebuchet MS"/>
          <w:color w:val="000000"/>
          <w:lang w:val="ro-MD" w:eastAsia="en-US"/>
        </w:rPr>
        <w:t>: art. 488 alin.1 pct. 8 C.p.c.</w:t>
      </w:r>
      <w:bookmarkEnd w:id="3"/>
    </w:p>
    <w:p w:rsidRPr="00846453" w:rsidR="00846453" w:rsidP="00846453">
      <w:pPr>
        <w:tabs>
          <w:tab w:val="left" w:pos="2156"/>
        </w:tabs>
        <w:ind w:firstLine="708"/>
        <w:jc w:val="both"/>
      </w:pPr>
      <w:r w:rsidRPr="00846453">
        <w:t xml:space="preserve">La data de 10.05.2023, intimata reclamantă </w:t>
      </w:r>
      <w:r w:rsidRPr="00E24EB3" w:rsidR="00E24EB3">
        <w:rPr>
          <w:b/>
          <w:bCs/>
        </w:rPr>
        <w:t>X</w:t>
      </w:r>
      <w:r w:rsidRPr="00846453">
        <w:t xml:space="preserve"> prin Sindicatul Finanţe </w:t>
      </w:r>
      <w:r w:rsidRPr="00846453">
        <w:t xml:space="preserve">Publice </w:t>
      </w:r>
      <w:r w:rsidR="00E24EB3">
        <w:t>...</w:t>
      </w:r>
      <w:r w:rsidRPr="00846453">
        <w:t xml:space="preserve"> a depus </w:t>
      </w:r>
      <w:r w:rsidRPr="00846453">
        <w:rPr>
          <w:b/>
          <w:i/>
        </w:rPr>
        <w:t>întâmpinare</w:t>
      </w:r>
      <w:r w:rsidRPr="00846453">
        <w:t xml:space="preserve"> prin care a solicitat respingerea recursului ca nefondat..</w:t>
      </w:r>
    </w:p>
    <w:p w:rsidRPr="00846453" w:rsidR="00846453" w:rsidP="00846453">
      <w:pPr>
        <w:tabs>
          <w:tab w:val="left" w:pos="2156"/>
        </w:tabs>
        <w:ind w:firstLine="567"/>
        <w:jc w:val="both"/>
      </w:pPr>
      <w:r w:rsidRPr="00846453">
        <w:t xml:space="preserve">La data de 23.05.2023, recurenta pârâtă </w:t>
      </w:r>
      <w:r w:rsidRPr="00846453">
        <w:rPr>
          <w:b/>
        </w:rPr>
        <w:t xml:space="preserve">Direcția Generală Regională a Finanțelor Publice </w:t>
      </w:r>
      <w:r w:rsidR="00E24EB3">
        <w:rPr>
          <w:b/>
        </w:rPr>
        <w:t>...</w:t>
      </w:r>
      <w:r w:rsidRPr="00846453">
        <w:rPr>
          <w:b/>
        </w:rPr>
        <w:t xml:space="preserve"> </w:t>
      </w:r>
      <w:r w:rsidRPr="00846453">
        <w:t xml:space="preserve">prin A.J.F.P. </w:t>
      </w:r>
      <w:r w:rsidR="00E24EB3">
        <w:t>...</w:t>
      </w:r>
      <w:r w:rsidRPr="00846453">
        <w:t xml:space="preserve"> a depus </w:t>
      </w:r>
      <w:r w:rsidRPr="00846453">
        <w:rPr>
          <w:b/>
          <w:i/>
        </w:rPr>
        <w:t>răspuns la întâmpinare</w:t>
      </w:r>
      <w:r w:rsidRPr="00846453">
        <w:t>.</w:t>
      </w:r>
    </w:p>
    <w:p w:rsidRPr="00846453" w:rsidR="00846453" w:rsidP="00846453">
      <w:pPr>
        <w:tabs>
          <w:tab w:val="left" w:pos="2156"/>
        </w:tabs>
        <w:ind w:firstLine="720"/>
        <w:jc w:val="both"/>
        <w:rPr>
          <w:lang w:val="en-US"/>
        </w:rPr>
      </w:pPr>
      <w:r w:rsidRPr="00846453">
        <w:rPr>
          <w:b/>
          <w:lang w:val="en-US"/>
        </w:rPr>
        <w:t>Considerentele instanţei de recurs în raport</w:t>
      </w:r>
      <w:r w:rsidRPr="00846453">
        <w:rPr>
          <w:b/>
          <w:lang w:val="en-US"/>
        </w:rPr>
        <w:t xml:space="preserve"> de motivele de recurs invocate şi de disp. art. 488 alin.1 pct. 8 N.C.p.c:</w:t>
      </w:r>
      <w:r w:rsidRPr="00846453">
        <w:rPr>
          <w:lang w:val="en-US"/>
        </w:rPr>
        <w:t xml:space="preserve"> atunci când hotărârea a fost dată cu încălcarea sau greşita aplicare  a normelor de drept material.</w:t>
      </w:r>
    </w:p>
    <w:p w:rsidRPr="00846453" w:rsidR="00846453" w:rsidP="00846453">
      <w:pPr>
        <w:tabs>
          <w:tab w:val="left" w:pos="2156"/>
        </w:tabs>
        <w:ind w:firstLine="720"/>
        <w:jc w:val="both"/>
        <w:rPr>
          <w:rFonts w:eastAsia="Calibri"/>
          <w:lang w:val="ro-MD" w:eastAsia="en-US"/>
        </w:rPr>
      </w:pPr>
      <w:r w:rsidRPr="00846453">
        <w:rPr>
          <w:rFonts w:eastAsia="Calibri"/>
          <w:lang w:val="ro-MD" w:eastAsia="en-US"/>
        </w:rPr>
        <w:t>Contrar susținerilor recurentei-pârâte, Curtea constată că</w:t>
      </w:r>
      <w:r w:rsidRPr="00846453">
        <w:rPr>
          <w:rFonts w:eastAsia="Calibri"/>
          <w:lang w:val="ro-MD" w:eastAsia="en-US"/>
        </w:rPr>
        <w:t xml:space="preserve"> instanța de fond a făcut o corectă interpretare şi aplicare a normelor de drept material incidente, respectiv a dispoziţiilor art. 39 alin.1 şi 4 din Legea nr. 153/2017, raportat la particularităţile speţei deduse judecăţii.</w:t>
      </w:r>
    </w:p>
    <w:p w:rsidRPr="00846453" w:rsidR="00846453" w:rsidP="00846453">
      <w:pPr>
        <w:tabs>
          <w:tab w:val="left" w:pos="2156"/>
        </w:tabs>
        <w:ind w:firstLine="720"/>
        <w:jc w:val="both"/>
        <w:rPr>
          <w:rFonts w:eastAsia="Calibri"/>
          <w:lang w:val="ro-MD" w:eastAsia="en-US"/>
        </w:rPr>
      </w:pPr>
      <w:r w:rsidRPr="00846453">
        <w:rPr>
          <w:rFonts w:eastAsia="Calibri"/>
          <w:lang w:val="ro-MD" w:eastAsia="en-US"/>
        </w:rPr>
        <w:t>Astfel cum rezultă din cererea de chemare în judecată înregi</w:t>
      </w:r>
      <w:r w:rsidRPr="00846453">
        <w:rPr>
          <w:rFonts w:eastAsia="Calibri"/>
          <w:lang w:val="ro-MD" w:eastAsia="en-US"/>
        </w:rPr>
        <w:t xml:space="preserve">strată pe rolul Tribunalului </w:t>
      </w:r>
      <w:r w:rsidR="00F96001">
        <w:rPr>
          <w:rFonts w:eastAsia="Calibri"/>
          <w:lang w:val="ro-MD" w:eastAsia="en-US"/>
        </w:rPr>
        <w:t>...</w:t>
      </w:r>
      <w:r w:rsidRPr="00846453">
        <w:rPr>
          <w:rFonts w:eastAsia="Calibri"/>
          <w:lang w:val="ro-MD" w:eastAsia="en-US"/>
        </w:rPr>
        <w:t xml:space="preserve"> la data de </w:t>
      </w:r>
      <w:r w:rsidR="00F96001">
        <w:rPr>
          <w:rFonts w:eastAsia="Calibri"/>
          <w:lang w:val="ro-MD" w:eastAsia="en-US"/>
        </w:rPr>
        <w:t>...</w:t>
      </w:r>
      <w:r w:rsidRPr="00846453">
        <w:rPr>
          <w:rFonts w:eastAsia="Calibri"/>
          <w:lang w:val="ro-MD" w:eastAsia="en-US"/>
        </w:rPr>
        <w:t xml:space="preserve">, reclamantul a solicitat obligarea pârâtei DGRFP </w:t>
      </w:r>
      <w:r w:rsidR="00E24EB3">
        <w:rPr>
          <w:rFonts w:eastAsia="Calibri"/>
          <w:lang w:val="ro-MD" w:eastAsia="en-US"/>
        </w:rPr>
        <w:t>...</w:t>
      </w:r>
      <w:r w:rsidRPr="00846453">
        <w:rPr>
          <w:rFonts w:eastAsia="Calibri"/>
          <w:lang w:val="ro-MD" w:eastAsia="en-US"/>
        </w:rPr>
        <w:t>, ca incepând cu data de 01.12.2019 şi in continuare să calculeze şi să plătească, potrivit disp. art. 39 alin.1 şi 4 din Lege</w:t>
      </w:r>
      <w:r w:rsidRPr="00846453">
        <w:rPr>
          <w:rFonts w:eastAsia="Calibri"/>
          <w:lang w:val="ro-MD" w:eastAsia="en-US"/>
        </w:rPr>
        <w:t xml:space="preserve">a nr. 153/2017, diferenţa dintre salariul efectiv achitat şi salariul de bază cuvenit la nivel maxim de salarizare pentru funcţie similară aflat in plată în cadrul DGRFP </w:t>
      </w:r>
      <w:r w:rsidR="00E24EB3">
        <w:rPr>
          <w:rFonts w:eastAsia="Calibri"/>
          <w:lang w:val="ro-MD" w:eastAsia="en-US"/>
        </w:rPr>
        <w:t>...</w:t>
      </w:r>
      <w:r w:rsidRPr="00846453">
        <w:rPr>
          <w:rFonts w:eastAsia="Calibri"/>
          <w:lang w:val="ro-MD" w:eastAsia="en-US"/>
        </w:rPr>
        <w:t xml:space="preserve"> sau ANAF, precum şi la nivelul maxim stabilit pentru celelalte instituţii aflate în subordinea ANAF, pentru aceeaşi funcţie/grad/treaptă/gradaţie, cu luarea in consi</w:t>
      </w:r>
      <w:r w:rsidRPr="00846453">
        <w:rPr>
          <w:rFonts w:eastAsia="Calibri"/>
          <w:lang w:val="ro-MD" w:eastAsia="en-US"/>
        </w:rPr>
        <w:t>derare a tuturor majorărilor salariale stabilite prin hotărâri judecătoreşti definitive, in considerarea Deciziei Curţii Constituţionale nr. 794/2016.</w:t>
      </w:r>
    </w:p>
    <w:p w:rsidRPr="00846453" w:rsidR="00846453" w:rsidP="00846453">
      <w:pPr>
        <w:tabs>
          <w:tab w:val="left" w:pos="2156"/>
        </w:tabs>
        <w:ind w:firstLine="720"/>
        <w:jc w:val="both"/>
        <w:rPr>
          <w:rFonts w:eastAsia="Calibri"/>
          <w:lang w:val="ro-MD" w:eastAsia="en-US"/>
        </w:rPr>
      </w:pPr>
      <w:r w:rsidRPr="00846453">
        <w:rPr>
          <w:rFonts w:eastAsia="Calibri"/>
          <w:lang w:val="ro-MD" w:eastAsia="en-US"/>
        </w:rPr>
        <w:t>Aşadar, pretenţiile au</w:t>
      </w:r>
      <w:r w:rsidRPr="00846453">
        <w:rPr>
          <w:rFonts w:eastAsia="Calibri"/>
          <w:lang w:val="ro-MD" w:eastAsia="en-US"/>
        </w:rPr>
        <w:t xml:space="preserve"> fost intemeiate  pe disp. art.39 alin.1 şi 4 din Legea nr. 153/2017, dar şi pe Decizia Curţii Constituţionale nr. 794/2016.</w:t>
      </w:r>
    </w:p>
    <w:p w:rsidRPr="00846453" w:rsidR="00846453" w:rsidP="00846453">
      <w:pPr>
        <w:tabs>
          <w:tab w:val="left" w:pos="2156"/>
        </w:tabs>
        <w:ind w:firstLine="720"/>
        <w:jc w:val="both"/>
        <w:rPr>
          <w:rFonts w:eastAsia="Calibri"/>
          <w:b/>
          <w:lang w:val="ro-MD" w:eastAsia="en-US"/>
        </w:rPr>
      </w:pPr>
      <w:r w:rsidRPr="00846453">
        <w:rPr>
          <w:rFonts w:eastAsia="Calibri"/>
          <w:lang w:val="ro-MD" w:eastAsia="en-US"/>
        </w:rPr>
        <w:t>În drept, Curtea reţine că, potrivit art. 39 alin 1 din Legea 153/2017 „</w:t>
      </w:r>
      <w:r w:rsidRPr="00846453">
        <w:rPr>
          <w:rFonts w:eastAsia="Calibri"/>
          <w:lang w:val="en-US" w:eastAsia="en-US"/>
        </w:rPr>
        <w:t> (1) până la aplicarea integrală a prevederilor prezentei legi, pentru personalul nou-încadrat, pentr</w:t>
      </w:r>
      <w:r w:rsidRPr="00846453">
        <w:rPr>
          <w:rFonts w:eastAsia="Calibri"/>
          <w:lang w:val="en-US" w:eastAsia="en-US"/>
        </w:rPr>
        <w:t>u personalul numit/încadrat în aceeaşi instituţie/autoritate publică pe funcţii de acelaşi fel, inclusiv pentru personalul promovat în funcţii sau în grade/trepte profesionale, salarizarea se face la nivelul de salarizare pentru funcţii similare din cadrul instituţiei/autorităţii publice în care acesta este numit/încadrat sau din instituţiile subordonate acestora, în cazul în care nu există o funcţie similară în plată.</w:t>
      </w:r>
      <w:r w:rsidRPr="00846453">
        <w:rPr>
          <w:rFonts w:eastAsia="Calibri"/>
          <w:lang w:val="ro-MD" w:eastAsia="en-US"/>
        </w:rPr>
        <w:t>”, iar potrivit alin. 4 al aceluiași articol „</w:t>
      </w:r>
      <w:r w:rsidRPr="00846453">
        <w:rPr>
          <w:rFonts w:eastAsia="Calibri"/>
          <w:lang w:val="en-US" w:eastAsia="en-US"/>
        </w:rPr>
        <w:t>în aplicarea prevederilor alin. (1), în cazu</w:t>
      </w:r>
      <w:r w:rsidRPr="00846453">
        <w:rPr>
          <w:rFonts w:eastAsia="Calibri"/>
          <w:lang w:val="en-US" w:eastAsia="en-US"/>
        </w:rPr>
        <w:t>l instituţiilor sau autorităţilor publice aflate în subordinea aceluiaşi ordonator de credite, având acelaşi scop, îndeplinind aceleaşi funcţii şi atribuţii, aflate la acelaşi nivel de subordonare din punct de vedere financiar, nivelul salariului de bază/indemnizaţiei de încadrare se va stabili la nivelul maxim aflat în plată din cadrul tuturor acestor instituţii sau autorităţi publice subordonate.</w:t>
      </w:r>
      <w:r w:rsidRPr="00846453">
        <w:rPr>
          <w:rFonts w:eastAsia="Calibri"/>
          <w:lang w:val="ro-MD" w:eastAsia="en-US"/>
        </w:rPr>
        <w:t>”.</w:t>
      </w:r>
    </w:p>
    <w:p w:rsidRPr="00846453" w:rsidR="00846453" w:rsidP="00846453">
      <w:pPr>
        <w:tabs>
          <w:tab w:val="left" w:pos="2156"/>
          <w:tab w:val="left" w:pos="3756"/>
        </w:tabs>
        <w:ind w:firstLine="720"/>
        <w:jc w:val="both"/>
        <w:rPr>
          <w:rFonts w:eastAsia="Calibri"/>
          <w:lang w:val="ro-MD" w:eastAsia="en-US"/>
        </w:rPr>
      </w:pPr>
      <w:r w:rsidRPr="00846453">
        <w:rPr>
          <w:rFonts w:eastAsia="Calibri"/>
          <w:lang w:val="ro-MD" w:eastAsia="en-US"/>
        </w:rPr>
        <w:t>În speță, identificând corect aplicabilitatea dispozițiilor art. 39 din Legea 153/2017, instanța de fond a r</w:t>
      </w:r>
      <w:r w:rsidRPr="00846453">
        <w:rPr>
          <w:rFonts w:eastAsia="Calibri"/>
          <w:lang w:val="ro-MD" w:eastAsia="en-US"/>
        </w:rPr>
        <w:t>eținut întemeiat că, în contextul pronunțării Deciziei HP nr.8/2021, interpretarea acestui text de lege nu poate fi făcută decât în conformitate cu dezlegarea dată de instanța supremă care a statuat că „în interpretarea şi aplicarea prevederilor art. 39 alin. (4) raportat la art. 39 alin. (1) din Legea-cadru nr. 153/2017 privind salarizarea personalului plătit din fonduri publice, cu modificările şi completările ulterioare, în categoria „personalului numit/încadrat”, la care se referă prevederile art. 39 al</w:t>
      </w:r>
      <w:r w:rsidRPr="00846453">
        <w:rPr>
          <w:rFonts w:eastAsia="Calibri"/>
          <w:lang w:val="ro-MD" w:eastAsia="en-US"/>
        </w:rPr>
        <w:t>in. (4) raportat la art. 39 alin. (1) din Legea-cadru nr. 153/2017, este inclus şi personalul reîncadrat în baza prevederilor art. 36 din Legea-cadru nr. 153/2017”.</w:t>
      </w:r>
    </w:p>
    <w:p w:rsidRPr="00846453" w:rsidR="00846453" w:rsidP="00846453">
      <w:pPr>
        <w:tabs>
          <w:tab w:val="left" w:pos="2156"/>
          <w:tab w:val="left" w:pos="3756"/>
        </w:tabs>
        <w:ind w:firstLine="720"/>
        <w:jc w:val="both"/>
        <w:rPr>
          <w:rFonts w:eastAsia="Calibri"/>
          <w:lang w:val="ro-MD" w:eastAsia="en-US"/>
        </w:rPr>
      </w:pPr>
      <w:r w:rsidRPr="00846453">
        <w:rPr>
          <w:rFonts w:eastAsia="Calibri"/>
          <w:lang w:val="ro-MD" w:eastAsia="en-US"/>
        </w:rPr>
        <w:t>Relevante sunt paragrafele112-115, potrivit cărora:</w:t>
      </w:r>
    </w:p>
    <w:p w:rsidRPr="00846453" w:rsidR="00846453" w:rsidP="00846453">
      <w:pPr>
        <w:tabs>
          <w:tab w:val="left" w:pos="2156"/>
          <w:tab w:val="left" w:pos="3756"/>
        </w:tabs>
        <w:ind w:firstLine="720"/>
        <w:jc w:val="both"/>
        <w:rPr>
          <w:rFonts w:eastAsia="Calibri"/>
          <w:lang w:val="ro-MD" w:eastAsia="en-US"/>
        </w:rPr>
      </w:pPr>
      <w:r w:rsidRPr="00846453">
        <w:rPr>
          <w:rFonts w:eastAsia="Calibri"/>
          <w:lang w:val="ro-MD" w:eastAsia="en-US"/>
        </w:rPr>
        <w:t xml:space="preserve">”112. În altă ordine de idei, motivul pentru care legiuitorul a inserat în Legea-cadru nr. 153/2017 articolul 39, având denumirea marginală "Aplicarea tranzitorie", ce începe cu sintagma "până la aplicarea integrală a prevederilor prezentei legi", nu constă în intenția de a reglementa situația </w:t>
      </w:r>
      <w:r w:rsidRPr="00846453">
        <w:rPr>
          <w:rFonts w:eastAsia="Calibri"/>
          <w:lang w:val="ro-MD" w:eastAsia="en-US"/>
        </w:rPr>
        <w:t>de excepție a salariaților nou-încadrați sau promovați până la aplicarea integrală a prevederilor Legii-cadru nr. 153/2017, ci în aceea de a se asigura că, până la momentul în care diferențele salariale pentru persoane aflate în situații identice se vor exclude în mod natural prin încadrarea în grilele finale de salarizare, există pârghii pentru eliminarea discriminării între persoane aflate în aceeași situație profesională. Acest articol are ca obiect de reglementare tocmai aplicarea tranzitorie a legii, ş</w:t>
      </w:r>
      <w:r w:rsidRPr="00846453">
        <w:rPr>
          <w:rFonts w:eastAsia="Calibri"/>
          <w:lang w:val="ro-MD" w:eastAsia="en-US"/>
        </w:rPr>
        <w:t>i anume intervalul de timp stabilit până la aplicarea integrală a acestui act normativ.</w:t>
      </w:r>
    </w:p>
    <w:p w:rsidRPr="00846453" w:rsidR="00846453" w:rsidP="00846453">
      <w:pPr>
        <w:tabs>
          <w:tab w:val="left" w:pos="2156"/>
          <w:tab w:val="left" w:pos="3756"/>
        </w:tabs>
        <w:ind w:firstLine="720"/>
        <w:jc w:val="both"/>
        <w:rPr>
          <w:rFonts w:eastAsia="Calibri"/>
          <w:lang w:val="ro-MD" w:eastAsia="en-US"/>
        </w:rPr>
      </w:pPr>
      <w:r w:rsidRPr="00846453">
        <w:rPr>
          <w:rFonts w:eastAsia="Calibri"/>
          <w:lang w:val="ro-MD" w:eastAsia="en-US"/>
        </w:rPr>
        <w:t>113. Ca atare, intenția legiuitorului a fost aceea de a înlătura inechitățile de salarizare diferită pentru funcții similare pentru tot personalul plătit din fonduri publice, nu numai pentru cel nou-încadrat, pentru personalul numit/încadrat după data de 1 iulie 2017, în accepțiunea restrânsă a acestor termeni, şi cel promovat, astfel încât a prevăzut expres reguli care să asigure respectarea principiului nediscriminării</w:t>
      </w:r>
      <w:r w:rsidRPr="00846453">
        <w:rPr>
          <w:rFonts w:eastAsia="Calibri"/>
          <w:lang w:val="ro-MD" w:eastAsia="en-US"/>
        </w:rPr>
        <w:t>, reglementat la art. 6 lit. b) din Legea-cadru nr. 153/2017.</w:t>
      </w:r>
    </w:p>
    <w:p w:rsidRPr="00846453" w:rsidR="00846453" w:rsidP="00846453">
      <w:pPr>
        <w:tabs>
          <w:tab w:val="left" w:pos="2156"/>
          <w:tab w:val="left" w:pos="3756"/>
        </w:tabs>
        <w:ind w:firstLine="720"/>
        <w:jc w:val="both"/>
        <w:rPr>
          <w:rFonts w:eastAsia="Calibri"/>
          <w:lang w:val="ro-MD" w:eastAsia="en-US"/>
        </w:rPr>
      </w:pPr>
      <w:r w:rsidRPr="00846453">
        <w:rPr>
          <w:rFonts w:eastAsia="Calibri"/>
          <w:lang w:val="ro-MD" w:eastAsia="en-US"/>
        </w:rPr>
        <w:t>114. Prin urmare, Înalta Curte de Casație şi Justiție reține că dispozițiile art. 39 alin. (1) şi (4) din Legea-cadru nr. 153/2017 vizează nu numai situația personalului nou-încadrat în cadrul instituțiilor/autorităților publice sau a personalului promovat după intrarea în vigoare a legii, ci şi personalul în privința căruia, în considerarea aplicării prevederilor art. 36 alin. (1) din Legea-cadru nr. 153/2017, a fost realizată o reîncadrare prin</w:t>
      </w:r>
      <w:r w:rsidRPr="00846453">
        <w:rPr>
          <w:rFonts w:eastAsia="Calibri"/>
          <w:lang w:val="ro-MD" w:eastAsia="en-US"/>
        </w:rPr>
        <w:t xml:space="preserve"> raportare la prevederile art. 38 din același act normativ, în acord cu noile funcții, grade/trepte profesionale şi gradații prevăzute în anexele nr. I - VIII la Legea-cadru nr. 153/2017.</w:t>
      </w:r>
    </w:p>
    <w:p w:rsidRPr="00846453" w:rsidR="00846453" w:rsidP="00846453">
      <w:pPr>
        <w:tabs>
          <w:tab w:val="left" w:pos="2156"/>
          <w:tab w:val="left" w:pos="3756"/>
        </w:tabs>
        <w:ind w:firstLine="720"/>
        <w:jc w:val="both"/>
        <w:rPr>
          <w:rFonts w:eastAsia="Calibri"/>
          <w:lang w:val="ro-MD" w:eastAsia="en-US"/>
        </w:rPr>
      </w:pPr>
      <w:r w:rsidRPr="00846453">
        <w:rPr>
          <w:rFonts w:eastAsia="Calibri"/>
          <w:lang w:val="ro-MD" w:eastAsia="en-US"/>
        </w:rPr>
        <w:t>115. De asemenea, aplicarea dispozițiilor art. 38 din Legea-cadru nr. 153/2017 nu constituie un impediment în aplicarea concomitentă şi a prevederilor art. 39 din Legea-cadru nr. 153/2017, în condițiile în care din nota de fundamentare a adoptării legii respective a rezultat că aceasta a fost determinată de necesitatea eli</w:t>
      </w:r>
      <w:r w:rsidRPr="00846453">
        <w:rPr>
          <w:rFonts w:eastAsia="Calibri"/>
          <w:lang w:val="ro-MD" w:eastAsia="en-US"/>
        </w:rPr>
        <w:t>minării disfuncționalităților salariale existente în sistemul public de salarizare, făcându-se vorbire şi de Decizia nr. 794 din 15 decembrie 2016 a Curții Constituționale referitoare la admiterea excepției de neconstituționalitate a dispozițiilor art. 31 alin. (12) din Ordonanța de urgență a Guvernului nr. 57/2015 privind salarizarea personalului plătit din fonduri publice în anul 2016, prorogarea unor termene, precum şi unele măsuri fiscal-bugetare”.</w:t>
      </w:r>
    </w:p>
    <w:p w:rsidRPr="00846453" w:rsidR="00846453" w:rsidP="00846453">
      <w:pPr>
        <w:tabs>
          <w:tab w:val="left" w:pos="2156"/>
          <w:tab w:val="left" w:pos="3756"/>
        </w:tabs>
        <w:ind w:firstLine="720"/>
        <w:jc w:val="both"/>
        <w:rPr>
          <w:rFonts w:eastAsia="Calibri"/>
          <w:lang w:val="ro-MD" w:eastAsia="en-US"/>
        </w:rPr>
      </w:pPr>
      <w:r w:rsidRPr="00846453">
        <w:rPr>
          <w:rFonts w:eastAsia="Calibri"/>
          <w:lang w:val="ro-MD" w:eastAsia="en-US"/>
        </w:rPr>
        <w:t>În acest context, plecând de la dispozițiile art. 39 al</w:t>
      </w:r>
      <w:r w:rsidRPr="00846453">
        <w:rPr>
          <w:rFonts w:eastAsia="Calibri"/>
          <w:lang w:val="ro-MD" w:eastAsia="en-US"/>
        </w:rPr>
        <w:t xml:space="preserve">in. 4 din Legea 153/2017, dispoziții interpretate potrivit deciziei menționate a ÎCCJ, prima instanță a reținut corect că intimatul reclamant, funcționar în cadrul DGRFP </w:t>
      </w:r>
      <w:r w:rsidR="00E24EB3">
        <w:rPr>
          <w:rFonts w:eastAsia="Calibri"/>
          <w:lang w:val="ro-MD" w:eastAsia="en-US"/>
        </w:rPr>
        <w:t>...</w:t>
      </w:r>
      <w:r w:rsidRPr="00846453">
        <w:rPr>
          <w:rFonts w:eastAsia="Calibri"/>
          <w:lang w:val="ro-MD" w:eastAsia="en-US"/>
        </w:rPr>
        <w:t>, are dreptul să beneficieze de același nivel de salarizare cu funcționari publici având aceeași încadrare și îndeplinind aceeași funcție și atribuții în cardul celorlalte Direcții Generale Regionale ale Finanțelor Publice, instituții aflate la același nivel de subordonare financiară și instituțională având același ordonator de credite a</w:t>
      </w:r>
      <w:r w:rsidRPr="00846453">
        <w:rPr>
          <w:rFonts w:eastAsia="Calibri"/>
          <w:lang w:val="ro-MD" w:eastAsia="en-US"/>
        </w:rPr>
        <w:t xml:space="preserve">șa cum rezultă din dispozițiile H.G nr. 520/2013 privind organizarea și funcționare Agenției Naționale de Administrare Fiscală. </w:t>
      </w:r>
    </w:p>
    <w:p w:rsidRPr="00846453" w:rsidR="00846453" w:rsidP="00846453">
      <w:pPr>
        <w:tabs>
          <w:tab w:val="left" w:pos="2156"/>
          <w:tab w:val="left" w:pos="3756"/>
        </w:tabs>
        <w:ind w:firstLine="720"/>
        <w:jc w:val="both"/>
        <w:rPr>
          <w:rFonts w:eastAsia="Calibri"/>
          <w:lang w:val="ro-MD" w:eastAsia="en-US"/>
        </w:rPr>
      </w:pPr>
      <w:r w:rsidRPr="00846453">
        <w:rPr>
          <w:rFonts w:eastAsia="Calibri"/>
          <w:lang w:val="ro-MD" w:eastAsia="en-US"/>
        </w:rPr>
        <w:t xml:space="preserve">Ca atare,  câtă vreme, din adresele nr. </w:t>
      </w:r>
      <w:r w:rsidR="00F96001">
        <w:rPr>
          <w:rFonts w:eastAsia="Calibri"/>
          <w:lang w:val="ro-MD" w:eastAsia="en-US"/>
        </w:rPr>
        <w:t>...</w:t>
      </w:r>
      <w:r w:rsidRPr="00846453">
        <w:rPr>
          <w:rFonts w:eastAsia="Calibri"/>
          <w:lang w:val="ro-MD" w:eastAsia="en-US"/>
        </w:rPr>
        <w:t xml:space="preserve">/14.03.2023 emisă de  ANAF-DGRFP </w:t>
      </w:r>
      <w:r w:rsidR="00E24EB3">
        <w:rPr>
          <w:rFonts w:eastAsia="Calibri"/>
          <w:lang w:val="ro-MD" w:eastAsia="en-US"/>
        </w:rPr>
        <w:t>...</w:t>
      </w:r>
      <w:r w:rsidRPr="00846453">
        <w:rPr>
          <w:rFonts w:eastAsia="Calibri"/>
          <w:lang w:val="ro-MD" w:eastAsia="en-US"/>
        </w:rPr>
        <w:t>, respectiv nr</w:t>
      </w:r>
      <w:r w:rsidR="00F96001">
        <w:rPr>
          <w:rFonts w:eastAsia="Calibri"/>
          <w:lang w:val="ro-MD" w:eastAsia="en-US"/>
        </w:rPr>
        <w:t>....</w:t>
      </w:r>
      <w:r w:rsidRPr="00846453">
        <w:rPr>
          <w:rFonts w:eastAsia="Calibri"/>
          <w:lang w:val="ro-MD" w:eastAsia="en-US"/>
        </w:rPr>
        <w:t xml:space="preserve">/28.03.2023 emisă de ANAF-DGRFP </w:t>
      </w:r>
      <w:r w:rsidR="00E24EB3">
        <w:rPr>
          <w:rFonts w:eastAsia="Calibri"/>
          <w:lang w:val="ro-MD" w:eastAsia="en-US"/>
        </w:rPr>
        <w:t>G</w:t>
      </w:r>
      <w:r w:rsidRPr="00846453">
        <w:rPr>
          <w:rFonts w:eastAsia="Calibri"/>
          <w:lang w:val="ro-MD" w:eastAsia="en-US"/>
        </w:rPr>
        <w:t>, rezultă că funcționari publici în cadrul altor Direcții Generale Regionale a Finanțelor Publice, având aceeași funcție, clasă, grad, gradaţie și îndeplinind aceleași atribuții, în aceleași condiții cu reclamantul, încasează un salariu superior acestui</w:t>
      </w:r>
      <w:r w:rsidRPr="00846453">
        <w:rPr>
          <w:rFonts w:eastAsia="Calibri"/>
          <w:lang w:val="ro-MD" w:eastAsia="en-US"/>
        </w:rPr>
        <w:t xml:space="preserve">a,  corect a apreciat instanța de fond că se impune obligarea pârâtei la acordarea  către acesta a diferenţei dintre salariul de bază efectiv achitat şi salariul maxim aflat în plată pentru funcţii similare in cadrul DGRFP </w:t>
      </w:r>
      <w:r w:rsidR="00E24EB3">
        <w:rPr>
          <w:rFonts w:eastAsia="Calibri"/>
          <w:lang w:val="ro-MD" w:eastAsia="en-US"/>
        </w:rPr>
        <w:t>G</w:t>
      </w:r>
      <w:r w:rsidRPr="00846453">
        <w:rPr>
          <w:rFonts w:eastAsia="Calibri"/>
          <w:lang w:val="ro-MD" w:eastAsia="en-US"/>
        </w:rPr>
        <w:t xml:space="preserve"> şi DGRFP </w:t>
      </w:r>
      <w:r w:rsidR="00E24EB3">
        <w:rPr>
          <w:rFonts w:eastAsia="Calibri"/>
          <w:lang w:val="ro-MD" w:eastAsia="en-US"/>
        </w:rPr>
        <w:t>...</w:t>
      </w:r>
      <w:r w:rsidRPr="00846453">
        <w:rPr>
          <w:rFonts w:eastAsia="Calibri"/>
          <w:lang w:val="ro-MD" w:eastAsia="en-US"/>
        </w:rPr>
        <w:t>, pentru aceaşi funcţie, grad, treaptă/gradaţie precum reclamantul.</w:t>
      </w:r>
    </w:p>
    <w:p w:rsidRPr="00846453" w:rsidR="00846453" w:rsidP="00846453">
      <w:pPr>
        <w:tabs>
          <w:tab w:val="left" w:pos="2156"/>
        </w:tabs>
        <w:ind w:firstLine="708"/>
        <w:jc w:val="both"/>
        <w:rPr>
          <w:rFonts w:eastAsia="Calibri"/>
          <w:lang w:eastAsia="en-US"/>
        </w:rPr>
      </w:pPr>
      <w:r w:rsidRPr="00846453">
        <w:rPr>
          <w:rFonts w:eastAsia="Calibri"/>
          <w:lang w:eastAsia="en-US"/>
        </w:rPr>
        <w:t>Relativ la Decizia Curţii Constituţionale  a României nr.794 din 15 decembrie 2016,  Curtea constată că, prin această decizie  s-a constatat că dispozițiile art. 31 alin. 12 din OUG nr. 57/2015 privind salar</w:t>
      </w:r>
      <w:r w:rsidRPr="00846453">
        <w:rPr>
          <w:rFonts w:eastAsia="Calibri"/>
          <w:lang w:eastAsia="en-US"/>
        </w:rPr>
        <w:t>izarea personalului plătit din fonduri publice în anul 2016, prorogarea unor termene, precum și unele măsuri fiscal-bugetare sunt neconstituționale, întrucât contravin principiului egalității în fata legii, consacrat prin art. 16 din Constituție, deoarece stabilesc că persoanele aflate în situații profesionale identice, dar care nu au obținut hotărâri judecătorești prin care să li se fi recunoscut majorări salariale, au indemnizații de încadrare diferite (mai mici) fată de cei cărora li s-au recunoscut astf</w:t>
      </w:r>
      <w:r w:rsidRPr="00846453">
        <w:rPr>
          <w:rFonts w:eastAsia="Calibri"/>
          <w:lang w:eastAsia="en-US"/>
        </w:rPr>
        <w:t>el de drepturi salariale, prin hotărâri judecătorești, generând diferențe în stabilirea salariului de bază/indemnizației de încadrare.</w:t>
      </w:r>
    </w:p>
    <w:p w:rsidRPr="00846453" w:rsidR="00846453" w:rsidP="00846453">
      <w:pPr>
        <w:tabs>
          <w:tab w:val="left" w:pos="2156"/>
        </w:tabs>
        <w:jc w:val="both"/>
        <w:rPr>
          <w:rFonts w:eastAsia="Calibri"/>
          <w:lang w:eastAsia="en-US"/>
        </w:rPr>
      </w:pPr>
      <w:r w:rsidRPr="00846453">
        <w:rPr>
          <w:rFonts w:eastAsia="Calibri"/>
          <w:lang w:eastAsia="en-US"/>
        </w:rPr>
        <w:t xml:space="preserve">  </w:t>
        <w:tab/>
        <w:t xml:space="preserve">Totodată, la pct. 32 din Decizie se menționează că „în consecință, ca efect al neconstituționalității art. 3^1 alin. (10) din O.UG nr. 57/2015, ”nivelul maxim al salariului de bază/indemnizației de încadrare la care se face egalizarea prevăzută de art. alin. (l) din O.U.G nr. 57/2015, trebuie să includă si drepturile stabilite sau recunoscute prin hotărâri judecătorești. </w:t>
      </w:r>
      <w:r w:rsidRPr="00846453">
        <w:rPr>
          <w:rFonts w:eastAsia="Calibri"/>
          <w:lang w:eastAsia="en-US"/>
        </w:rPr>
        <w:t xml:space="preserve">Așadar, personalul care beneficiază de aceleași condiţii trebuie să fie salarizat la nivelul maxim al salariului de bază/indemnizației de încadrare din cadrul aceleiași categorii profesionale si familii ocupaționale, indiferent de instituție sau autoritate publică”. </w:t>
      </w:r>
    </w:p>
    <w:p w:rsidRPr="00846453" w:rsidR="00846453" w:rsidP="00846453">
      <w:pPr>
        <w:tabs>
          <w:tab w:val="left" w:pos="2156"/>
        </w:tabs>
        <w:jc w:val="both"/>
      </w:pPr>
      <w:r w:rsidRPr="00846453">
        <w:rPr>
          <w:rFonts w:eastAsia="Calibri"/>
          <w:lang w:eastAsia="en-US"/>
        </w:rPr>
        <w:t xml:space="preserve"> </w:t>
        <w:tab/>
      </w:r>
      <w:r w:rsidRPr="00846453">
        <w:t>În consecință, salariile de bază acordate în toate direcțiile generale regionale ale finanțelor publice pentru funcții similare trebuie să fie aceleași, independent dacă ele au fost acordate direct prin act administrativ sau prin hotărâri jud</w:t>
      </w:r>
      <w:r w:rsidRPr="00846453">
        <w:t>ecătoreşti.</w:t>
      </w:r>
    </w:p>
    <w:p w:rsidRPr="00846453" w:rsidR="00846453" w:rsidP="00846453">
      <w:pPr>
        <w:tabs>
          <w:tab w:val="left" w:pos="2156"/>
        </w:tabs>
        <w:spacing w:line="252" w:lineRule="auto"/>
        <w:ind w:firstLine="720"/>
        <w:jc w:val="both"/>
      </w:pPr>
      <w:r w:rsidRPr="00846453">
        <w:t xml:space="preserve">Relativ la critica recurentei pârâtă potrivit căreia, hotărârile judecătoreşti produc efecte doar intre părţi, şi că, opozabilitatea hotărârii judecătoreşti nu se confundă cu obligativitatea acesteia,  Curtea reţine că, potrivit prevederilor art. 435 alin. 1 C.p.c.,” hotărârea judecătorească este obligatorie şi produce efecte numai între părţi şi succsesorii acestora”, iar conform dispoziţiilor alin.2 „ hotărârea este opozabilă oricărei terţe persoane atâta timp cât aceasta din urmă nu face, in </w:t>
      </w:r>
      <w:r w:rsidRPr="00846453">
        <w:t>condiţiile legii, dovada contrară”.</w:t>
      </w:r>
    </w:p>
    <w:p w:rsidRPr="00846453" w:rsidR="00846453" w:rsidP="00846453">
      <w:pPr>
        <w:tabs>
          <w:tab w:val="left" w:pos="2156"/>
        </w:tabs>
        <w:spacing w:line="252" w:lineRule="auto"/>
        <w:ind w:firstLine="720"/>
        <w:jc w:val="both"/>
      </w:pPr>
      <w:r w:rsidRPr="00846453">
        <w:t>Conţinutul textului de lege sus-redat este sintetizat în doctrină astfel: obligativitatea operează inter partes, opozabilitatea operează erga omnes. Obligativitatea este relativă, opozabilitatea este generală.</w:t>
      </w:r>
    </w:p>
    <w:p w:rsidRPr="00846453" w:rsidR="00846453" w:rsidP="00846453">
      <w:pPr>
        <w:tabs>
          <w:tab w:val="left" w:pos="2156"/>
        </w:tabs>
        <w:ind w:firstLine="708"/>
        <w:jc w:val="both"/>
      </w:pPr>
      <w:r w:rsidRPr="00846453">
        <w:t>În privinţa principiul relativităţii, respectiv al opozabilităţii hotărârii judecătoreşti, Curtea reţine Decizia nr. 18 din data de 17.02.2020, pronunţată de Înalta Curte de Casaţie şi Justiţie, Completul pentru dezlegarea unor chestiuni de drept, relevante fiind pa</w:t>
      </w:r>
      <w:r w:rsidRPr="00846453">
        <w:t>ragrafele 95-99.</w:t>
      </w:r>
    </w:p>
    <w:p w:rsidRPr="00846453" w:rsidR="00846453" w:rsidP="00846453">
      <w:pPr>
        <w:tabs>
          <w:tab w:val="left" w:pos="2156"/>
        </w:tabs>
        <w:ind w:firstLine="708"/>
        <w:jc w:val="both"/>
      </w:pPr>
      <w:r w:rsidRPr="00846453">
        <w:t>În considerentele acestei hotărâri prealabile s-a reţinut că:</w:t>
      </w:r>
    </w:p>
    <w:p w:rsidRPr="00846453" w:rsidR="00846453" w:rsidP="00846453">
      <w:pPr>
        <w:tabs>
          <w:tab w:val="left" w:pos="2156"/>
        </w:tabs>
        <w:ind w:firstLine="708"/>
        <w:jc w:val="both"/>
      </w:pPr>
      <w:r w:rsidRPr="00846453">
        <w:t>„95. Principiul relativităţii hotărârii judecătoreşti, atât sub aspectul efectelor obligatorii, cât şi al lucrului judecat, presupune ca ceea ce a fost judecat să nu poată folosi sau, în principiu, să nu poată fi opus decât de către părţile în proces (şi succesorii acestora), fundamentul şi justificarea acestui principiu constituindu-le contradictorialitatea şi dreptul la apărare.</w:t>
      </w:r>
    </w:p>
    <w:p w:rsidRPr="00846453" w:rsidR="00846453" w:rsidP="00846453">
      <w:pPr>
        <w:tabs>
          <w:tab w:val="left" w:pos="2156"/>
        </w:tabs>
        <w:jc w:val="both"/>
      </w:pPr>
      <w:r w:rsidRPr="00846453">
        <w:t xml:space="preserve">    </w:t>
        <w:tab/>
        <w:t xml:space="preserve">96. Însă această relativitate nu antrenează </w:t>
      </w:r>
      <w:r w:rsidRPr="00846453">
        <w:t>consecinţa inopozabilităţii hotărârii judecătoreşti faţă de terţi.</w:t>
      </w:r>
    </w:p>
    <w:p w:rsidRPr="00846453" w:rsidR="00846453" w:rsidP="00846453">
      <w:pPr>
        <w:tabs>
          <w:tab w:val="left" w:pos="2156"/>
        </w:tabs>
        <w:jc w:val="both"/>
      </w:pPr>
      <w:r w:rsidRPr="00846453">
        <w:t xml:space="preserve">    </w:t>
        <w:tab/>
        <w:t>97. Tocmai de aceea, completându-l pe cel dintâi, principiul opozabilităţii hotărârii judecătoreşti dă expresie respectului datorat şi impus tuturor de către o situaţie juridică.”</w:t>
      </w:r>
    </w:p>
    <w:p w:rsidRPr="00846453" w:rsidR="00846453" w:rsidP="00846453">
      <w:pPr>
        <w:tabs>
          <w:tab w:val="left" w:pos="2156"/>
        </w:tabs>
        <w:ind w:firstLine="720"/>
        <w:jc w:val="both"/>
      </w:pPr>
      <w:r w:rsidRPr="00846453">
        <w:t>În consecinţă, o hotărâre judecătorească este, faţă de prevederile art. 435 alin.2 C.p.c., opozabilă oricărei terţe peroane până la momentul  în care va demonstra în justiţie situaţia contrară.</w:t>
      </w:r>
    </w:p>
    <w:p w:rsidRPr="00846453" w:rsidR="00846453" w:rsidP="00846453">
      <w:pPr>
        <w:tabs>
          <w:tab w:val="left" w:pos="2156"/>
        </w:tabs>
        <w:ind w:firstLine="720"/>
        <w:jc w:val="both"/>
      </w:pPr>
      <w:r w:rsidRPr="00846453">
        <w:t>Aşadar, până la demonstrarea situaţiei contrare, terţa persoană va</w:t>
      </w:r>
      <w:r w:rsidRPr="00846453">
        <w:t xml:space="preserve"> suporta, in mod indirect, efectele judecăţii cauzei la care nu a participat. În consecinţă, mecanismul producerii efectelor hotărârii judecătoreşti presupune, aşadar, ca principiul relativităţii să asigure stabilitatea internă, în raporturile dintre părţi (şi succesorii lor), iar cel al opozabilităţii să asigure stabilitatea externă, în relaţia cu terţii (cel puţin până la momentul la care aceştia vor face proba contrară celor tranşate jurisdicţional).</w:t>
      </w:r>
    </w:p>
    <w:p w:rsidRPr="00846453" w:rsidR="00846453" w:rsidP="00846453">
      <w:pPr>
        <w:tabs>
          <w:tab w:val="left" w:pos="2156"/>
        </w:tabs>
        <w:ind w:firstLine="720"/>
        <w:jc w:val="both"/>
        <w:rPr>
          <w:rFonts w:eastAsia="Calibri"/>
          <w:lang w:val="ro-MD" w:eastAsia="en-US"/>
        </w:rPr>
      </w:pPr>
      <w:r w:rsidRPr="00846453">
        <w:t>Curtea constată că, reclamantul, prin cererea de chema</w:t>
      </w:r>
      <w:r w:rsidRPr="00846453">
        <w:t>re în judecată nu s-a prevalat de disp. art. 435 C.p.c., ci, acesta a solicitat</w:t>
      </w:r>
      <w:r w:rsidRPr="00846453">
        <w:rPr>
          <w:rFonts w:eastAsia="Calibri"/>
          <w:lang w:val="ro-MD" w:eastAsia="en-US"/>
        </w:rPr>
        <w:t xml:space="preserve"> ca la diferenţa dintre salariul efectiv achitat şi salariul de bază cuvenit la nivel maxim de salarizare pentru funcţie similară aflat in plată în cadrul DGRFP </w:t>
      </w:r>
      <w:r w:rsidR="00E24EB3">
        <w:rPr>
          <w:rFonts w:eastAsia="Calibri"/>
          <w:lang w:val="ro-MD" w:eastAsia="en-US"/>
        </w:rPr>
        <w:t>...</w:t>
      </w:r>
      <w:r w:rsidRPr="00846453">
        <w:rPr>
          <w:rFonts w:eastAsia="Calibri"/>
          <w:lang w:val="ro-MD" w:eastAsia="en-US"/>
        </w:rPr>
        <w:t xml:space="preserve"> sau ANAF, precum şi la nivelul maxim stabilit pentru celelalte instituţii aflate în subordinea ANAF, pentru aceeaşi funcţie/grad/treaptă/gradaţie, instanţa să ia în  considerare toate majorărilor salariale stabilite prin hotărâri judecătoreşti definitive, in considera</w:t>
      </w:r>
      <w:r w:rsidRPr="00846453">
        <w:rPr>
          <w:rFonts w:eastAsia="Calibri"/>
          <w:lang w:val="ro-MD" w:eastAsia="en-US"/>
        </w:rPr>
        <w:t>rea Deciziei Curţii Constituţionale nr. 794/2016.</w:t>
      </w:r>
    </w:p>
    <w:p w:rsidRPr="00846453" w:rsidR="00846453" w:rsidP="00846453">
      <w:pPr>
        <w:tabs>
          <w:tab w:val="left" w:pos="2156"/>
        </w:tabs>
        <w:ind w:firstLine="720"/>
        <w:jc w:val="both"/>
        <w:rPr>
          <w:rFonts w:eastAsia="Calibri"/>
          <w:lang w:eastAsia="en-US"/>
        </w:rPr>
      </w:pPr>
      <w:r w:rsidRPr="00846453">
        <w:rPr>
          <w:rFonts w:eastAsia="Calibri"/>
          <w:lang w:val="ro-MD" w:eastAsia="en-US"/>
        </w:rPr>
        <w:t>Or, într-o astfel de situaţie, in aplicarea Deciziei anterior menţionate,  stabilirea</w:t>
      </w:r>
      <w:r w:rsidRPr="00846453">
        <w:rPr>
          <w:rFonts w:eastAsia="Calibri"/>
          <w:lang w:eastAsia="en-US"/>
        </w:rPr>
        <w:t xml:space="preserve"> nivelul maxim al salariului de bază/indemnizației de încadrare trebuie să includă și drepturile stabilite sau recunoscute prin hotărâri judecătorești definitive și irevocabile/definitive.</w:t>
      </w:r>
    </w:p>
    <w:p w:rsidRPr="00846453" w:rsidR="00846453" w:rsidP="00846453">
      <w:pPr>
        <w:tabs>
          <w:tab w:val="left" w:pos="2156"/>
        </w:tabs>
        <w:ind w:firstLine="708"/>
        <w:jc w:val="both"/>
      </w:pPr>
      <w:r w:rsidRPr="00846453">
        <w:t>În ceea ce priveşte  principiul nediscriminării şi susţinerea recurentei pârâte potrivit căreia, pot exista diferenţe între cei salarizaţi potrivit noii legi şi cei salariaţi în baza vechi</w:t>
      </w:r>
      <w:r w:rsidRPr="00846453">
        <w:t>i legi, Curtea, faţă de cele expuse anterior, constată că, salariile de bază acordate în toate direcțiile generale regionale ale finanțelor publice pentru funcții similare trebuie să fie aceleași, independent dacă ele au fost acordate direct prin act administrativ sau prin hotărâri judecătoreşti.</w:t>
      </w:r>
    </w:p>
    <w:p w:rsidRPr="00846453" w:rsidR="00846453" w:rsidP="00846453">
      <w:pPr>
        <w:tabs>
          <w:tab w:val="left" w:pos="2156"/>
          <w:tab w:val="left" w:pos="3756"/>
        </w:tabs>
        <w:ind w:firstLine="720"/>
        <w:jc w:val="both"/>
        <w:rPr>
          <w:rFonts w:eastAsia="Calibri"/>
          <w:lang w:val="ro-MD" w:eastAsia="en-US"/>
        </w:rPr>
      </w:pPr>
      <w:r w:rsidRPr="00846453">
        <w:rPr>
          <w:rFonts w:eastAsia="Calibri"/>
          <w:lang w:val="ro-MD" w:eastAsia="en-US"/>
        </w:rPr>
        <w:t>În ceea ce privește critica privind  greşita admiterea a capătului de cerere privind obligarea recurentei la plata către reclamantă a dobânzii legale penalizatoare, respectiv actualizarea cu indicele de inflaţie, C</w:t>
      </w:r>
      <w:r w:rsidRPr="00846453">
        <w:rPr>
          <w:rFonts w:eastAsia="Calibri"/>
          <w:lang w:val="ro-MD" w:eastAsia="en-US"/>
        </w:rPr>
        <w:t>urtea constată că, prin cererea de chemare în judecată, reclamantul a solicitat obligarea pârâtei la plata dobânzii legale penalizatoare prev. de art. 3 alin.2 din OG nr. 13/2011, calculată de la data scadenţei fiecărui drept salarial lunar şi până la momentul plăţii efective; a solicitat totodată şi actualizarea cu indicele de inflaţie.</w:t>
      </w:r>
    </w:p>
    <w:p w:rsidRPr="00846453" w:rsidR="00846453" w:rsidP="00846453">
      <w:pPr>
        <w:tabs>
          <w:tab w:val="left" w:pos="2156"/>
          <w:tab w:val="left" w:pos="3756"/>
        </w:tabs>
        <w:ind w:firstLine="720"/>
        <w:jc w:val="both"/>
        <w:rPr>
          <w:rFonts w:eastAsia="Calibri"/>
          <w:lang w:val="ro-MD" w:eastAsia="en-US"/>
        </w:rPr>
      </w:pPr>
      <w:r w:rsidRPr="00846453">
        <w:rPr>
          <w:rFonts w:eastAsia="Calibri"/>
          <w:lang w:val="ro-MD" w:eastAsia="en-US"/>
        </w:rPr>
        <w:t>În consecinţă, pretenţiile reclamantului vizând acordarea dobânzii sunt motivate, acesta indicând totodată momentul de la care solicită acordarea dobânzii.</w:t>
      </w:r>
    </w:p>
    <w:p w:rsidRPr="00846453" w:rsidR="00846453" w:rsidP="00846453">
      <w:pPr>
        <w:tabs>
          <w:tab w:val="left" w:pos="2156"/>
          <w:tab w:val="left" w:pos="3756"/>
        </w:tabs>
        <w:ind w:firstLine="720"/>
        <w:jc w:val="both"/>
        <w:rPr>
          <w:rFonts w:eastAsia="Calibri"/>
          <w:lang w:val="ro-MD" w:eastAsia="en-US"/>
        </w:rPr>
      </w:pPr>
      <w:r w:rsidRPr="00846453">
        <w:rPr>
          <w:rFonts w:eastAsia="Calibri"/>
          <w:lang w:val="ro-MD" w:eastAsia="en-US"/>
        </w:rPr>
        <w:t>In privinţa dobâ</w:t>
      </w:r>
      <w:r w:rsidRPr="00846453">
        <w:rPr>
          <w:rFonts w:eastAsia="Calibri"/>
          <w:lang w:val="ro-MD" w:eastAsia="en-US"/>
        </w:rPr>
        <w:t>nzii acordate, Curtea constată că, prin admiterea acestui capăt de cerere accesoriu prima instanță a respectat principiului acoperirii integrale a prejudiciului produs intimatului reclamant prin neplata drepturilor salariale restante, păstrarea valorii reale a obligaţiilor băneşti şi acoperirea prejudiciului efectiv cauzat în intervalul scurs de la data scadenţei şi cea a plăţii efective a sumei datorate.</w:t>
      </w:r>
    </w:p>
    <w:p w:rsidRPr="00846453" w:rsidR="00846453" w:rsidP="00846453">
      <w:pPr>
        <w:tabs>
          <w:tab w:val="left" w:pos="2156"/>
          <w:tab w:val="left" w:pos="3756"/>
        </w:tabs>
        <w:ind w:firstLine="720"/>
        <w:jc w:val="both"/>
        <w:rPr>
          <w:rFonts w:eastAsia="Calibri"/>
          <w:lang w:val="ro-MD" w:eastAsia="en-US"/>
        </w:rPr>
      </w:pPr>
      <w:r w:rsidRPr="00846453">
        <w:t>Relativ la critica recurentei pârâte potrivit căreia, pentru aceeaşi sumă de bani nu se poate acorda in</w:t>
      </w:r>
      <w:r w:rsidRPr="00846453">
        <w:t xml:space="preserve"> acelaşi timp atât dobânda legală cât şi actualizarea cu indicele de inflaţie, Curtea reţine că, având a se pronunţa cu privire la cumularea actualizării cu dobânda legală, Înalta Curte de Casaţie şi Justiţie – Completul pentru soluţionarea recursului în interesul legii a statuat, prin Decizia nr. 2 din 17 februarie 2014, că actualizarea reprezintă o reparaţie parţială menită să repare prejudiciul efectiv suferit (damnum emergens), „însă principiul reparării integrale a prejudiciului suferit de creditor, ca</w:t>
      </w:r>
      <w:r w:rsidRPr="00846453">
        <w:t xml:space="preserve"> efect al executării eşalonate a titlurilor executorii, impune şi remedierea celui de-al doilea element constitutiv al prejudiciului, prin acordarea beneficiului de care a fost lipsit (lucrum cessans), respectiv daune-interese moratorii, sub forma dobânzii legale”</w:t>
      </w:r>
    </w:p>
    <w:p w:rsidRPr="00846453" w:rsidR="00846453" w:rsidP="00846453">
      <w:pPr>
        <w:tabs>
          <w:tab w:val="left" w:pos="2156"/>
          <w:tab w:val="left" w:pos="3756"/>
        </w:tabs>
        <w:ind w:firstLine="720"/>
        <w:jc w:val="both"/>
        <w:rPr>
          <w:rFonts w:eastAsia="Trebuchet MS"/>
          <w:iCs/>
        </w:rPr>
      </w:pPr>
      <w:r w:rsidRPr="00846453">
        <w:rPr>
          <w:rFonts w:eastAsia="Trebuchet MS"/>
          <w:iCs/>
        </w:rPr>
        <w:t>Aşadar, având în vedere că natura juridică a dobânzii este diferită de natura juridică a actualizării obligaţiei cu rata inflaţiei, prima reprezentând o sancţiune sub forma daunelor moratorii pentru neexecutarea obligaţiei de plată, iar cea de a d</w:t>
      </w:r>
      <w:r w:rsidRPr="00846453">
        <w:rPr>
          <w:rFonts w:eastAsia="Trebuchet MS"/>
          <w:iCs/>
        </w:rPr>
        <w:t>oua, valoarea reală a obligaţiei băneşti la data efectuării plăţii, respectiv daune compensatorii, este admisibil cumulul acestora, neputându-se vorbi, deci, despre o dublă reparaţie care să reprezinte o îmbogăţire fără justă cauză a creditorului.</w:t>
      </w:r>
    </w:p>
    <w:p w:rsidRPr="00846453" w:rsidR="00846453" w:rsidP="00846453">
      <w:pPr>
        <w:tabs>
          <w:tab w:val="left" w:pos="2156"/>
          <w:tab w:val="left" w:pos="3756"/>
        </w:tabs>
        <w:ind w:firstLine="720"/>
        <w:jc w:val="both"/>
        <w:rPr>
          <w:rFonts w:eastAsia="Trebuchet MS"/>
          <w:iCs/>
        </w:rPr>
      </w:pPr>
      <w:r w:rsidRPr="00846453">
        <w:rPr>
          <w:rFonts w:eastAsia="Trebuchet MS"/>
          <w:iCs/>
        </w:rPr>
        <w:t>În consecinţă, in mod corect prima instanţă a dispus şi actualizarea cu indicele de inflaţie.</w:t>
      </w:r>
    </w:p>
    <w:p w:rsidRPr="00846453" w:rsidR="00846453" w:rsidP="00846453">
      <w:pPr>
        <w:tabs>
          <w:tab w:val="left" w:pos="2156"/>
          <w:tab w:val="left" w:pos="3756"/>
        </w:tabs>
        <w:ind w:firstLine="720"/>
        <w:jc w:val="both"/>
      </w:pPr>
      <w:r w:rsidRPr="00846453">
        <w:rPr>
          <w:rFonts w:eastAsia="Trebuchet MS"/>
          <w:iCs/>
        </w:rPr>
        <w:t>Relativ la critica privind cheltuielile de judecată şi neaplicarea de către instanţa de judecată a disp. art. 451 alin.2 C.p.c.,</w:t>
      </w:r>
      <w:r w:rsidRPr="00846453">
        <w:t xml:space="preserve"> Curtea constată că, prin Decizia nr. 3/20</w:t>
      </w:r>
      <w:r w:rsidRPr="00846453">
        <w:t>20, pronunţată de Înalta Curte de Casaţie şi Justiţie, Completul pentru soluţionarea recursului în interesul legii , a fost admis recursul în interesul legii formulat de Colegiul de conducere al Curţii de Apel Braşov stabilind că: „În interpretarea şi aplicarea unitară a dispoziţiilor </w:t>
      </w:r>
      <w:hyperlink w:history="1" r:id="rId4">
        <w:r w:rsidRPr="00846453">
          <w:rPr>
            <w:color w:val="000000"/>
            <w:u w:val="single"/>
          </w:rPr>
          <w:t>art. 488</w:t>
        </w:r>
      </w:hyperlink>
      <w:r w:rsidRPr="00846453">
        <w:t> alin. (1) din Codul de procedură civilă, motivul de recurs prin care se critică modalitatea în care instanţa de fond s-a pronunţat, în raport cu preveder</w:t>
      </w:r>
      <w:r w:rsidRPr="00846453">
        <w:t>ile art. 451 alin. (2) din Codul de procedură civilă, asupra proporţionalităţii cheltuielilor de judecată reprezentând onorariul avocaţilor, solicitate de partea care a câştigat procesul, nu se încadrează în motivele de casare prevăzute de art. 488 alin. (1) din Codul de procedură civilă.”</w:t>
      </w:r>
    </w:p>
    <w:p w:rsidRPr="00846453" w:rsidR="00846453" w:rsidP="00846453">
      <w:pPr>
        <w:tabs>
          <w:tab w:val="left" w:pos="2156"/>
        </w:tabs>
        <w:ind w:firstLine="708"/>
        <w:jc w:val="both"/>
      </w:pPr>
      <w:r w:rsidRPr="00846453">
        <w:t>Or, prin criticile aduse, inclusiv cele referitoare la reducerea onorariu in cuantum de 119 lei, care, in opinia acesteia ar fi nejustificat, recurenta pârâtă contestă tocmai modalitatea in care instanţa de fond s-a pronu</w:t>
      </w:r>
      <w:r w:rsidRPr="00846453">
        <w:t>nţat asupra cheltuielilor de  judecată reprezentând onorariul de avocat, critici care, în raport de decizia sus menţionată, obligatorie faţă de disp. art. 517 alin.4 C.p.c., nu se încadrează in motivele de casare prev. de art. 488 alin.1 C.p.c..</w:t>
      </w:r>
    </w:p>
    <w:p w:rsidRPr="00846453" w:rsidR="00846453" w:rsidP="00846453">
      <w:pPr>
        <w:tabs>
          <w:tab w:val="left" w:pos="2156"/>
        </w:tabs>
        <w:ind w:firstLine="708"/>
        <w:jc w:val="both"/>
      </w:pPr>
      <w:r w:rsidRPr="00846453">
        <w:t>Concluzionând, Curtea constată că, motivul de casare prev. de art. 488 alin. 1 pct. 8 C.p.c. este nefondat, astfel încât, în temeiul disp. art. 496 alin.1 C.p.c., va respinge recursul recurentei pârâte.</w:t>
      </w:r>
    </w:p>
    <w:p w:rsidRPr="00846453" w:rsidR="00846453" w:rsidP="00846453">
      <w:pPr>
        <w:tabs>
          <w:tab w:val="left" w:pos="2156"/>
        </w:tabs>
        <w:jc w:val="both"/>
        <w:rPr>
          <w:color w:val="000000"/>
        </w:rPr>
      </w:pPr>
    </w:p>
    <w:p w:rsidRPr="00846453" w:rsidR="00846453" w:rsidP="00846453">
      <w:pPr>
        <w:tabs>
          <w:tab w:val="left" w:pos="2156"/>
        </w:tabs>
        <w:jc w:val="center"/>
      </w:pPr>
      <w:r w:rsidRPr="00846453">
        <w:t>PENTRU ACESTE MOTIVE,</w:t>
        <w:br/>
        <w:t>ÎN NUMELE LEGII</w:t>
      </w:r>
    </w:p>
    <w:p w:rsidRPr="00846453" w:rsidR="00846453" w:rsidP="00846453">
      <w:pPr>
        <w:tabs>
          <w:tab w:val="left" w:pos="2156"/>
        </w:tabs>
        <w:jc w:val="center"/>
      </w:pPr>
      <w:r w:rsidRPr="00846453">
        <w:t>DECIDE</w:t>
      </w:r>
    </w:p>
    <w:p w:rsidRPr="00846453" w:rsidR="00846453" w:rsidP="00846453">
      <w:pPr>
        <w:tabs>
          <w:tab w:val="left" w:pos="2156"/>
        </w:tabs>
      </w:pPr>
    </w:p>
    <w:p w:rsidRPr="00846453" w:rsidR="00846453" w:rsidP="00846453">
      <w:pPr>
        <w:tabs>
          <w:tab w:val="left" w:pos="2156"/>
        </w:tabs>
      </w:pPr>
    </w:p>
    <w:p w:rsidRPr="00846453" w:rsidR="00846453" w:rsidP="00846453">
      <w:pPr>
        <w:tabs>
          <w:tab w:val="left" w:pos="2156"/>
        </w:tabs>
        <w:ind w:firstLine="709"/>
        <w:jc w:val="both"/>
      </w:pPr>
      <w:r w:rsidRPr="00846453">
        <w:t>Respinge cerere</w:t>
      </w:r>
      <w:r w:rsidRPr="00846453">
        <w:t xml:space="preserve">a de recurs formulată de recurenta-pârâta </w:t>
      </w:r>
      <w:r w:rsidRPr="00846453">
        <w:rPr>
          <w:b/>
        </w:rPr>
        <w:t xml:space="preserve">DIRECŢIA GENERALĂ REGIONALĂ A FINANŢELOR PUBLICE </w:t>
      </w:r>
      <w:r w:rsidR="00371F92">
        <w:rPr>
          <w:b/>
        </w:rPr>
        <w:t>...</w:t>
      </w:r>
      <w:r w:rsidRPr="00846453">
        <w:rPr>
          <w:b/>
        </w:rPr>
        <w:t xml:space="preserve"> prin ADMINISTRAŢIA JUDEŢEANĂ A FINANŢELOR PUBLICE </w:t>
      </w:r>
      <w:r w:rsidR="00371F92">
        <w:rPr>
          <w:b/>
        </w:rPr>
        <w:t>...</w:t>
      </w:r>
      <w:r w:rsidRPr="00846453">
        <w:t xml:space="preserve"> împotriva sentinţei nr. </w:t>
      </w:r>
      <w:r w:rsidR="00371F92">
        <w:t>...</w:t>
      </w:r>
      <w:r w:rsidRPr="00846453">
        <w:t xml:space="preserve"> pronunţată de Tribunalul </w:t>
      </w:r>
      <w:r w:rsidR="00371F92">
        <w:t>...</w:t>
      </w:r>
      <w:r w:rsidRPr="00846453">
        <w:t xml:space="preserve"> – Secţia </w:t>
      </w:r>
      <w:r w:rsidR="00371F92">
        <w:t>...</w:t>
      </w:r>
      <w:r w:rsidRPr="00846453">
        <w:t xml:space="preserve"> în dosarul nr.</w:t>
      </w:r>
      <w:r w:rsidR="00371F92">
        <w:t>...</w:t>
      </w:r>
      <w:r w:rsidRPr="00846453">
        <w:t xml:space="preserve">, în contradictoriu cu intimatul reclamant </w:t>
      </w:r>
      <w:r w:rsidRPr="00371F92" w:rsidR="00371F92">
        <w:rPr>
          <w:b/>
          <w:bCs/>
        </w:rPr>
        <w:t>X</w:t>
      </w:r>
      <w:r w:rsidRPr="00846453">
        <w:t xml:space="preserve"> prin SINDICATUL FINANŢE PUBLICE </w:t>
      </w:r>
      <w:r w:rsidR="00371F92">
        <w:t>...</w:t>
      </w:r>
      <w:r w:rsidRPr="00846453">
        <w:t>, având ca obiect litigiu privind funcţionarii publici (Legea Nr.188/1999).</w:t>
      </w:r>
    </w:p>
    <w:p w:rsidRPr="00846453" w:rsidR="00846453" w:rsidP="00846453">
      <w:pPr>
        <w:tabs>
          <w:tab w:val="left" w:pos="2156"/>
        </w:tabs>
        <w:ind w:firstLine="709"/>
      </w:pPr>
      <w:r w:rsidRPr="00846453">
        <w:t>Definitivă.</w:t>
      </w:r>
    </w:p>
    <w:p w:rsidRPr="00846453" w:rsidR="00846453" w:rsidP="00846453">
      <w:pPr>
        <w:tabs>
          <w:tab w:val="left" w:pos="2156"/>
        </w:tabs>
        <w:ind w:firstLine="709"/>
      </w:pPr>
      <w:r w:rsidRPr="00846453">
        <w:t xml:space="preserve">Pronunţată la data de </w:t>
      </w:r>
      <w:r w:rsidR="00371F92">
        <w:t>...</w:t>
      </w:r>
      <w:r w:rsidRPr="00846453">
        <w:t xml:space="preserve"> prin punerea soluţiei la dispoziţia părţilor de grefa instanţei.</w:t>
      </w:r>
    </w:p>
    <w:p w:rsidR="00371F92" w:rsidP="00846453">
      <w:pPr>
        <w:tabs>
          <w:tab w:val="left" w:pos="2156"/>
        </w:tabs>
      </w:pPr>
    </w:p>
    <w:p w:rsidR="00371F92" w:rsidP="00846453">
      <w:pPr>
        <w:tabs>
          <w:tab w:val="left" w:pos="2156"/>
        </w:tabs>
      </w:pPr>
    </w:p>
    <w:p w:rsidR="00371F92" w:rsidP="00846453">
      <w:pPr>
        <w:tabs>
          <w:tab w:val="left" w:pos="2156"/>
        </w:tabs>
      </w:pPr>
    </w:p>
    <w:p w:rsidR="00371F92" w:rsidP="00371F92">
      <w:pPr>
        <w:ind w:firstLine="709"/>
        <w:jc w:val="both"/>
      </w:pPr>
      <w:r>
        <w:t>Preşedinte,</w:t>
        <w:tab/>
        <w:tab/>
        <w:tab/>
      </w:r>
      <w:r>
        <w:t xml:space="preserve"> Judecător,</w:t>
        <w:tab/>
        <w:tab/>
        <w:tab/>
        <w:t>Judecător</w:t>
      </w:r>
    </w:p>
    <w:p w:rsidR="00371F92" w:rsidP="00371F92">
      <w:pPr>
        <w:ind w:firstLine="709"/>
        <w:jc w:val="both"/>
      </w:pPr>
    </w:p>
    <w:p w:rsidR="00371F92" w:rsidP="00371F92">
      <w:pPr>
        <w:ind w:firstLine="709"/>
        <w:jc w:val="both"/>
      </w:pPr>
      <w:r>
        <w:t xml:space="preserve">       ...</w:t>
        <w:tab/>
        <w:tab/>
        <w:tab/>
        <w:t xml:space="preserve">               A0007                                      ...</w:t>
      </w:r>
    </w:p>
    <w:p w:rsidR="00371F92" w:rsidP="00371F92">
      <w:pPr>
        <w:ind w:firstLine="709"/>
        <w:jc w:val="both"/>
      </w:pPr>
    </w:p>
    <w:p w:rsidR="00371F92" w:rsidP="00371F92">
      <w:pPr>
        <w:jc w:val="both"/>
      </w:pPr>
    </w:p>
    <w:p w:rsidR="00371F92" w:rsidP="00371F92">
      <w:pPr>
        <w:jc w:val="both"/>
      </w:pPr>
    </w:p>
    <w:p w:rsidR="00371F92" w:rsidP="00371F92">
      <w:pPr>
        <w:ind w:firstLine="709"/>
        <w:jc w:val="both"/>
      </w:pPr>
      <w:r>
        <w:t xml:space="preserve">                                                   Grefier, </w:t>
      </w:r>
    </w:p>
    <w:p w:rsidR="00371F92" w:rsidP="00371F92">
      <w:pPr>
        <w:ind w:firstLine="709"/>
        <w:jc w:val="both"/>
      </w:pPr>
      <w:r>
        <w:tab/>
        <w:tab/>
        <w:tab/>
        <w:t xml:space="preserve">                   </w:t>
      </w:r>
      <w:r w:rsidR="002328A5">
        <w:t xml:space="preserve"> </w:t>
      </w:r>
      <w:r>
        <w:t>...</w:t>
      </w:r>
    </w:p>
    <w:p w:rsidR="00371F92" w:rsidP="00846453">
      <w:pPr>
        <w:tabs>
          <w:tab w:val="left" w:pos="2156"/>
        </w:tabs>
      </w:pPr>
    </w:p>
    <w:p w:rsidR="00371F92" w:rsidP="00846453">
      <w:pPr>
        <w:tabs>
          <w:tab w:val="left" w:pos="2156"/>
        </w:tabs>
      </w:pPr>
    </w:p>
    <w:p w:rsidRPr="00846453" w:rsidR="00846453" w:rsidP="00846453">
      <w:pPr>
        <w:tabs>
          <w:tab w:val="left" w:pos="2156"/>
        </w:tabs>
      </w:pPr>
      <w:r w:rsidRPr="00846453">
        <w:t>Red.jud.</w:t>
      </w:r>
      <w:r w:rsidR="00371F92">
        <w:t>A0007</w:t>
      </w:r>
      <w:r w:rsidRPr="00846453">
        <w:t>/</w:t>
      </w:r>
      <w:r w:rsidR="00371F92">
        <w:t>...</w:t>
      </w:r>
    </w:p>
    <w:p w:rsidRPr="00846453" w:rsidR="00846453" w:rsidP="00846453">
      <w:pPr>
        <w:tabs>
          <w:tab w:val="left" w:pos="2156"/>
        </w:tabs>
      </w:pPr>
      <w:r w:rsidRPr="00846453">
        <w:t xml:space="preserve">Tehnored. </w:t>
      </w:r>
      <w:r w:rsidR="00371F92">
        <w:t>...</w:t>
      </w:r>
      <w:r w:rsidRPr="00846453">
        <w:t xml:space="preserve"> 4 ex.</w:t>
      </w:r>
    </w:p>
    <w:p w:rsidRPr="00846453" w:rsidR="00846453" w:rsidP="00846453">
      <w:pPr>
        <w:tabs>
          <w:tab w:val="left" w:pos="2156"/>
        </w:tabs>
      </w:pPr>
      <w:r w:rsidRPr="00846453">
        <w:t>Jud.fond.</w:t>
      </w:r>
      <w:r w:rsidR="00371F92">
        <w:t>...</w:t>
      </w:r>
    </w:p>
    <w:p w:rsidRPr="00846453" w:rsidR="00846453" w:rsidP="00846453">
      <w:pPr>
        <w:tabs>
          <w:tab w:val="left" w:pos="2156"/>
        </w:tabs>
        <w:spacing w:after="160" w:line="259" w:lineRule="auto"/>
        <w:rPr>
          <w:rFonts w:ascii="Calibri" w:hAnsi="Calibri" w:eastAsia="Calibri"/>
          <w:sz w:val="22"/>
          <w:szCs w:val="22"/>
          <w:lang w:eastAsia="en-US"/>
        </w:rPr>
      </w:pPr>
    </w:p>
    <w:p w:rsidRPr="00846453" w:rsidR="003F4625" w:rsidP="00846453"/>
    <w:sectPr w:rsidSect="000D6A47">
      <w:footerReference w:type="default" r:id="rId5"/>
      <w:pgSz w:w="11906" w:h="16838"/>
      <w:pgMar w:top="851" w:right="851" w:bottom="851" w:left="1985"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453">
    <w:pPr>
      <w:pStyle w:val="Footer"/>
      <w:jc w:val="center"/>
    </w:pPr>
    <w:r>
      <w:fldChar w:fldCharType="begin"/>
    </w:r>
    <w:r>
      <w:instrText>PAGE   \* MERGEFORMAT</w:instrText>
    </w:r>
    <w:r>
      <w:fldChar w:fldCharType="separate"/>
    </w:r>
    <w:r>
      <w:rPr>
        <w:noProof/>
      </w:rPr>
      <w:t>1</w:t>
    </w:r>
    <w:r>
      <w:fldChar w:fldCharType="end"/>
    </w:r>
  </w:p>
  <w:p w:rsidR="00846453">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embedSystemFonts/>
  <w:mirrorMargins/>
  <w:stylePaneFormatFilter w:val="3F01"/>
  <w:doNotTrackMoves/>
  <w:defaultTabStop w:val="709"/>
  <w:hyphenationZone w:val="425"/>
  <w:doNotShadeFormData/>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654FD"/>
    <w:rsid w:val="00074F1D"/>
    <w:rsid w:val="00084103"/>
    <w:rsid w:val="00090D1C"/>
    <w:rsid w:val="000A2DEC"/>
    <w:rsid w:val="000D6A47"/>
    <w:rsid w:val="000F587D"/>
    <w:rsid w:val="00123B60"/>
    <w:rsid w:val="00190DF5"/>
    <w:rsid w:val="001B7BE5"/>
    <w:rsid w:val="00230098"/>
    <w:rsid w:val="002328A5"/>
    <w:rsid w:val="00236F8B"/>
    <w:rsid w:val="00267BB4"/>
    <w:rsid w:val="00310770"/>
    <w:rsid w:val="003434F2"/>
    <w:rsid w:val="003676FC"/>
    <w:rsid w:val="00371F92"/>
    <w:rsid w:val="003A4067"/>
    <w:rsid w:val="003B2F77"/>
    <w:rsid w:val="003F4625"/>
    <w:rsid w:val="00434264"/>
    <w:rsid w:val="004362D5"/>
    <w:rsid w:val="00444EB7"/>
    <w:rsid w:val="00483536"/>
    <w:rsid w:val="005E0080"/>
    <w:rsid w:val="00643179"/>
    <w:rsid w:val="006934CB"/>
    <w:rsid w:val="007A10E4"/>
    <w:rsid w:val="00836676"/>
    <w:rsid w:val="00846453"/>
    <w:rsid w:val="008D6F98"/>
    <w:rsid w:val="00902C7A"/>
    <w:rsid w:val="00982CB8"/>
    <w:rsid w:val="009847E9"/>
    <w:rsid w:val="009876B0"/>
    <w:rsid w:val="009A14D7"/>
    <w:rsid w:val="009A68B6"/>
    <w:rsid w:val="009B7961"/>
    <w:rsid w:val="00A56F73"/>
    <w:rsid w:val="00A74B82"/>
    <w:rsid w:val="00BC25D2"/>
    <w:rsid w:val="00BC2D52"/>
    <w:rsid w:val="00BC4A1A"/>
    <w:rsid w:val="00BC5260"/>
    <w:rsid w:val="00BF0E6F"/>
    <w:rsid w:val="00C00231"/>
    <w:rsid w:val="00E24EB3"/>
    <w:rsid w:val="00EC44D8"/>
    <w:rsid w:val="00F035C2"/>
    <w:rsid w:val="00F82B1B"/>
    <w:rsid w:val="00F96001"/>
  </w:rsids>
  <w:docVars>
    <w:docVar w:name="url" w:val="http://10.19.48.53:80/ecris_cdms/document_upload.aspx?id_document=5400000001671735&amp;id_departament=5&amp;id_sesiune=2481115&amp;id_user=328&amp;id_institutie=54&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nhideWhenUsed="0"/>
    <w:lsdException w:name="FollowedHyperlink" w:semiHidden="0" w:uiPriority="0" w:unhideWhenUsed="0"/>
    <w:lsdException w:name="Strong" w:semiHidden="0" w:uiPriority="0" w:unhideWhenUsed="0" w:qFormat="1"/>
    <w:lsdException w:name="Emphasis" w:semiHidden="0" w:uiPriority="2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uiPriority w:val="99"/>
    <w:pPr>
      <w:spacing w:before="100" w:beforeAutospacing="1" w:after="100" w:afterAutospacing="1"/>
    </w:pPr>
  </w:style>
  <w:style w:type="character" w:styleId="Hyperlink">
    <w:name w:val="Hyperlink"/>
    <w:uiPriority w:val="99"/>
    <w:unhideWhenUsed/>
    <w:rsid w:val="00C00231"/>
    <w:rPr>
      <w:color w:val="0000FF"/>
      <w:u w:val="single"/>
    </w:rPr>
  </w:style>
  <w:style w:type="paragraph" w:styleId="NoSpacing">
    <w:name w:val="No Spacing"/>
    <w:uiPriority w:val="1"/>
    <w:qFormat/>
    <w:rsid w:val="00C00231"/>
    <w:pPr>
      <w:jc w:val="both"/>
    </w:pPr>
    <w:rPr>
      <w:rFonts w:eastAsia="Calibri"/>
      <w:sz w:val="24"/>
      <w:szCs w:val="22"/>
      <w:lang w:val="en-US" w:eastAsia="en-US" w:bidi="ar-SA"/>
    </w:rPr>
  </w:style>
  <w:style w:type="character" w:customStyle="1" w:styleId="rvts8">
    <w:name w:val="rvts8"/>
    <w:rsid w:val="00C00231"/>
  </w:style>
  <w:style w:type="character" w:customStyle="1" w:styleId="rvts2">
    <w:name w:val="rvts2"/>
    <w:rsid w:val="00C00231"/>
  </w:style>
  <w:style w:type="character" w:customStyle="1" w:styleId="rvts7">
    <w:name w:val="rvts7"/>
    <w:rsid w:val="00C00231"/>
  </w:style>
  <w:style w:type="character" w:customStyle="1" w:styleId="rvts4">
    <w:name w:val="rvts4"/>
    <w:rsid w:val="00C00231"/>
  </w:style>
  <w:style w:type="character" w:customStyle="1" w:styleId="rvts3">
    <w:name w:val="rvts3"/>
    <w:rsid w:val="00C00231"/>
  </w:style>
  <w:style w:type="character" w:customStyle="1" w:styleId="rvts1">
    <w:name w:val="rvts1"/>
    <w:rsid w:val="00C00231"/>
  </w:style>
  <w:style w:type="character" w:styleId="Emphasis">
    <w:name w:val="Emphasis"/>
    <w:uiPriority w:val="20"/>
    <w:qFormat/>
    <w:rsid w:val="00C00231"/>
    <w:rPr>
      <w:i/>
      <w:iCs/>
    </w:rPr>
  </w:style>
  <w:style w:type="paragraph" w:styleId="Header">
    <w:name w:val="header"/>
    <w:basedOn w:val="Normal"/>
    <w:link w:val="HeaderChar"/>
    <w:rsid w:val="003F4625"/>
    <w:pPr>
      <w:tabs>
        <w:tab w:val="center" w:pos="4703"/>
        <w:tab w:val="right" w:pos="9406"/>
      </w:tabs>
    </w:pPr>
  </w:style>
  <w:style w:type="character" w:customStyle="1" w:styleId="HeaderChar">
    <w:name w:val="Header Char"/>
    <w:link w:val="Header"/>
    <w:rsid w:val="003F4625"/>
    <w:rPr>
      <w:sz w:val="24"/>
      <w:szCs w:val="24"/>
      <w:lang w:val="ro-RO" w:eastAsia="ro-RO"/>
    </w:rPr>
  </w:style>
  <w:style w:type="paragraph" w:styleId="Footer">
    <w:name w:val="footer"/>
    <w:basedOn w:val="Normal"/>
    <w:link w:val="FooterChar"/>
    <w:uiPriority w:val="99"/>
    <w:rsid w:val="003F4625"/>
    <w:pPr>
      <w:tabs>
        <w:tab w:val="center" w:pos="4703"/>
        <w:tab w:val="right" w:pos="9406"/>
      </w:tabs>
    </w:pPr>
  </w:style>
  <w:style w:type="character" w:customStyle="1" w:styleId="FooterChar">
    <w:name w:val="Footer Char"/>
    <w:link w:val="Footer"/>
    <w:uiPriority w:val="99"/>
    <w:rsid w:val="003F4625"/>
    <w:rPr>
      <w:sz w:val="24"/>
      <w:szCs w:val="24"/>
      <w:lang w:val="ro-RO" w:eastAsia="ro-RO"/>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javascript:OpenDocumentView(285279,%205409255);" TargetMode="Externa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12</ap:TotalTime>
  <ap:Pages>9</ap:Pages>
  <ap:Words>4934</ap:Words>
  <ap:Characters>28124</ap:Characters>
  <ap:Application>Microsoft Office Word</ap:Application>
  <ap:DocSecurity>0</ap:DocSecurity>
  <ap:Lines>234</ap:Lines>
  <ap:Paragraphs>65</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32993</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