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72BD2" w14:textId="77777777" w:rsidR="00F44B81" w:rsidRDefault="00C213B5">
      <w:pPr>
        <w:rPr>
          <w:rStyle w:val="Fontdeparagrafimplicit1"/>
          <w:rFonts w:ascii="Garamond" w:hAnsi="Garamond"/>
          <w:color w:val="BFBFBF"/>
          <w:sz w:val="20"/>
        </w:rPr>
      </w:pPr>
      <w:r>
        <w:rPr>
          <w:rStyle w:val="Fontdeparagrafimplicit1"/>
          <w:rFonts w:ascii="Garamond" w:hAnsi="Garamond"/>
          <w:color w:val="BFBFBF"/>
          <w:sz w:val="20"/>
        </w:rPr>
        <w:t>Acesta nu este document finalizat</w:t>
      </w:r>
    </w:p>
    <w:p w14:paraId="60F8F6BF" w14:textId="0F6468FB" w:rsidR="00F44B81" w:rsidRDefault="00C213B5">
      <w:pPr>
        <w:rPr>
          <w:rStyle w:val="Fontdeparagrafimplicit1"/>
          <w:rFonts w:ascii="Garamond" w:hAnsi="Garamond"/>
        </w:rPr>
      </w:pPr>
      <w:r>
        <w:rPr>
          <w:rStyle w:val="Fontdeparagrafimplicit1"/>
          <w:rFonts w:ascii="Garamond" w:hAnsi="Garamond"/>
        </w:rPr>
        <w:t>Cod ECLI    ECLI:RO:CA</w:t>
      </w:r>
      <w:r w:rsidR="00C90141">
        <w:rPr>
          <w:rStyle w:val="Fontdeparagrafimplicit1"/>
          <w:rFonts w:ascii="Garamond" w:hAnsi="Garamond"/>
        </w:rPr>
        <w:t>...</w:t>
      </w:r>
      <w:r>
        <w:rPr>
          <w:rStyle w:val="Fontdeparagrafimplicit1"/>
          <w:rFonts w:ascii="Garamond" w:hAnsi="Garamond"/>
        </w:rPr>
        <w:t>:</w:t>
      </w:r>
      <w:r w:rsidR="00C90141">
        <w:rPr>
          <w:rStyle w:val="Fontdeparagrafimplicit1"/>
          <w:rFonts w:ascii="Garamond" w:hAnsi="Garamond"/>
        </w:rPr>
        <w:t>....</w:t>
      </w:r>
    </w:p>
    <w:p w14:paraId="4A1EE6F6" w14:textId="77777777" w:rsidR="00F44B81" w:rsidRDefault="00C213B5">
      <w:pPr>
        <w:jc w:val="center"/>
      </w:pPr>
      <w:r>
        <w:t>ROMÂNIA</w:t>
      </w:r>
    </w:p>
    <w:p w14:paraId="1E8F4296" w14:textId="7B8EC4BB" w:rsidR="00F44B81" w:rsidRDefault="00C213B5">
      <w:pPr>
        <w:tabs>
          <w:tab w:val="left" w:pos="4230"/>
        </w:tabs>
        <w:jc w:val="center"/>
      </w:pPr>
      <w:r>
        <w:t xml:space="preserve">CURTEA DE APEL </w:t>
      </w:r>
      <w:r w:rsidR="00C90141">
        <w:t>X</w:t>
      </w:r>
    </w:p>
    <w:p w14:paraId="78FA3873" w14:textId="585C8126" w:rsidR="00F44B81" w:rsidRDefault="00C213B5">
      <w:pPr>
        <w:tabs>
          <w:tab w:val="left" w:pos="4230"/>
        </w:tabs>
        <w:jc w:val="center"/>
      </w:pPr>
      <w:r>
        <w:t xml:space="preserve">SECŢIA </w:t>
      </w:r>
      <w:r w:rsidR="00C90141">
        <w:t>....</w:t>
      </w:r>
      <w:r>
        <w:t xml:space="preserve"> CONTENCIOS ADMINISTRATIV ŞI FISCAL</w:t>
      </w:r>
    </w:p>
    <w:p w14:paraId="32548A51" w14:textId="77777777" w:rsidR="00F44B81" w:rsidRDefault="00F44B81">
      <w:pPr>
        <w:rPr>
          <w:rStyle w:val="Fontdeparagrafimplicit1"/>
          <w:b/>
        </w:rPr>
      </w:pPr>
    </w:p>
    <w:p w14:paraId="704B06B0" w14:textId="17D5A71A" w:rsidR="00F44B81" w:rsidRDefault="00C213B5">
      <w:pPr>
        <w:rPr>
          <w:rStyle w:val="Fontdeparagrafimplicit1"/>
          <w:b/>
        </w:rPr>
      </w:pPr>
      <w:r>
        <w:rPr>
          <w:rStyle w:val="Fontdeparagrafimplicit1"/>
          <w:b/>
        </w:rPr>
        <w:t xml:space="preserve">DOSAR NR. </w:t>
      </w:r>
      <w:r w:rsidR="00C90141">
        <w:rPr>
          <w:rStyle w:val="Fontdeparagrafimplicit1"/>
          <w:b/>
        </w:rPr>
        <w:t>.....</w:t>
      </w:r>
      <w:r>
        <w:rPr>
          <w:rStyle w:val="Fontdeparagrafimplicit1"/>
          <w:b/>
        </w:rPr>
        <w:t>16</w:t>
      </w:r>
    </w:p>
    <w:p w14:paraId="094C6FCC" w14:textId="77777777" w:rsidR="00F44B81" w:rsidRDefault="00F44B81">
      <w:pPr>
        <w:rPr>
          <w:rStyle w:val="Fontdeparagrafimplicit1"/>
        </w:rPr>
      </w:pPr>
    </w:p>
    <w:p w14:paraId="5469A147" w14:textId="67C75B5C" w:rsidR="00F44B81" w:rsidRDefault="00C213B5">
      <w:pPr>
        <w:tabs>
          <w:tab w:val="left" w:pos="4230"/>
        </w:tabs>
        <w:jc w:val="center"/>
        <w:rPr>
          <w:rStyle w:val="Fontdeparagrafimplicit1"/>
          <w:b/>
        </w:rPr>
      </w:pPr>
      <w:r>
        <w:rPr>
          <w:rStyle w:val="Fontdeparagrafimplicit1"/>
          <w:b/>
        </w:rPr>
        <w:t xml:space="preserve">DECIZIA CIVILĂ NR. </w:t>
      </w:r>
      <w:r w:rsidR="00C90141">
        <w:rPr>
          <w:rStyle w:val="Fontdeparagrafimplicit1"/>
          <w:b/>
        </w:rPr>
        <w:t>....</w:t>
      </w:r>
    </w:p>
    <w:p w14:paraId="735CF529" w14:textId="26FA05F9" w:rsidR="00F44B81" w:rsidRDefault="00C213B5">
      <w:pPr>
        <w:tabs>
          <w:tab w:val="left" w:pos="4230"/>
        </w:tabs>
        <w:jc w:val="center"/>
      </w:pPr>
      <w:r>
        <w:t xml:space="preserve">ŞEDINŢA PUBLICĂ DIN DATA DE </w:t>
      </w:r>
      <w:r w:rsidR="00C90141">
        <w:t>....</w:t>
      </w:r>
    </w:p>
    <w:p w14:paraId="503613F7" w14:textId="77777777" w:rsidR="00F44B81" w:rsidRDefault="00C213B5">
      <w:pPr>
        <w:tabs>
          <w:tab w:val="left" w:pos="4230"/>
        </w:tabs>
        <w:jc w:val="center"/>
      </w:pPr>
      <w:r>
        <w:t>CURTEA CONSTITUITĂ DIN:</w:t>
      </w:r>
    </w:p>
    <w:p w14:paraId="45A8BE20" w14:textId="34501F96" w:rsidR="00F44B81" w:rsidRDefault="00C213B5">
      <w:pPr>
        <w:jc w:val="center"/>
        <w:rPr>
          <w:rStyle w:val="Fontdeparagrafimplicit1"/>
          <w:b/>
        </w:rPr>
      </w:pPr>
      <w:r>
        <w:rPr>
          <w:rStyle w:val="Fontdeparagrafimplicit1"/>
          <w:b/>
        </w:rPr>
        <w:t xml:space="preserve">PREŞEDINTE: </w:t>
      </w:r>
      <w:r w:rsidR="00C90141">
        <w:rPr>
          <w:rStyle w:val="Fontdeparagrafimplicit1"/>
          <w:b/>
        </w:rPr>
        <w:t>A0017</w:t>
      </w:r>
    </w:p>
    <w:p w14:paraId="7592B1D4" w14:textId="64F7515D" w:rsidR="00F44B81" w:rsidRDefault="00C213B5">
      <w:pPr>
        <w:jc w:val="center"/>
        <w:rPr>
          <w:rStyle w:val="Fontdeparagrafimplicit1"/>
          <w:b/>
        </w:rPr>
      </w:pPr>
      <w:r>
        <w:rPr>
          <w:rStyle w:val="Fontdeparagrafimplicit1"/>
          <w:b/>
        </w:rPr>
        <w:t xml:space="preserve">JUDECĂTOR: </w:t>
      </w:r>
      <w:r w:rsidR="00C90141">
        <w:rPr>
          <w:rStyle w:val="Fontdeparagrafimplicit1"/>
          <w:b/>
        </w:rPr>
        <w:t>....</w:t>
      </w:r>
    </w:p>
    <w:p w14:paraId="17BD1AEA" w14:textId="4621BB72" w:rsidR="00F44B81" w:rsidRDefault="00C213B5">
      <w:pPr>
        <w:jc w:val="center"/>
        <w:rPr>
          <w:rStyle w:val="Fontdeparagrafimplicit1"/>
          <w:b/>
        </w:rPr>
      </w:pPr>
      <w:r>
        <w:rPr>
          <w:rStyle w:val="Fontdeparagrafimplicit1"/>
          <w:b/>
        </w:rPr>
        <w:t xml:space="preserve">JUDECĂTOR: </w:t>
      </w:r>
      <w:r w:rsidR="00C90141">
        <w:rPr>
          <w:rStyle w:val="Fontdeparagrafimplicit1"/>
          <w:b/>
        </w:rPr>
        <w:t>....</w:t>
      </w:r>
    </w:p>
    <w:p w14:paraId="4CBE3117" w14:textId="07F7D031" w:rsidR="00F44B81" w:rsidRDefault="00C213B5">
      <w:pPr>
        <w:jc w:val="center"/>
        <w:rPr>
          <w:rStyle w:val="Fontdeparagrafimplicit1"/>
          <w:b/>
        </w:rPr>
      </w:pPr>
      <w:r>
        <w:rPr>
          <w:rStyle w:val="Fontdeparagrafimplicit1"/>
          <w:b/>
        </w:rPr>
        <w:t xml:space="preserve">GREFIER: </w:t>
      </w:r>
      <w:r w:rsidR="00C90141">
        <w:rPr>
          <w:rStyle w:val="Fontdeparagrafimplicit1"/>
          <w:b/>
        </w:rPr>
        <w:t>....</w:t>
      </w:r>
    </w:p>
    <w:p w14:paraId="376E0E08" w14:textId="77777777" w:rsidR="00F44B81" w:rsidRDefault="00C213B5">
      <w:pPr>
        <w:jc w:val="both"/>
        <w:rPr>
          <w:rStyle w:val="Fontdeparagrafimplicit1"/>
          <w:b/>
        </w:rPr>
      </w:pPr>
      <w:r>
        <w:rPr>
          <w:rStyle w:val="Fontdeparagrafimplicit1"/>
          <w:b/>
        </w:rPr>
        <w:tab/>
      </w:r>
    </w:p>
    <w:p w14:paraId="141D181C" w14:textId="6511A50C" w:rsidR="00F44B81" w:rsidRDefault="00C213B5">
      <w:pPr>
        <w:jc w:val="both"/>
      </w:pPr>
      <w:r>
        <w:rPr>
          <w:rStyle w:val="Fontdeparagrafimplicit1"/>
          <w:b/>
        </w:rPr>
        <w:tab/>
      </w:r>
      <w:r>
        <w:t xml:space="preserve">Pe rol soluţionarea recursurilor formulate de recurentul-reclamant </w:t>
      </w:r>
      <w:r w:rsidR="00C90141">
        <w:rPr>
          <w:rStyle w:val="Fontdeparagrafimplicit1"/>
          <w:b/>
        </w:rPr>
        <w:t>SCL</w:t>
      </w:r>
      <w:r>
        <w:rPr>
          <w:rStyle w:val="Fontdeparagrafimplicit1"/>
          <w:b/>
        </w:rPr>
        <w:t>,</w:t>
      </w:r>
      <w:r>
        <w:t xml:space="preserve"> împotriva sentinţei civile nr. </w:t>
      </w:r>
      <w:r w:rsidR="00C90141">
        <w:t>....</w:t>
      </w:r>
      <w:r>
        <w:t xml:space="preserve">2015, pronunţate de Tribunalul </w:t>
      </w:r>
      <w:r w:rsidR="00C90141">
        <w:t>Z</w:t>
      </w:r>
      <w:r>
        <w:t xml:space="preserve">, în contradictoriu cu intimaţii-pârâţi </w:t>
      </w:r>
      <w:r>
        <w:rPr>
          <w:rStyle w:val="Fontdeparagrafimplicit1"/>
          <w:b/>
        </w:rPr>
        <w:t xml:space="preserve">I P J </w:t>
      </w:r>
      <w:r w:rsidR="00C90141">
        <w:rPr>
          <w:rStyle w:val="Fontdeparagrafimplicit1"/>
          <w:b/>
        </w:rPr>
        <w:t>Z</w:t>
      </w:r>
      <w:r>
        <w:rPr>
          <w:rStyle w:val="Fontdeparagrafimplicit1"/>
          <w:b/>
        </w:rPr>
        <w:t>,</w:t>
      </w:r>
      <w:r>
        <w:rPr>
          <w:rStyle w:val="Fontdeparagrafimplicit1"/>
          <w:b/>
          <w:color w:val="0B3857"/>
          <w:sz w:val="17"/>
        </w:rPr>
        <w:t xml:space="preserve"> </w:t>
      </w:r>
      <w:r>
        <w:rPr>
          <w:rStyle w:val="Fontdeparagrafimplicit1"/>
          <w:b/>
        </w:rPr>
        <w:t xml:space="preserve">INSPECTORATUL GENERAL AL POLITIEI ROMÂNE </w:t>
      </w:r>
      <w:r w:rsidR="00C90141">
        <w:rPr>
          <w:rStyle w:val="Fontdeparagrafimplicit1"/>
          <w:b/>
        </w:rPr>
        <w:t>B</w:t>
      </w:r>
      <w:r>
        <w:rPr>
          <w:rStyle w:val="Fontdeparagrafimplicit1"/>
          <w:b/>
        </w:rPr>
        <w:t xml:space="preserve">, MINISTERUL AFACERILOR INTERNE, MINISTERUL FINANTELOR PUBLICE, </w:t>
      </w:r>
      <w:r>
        <w:t>având ca obiect „litigiu privind funcţionarii publici”.</w:t>
      </w:r>
    </w:p>
    <w:p w14:paraId="3B329D6C" w14:textId="77777777" w:rsidR="00F44B81" w:rsidRDefault="00C213B5">
      <w:pPr>
        <w:jc w:val="both"/>
        <w:rPr>
          <w:rStyle w:val="Fontdeparagrafimplicit1"/>
          <w:color w:val="FF0000"/>
        </w:rPr>
      </w:pPr>
      <w:r>
        <w:tab/>
      </w:r>
      <w:r>
        <w:t xml:space="preserve">La apelul nominal făcut în şedinţă publică nu au răspuns părţile. </w:t>
      </w:r>
    </w:p>
    <w:p w14:paraId="1FCE1B5E" w14:textId="77777777" w:rsidR="00F44B81" w:rsidRDefault="00C213B5">
      <w:pPr>
        <w:ind w:firstLine="708"/>
        <w:jc w:val="both"/>
      </w:pPr>
      <w:r>
        <w:t>Procedura de citare este legal îndeplinită.</w:t>
      </w:r>
    </w:p>
    <w:p w14:paraId="40FCA48A" w14:textId="293F187B" w:rsidR="00F44B81" w:rsidRDefault="00C213B5">
      <w:pPr>
        <w:ind w:firstLine="708"/>
        <w:jc w:val="both"/>
      </w:pPr>
      <w:r>
        <w:t xml:space="preserve">S-a făcut referatul cauzei de către grefierul de şedinţă, care a învederat instanţei că la 18.03.2016, prin Serviciul Registratură, s-a depus cerere de amânare din partea intimatului-pârât IPJ </w:t>
      </w:r>
      <w:r w:rsidR="00C90141">
        <w:t>Z</w:t>
      </w:r>
      <w:r>
        <w:t>, după care:</w:t>
      </w:r>
    </w:p>
    <w:p w14:paraId="37410F3C" w14:textId="74933E59" w:rsidR="00F44B81" w:rsidRDefault="00C213B5">
      <w:pPr>
        <w:ind w:firstLine="708"/>
        <w:jc w:val="both"/>
      </w:pPr>
      <w:r>
        <w:t xml:space="preserve">Curtea, deliberând, respinge cererea de amânare formulată de intimatul-pârât IPJ </w:t>
      </w:r>
      <w:r w:rsidR="00C90141">
        <w:t>Z</w:t>
      </w:r>
      <w:r>
        <w:t xml:space="preserve"> ca neîntemeiată, reţinând că s-a prezentat în copie un bilet de trimitere care are şi valoare de bilet de internare, însă prin emiterea acestuia se conferă pacientului doar un drept de a-l folosi, neexistând la dosar dovada că a fost folosit în concret la furnizorul de servicii medicale, respectiv că dl. consilier juridic a şi fost internat. </w:t>
      </w:r>
    </w:p>
    <w:p w14:paraId="55F2471D" w14:textId="77777777" w:rsidR="00F44B81" w:rsidRDefault="00C213B5">
      <w:pPr>
        <w:ind w:firstLine="708"/>
        <w:jc w:val="both"/>
      </w:pPr>
      <w:r>
        <w:t xml:space="preserve">Curtea, având în vedere că părţile au solicitat judecarea cauzei în lipsă potrivit dispoziţiilor art. 411 alin. 1 pct. 2 Cod procedură civilă şi că nu mai sunt cereri de formulat, excepţii de invocat sau probe de administrat, în conformitate cu prevederile art. 394 alin.1 Cod procedură civilă, declară dezbaterile închise şi rămâne în pronunţare pe recurs. </w:t>
      </w:r>
    </w:p>
    <w:p w14:paraId="4A9F06F7" w14:textId="77777777" w:rsidR="00F44B81" w:rsidRDefault="00F44B81">
      <w:pPr>
        <w:tabs>
          <w:tab w:val="left" w:pos="915"/>
        </w:tabs>
        <w:jc w:val="center"/>
        <w:rPr>
          <w:rStyle w:val="Fontdeparagrafimplicit1"/>
          <w:b/>
        </w:rPr>
      </w:pPr>
    </w:p>
    <w:p w14:paraId="51DB0CFE" w14:textId="77777777" w:rsidR="00F44B81" w:rsidRDefault="00C213B5">
      <w:pPr>
        <w:tabs>
          <w:tab w:val="left" w:pos="915"/>
        </w:tabs>
        <w:jc w:val="center"/>
        <w:rPr>
          <w:rStyle w:val="Fontdeparagrafimplicit1"/>
          <w:b/>
        </w:rPr>
      </w:pPr>
      <w:r>
        <w:rPr>
          <w:rStyle w:val="Fontdeparagrafimplicit1"/>
          <w:b/>
        </w:rPr>
        <w:t xml:space="preserve">CURTEA, </w:t>
      </w:r>
    </w:p>
    <w:p w14:paraId="5B8E4F41" w14:textId="77777777" w:rsidR="00F44B81" w:rsidRDefault="00F44B81">
      <w:pPr>
        <w:tabs>
          <w:tab w:val="left" w:pos="915"/>
        </w:tabs>
        <w:jc w:val="center"/>
        <w:rPr>
          <w:rStyle w:val="Fontdeparagrafimplicit1"/>
          <w:b/>
        </w:rPr>
      </w:pPr>
    </w:p>
    <w:p w14:paraId="7D83486D" w14:textId="77777777" w:rsidR="00F44B81" w:rsidRDefault="00C213B5">
      <w:pPr>
        <w:ind w:firstLine="567"/>
        <w:jc w:val="both"/>
        <w:rPr>
          <w:rStyle w:val="Fontdeparagrafimplicit1"/>
          <w:i/>
        </w:rPr>
      </w:pPr>
      <w:r>
        <w:rPr>
          <w:rStyle w:val="Fontdeparagrafimplicit1"/>
          <w:i/>
        </w:rPr>
        <w:t>Deliberând asupra recursului, Curtea constată următoarele:</w:t>
      </w:r>
    </w:p>
    <w:p w14:paraId="307E794E" w14:textId="77777777" w:rsidR="00F44B81" w:rsidRDefault="00C213B5">
      <w:pPr>
        <w:ind w:firstLine="567"/>
        <w:jc w:val="both"/>
      </w:pPr>
      <w:r>
        <w:t>Prin sentin</w:t>
      </w:r>
      <w:r>
        <w:rPr>
          <w:rStyle w:val="Fontdeparagrafimplicit1"/>
          <w:rFonts w:ascii="Cambria Math" w:hAnsi="Cambria Math"/>
        </w:rPr>
        <w:t>ț</w:t>
      </w:r>
      <w:r>
        <w:t>a civilă recurată, instanţa de fond a dispus următoarele:</w:t>
      </w:r>
    </w:p>
    <w:p w14:paraId="7F007AFA" w14:textId="195A29D5" w:rsidR="00F44B81" w:rsidRDefault="00C213B5">
      <w:pPr>
        <w:ind w:firstLine="567"/>
        <w:jc w:val="both"/>
      </w:pPr>
      <w:r>
        <w:t xml:space="preserve"> „Respinge ca nefondată cererea având ca obiect   litigiu privind funcţionarii publici statutari -  DREPTURI SALARIALE formulată de reclamantul  </w:t>
      </w:r>
      <w:r w:rsidR="00C90141">
        <w:t>SCL</w:t>
      </w:r>
      <w:r>
        <w:t xml:space="preserve">, faţă de pârâtul INSPECTORATUL DE POLIŢIE AL JUDEŢULUI </w:t>
      </w:r>
      <w:r w:rsidR="00C90141">
        <w:t>Z</w:t>
      </w:r>
      <w:r>
        <w:t xml:space="preserve">, iar faţă de pârâţii MINISTERUL AFACERILOR INTERNE, MINISTERUL FINANTELOR PUBLICE </w:t>
      </w:r>
      <w:r w:rsidR="00C90141">
        <w:t>B</w:t>
      </w:r>
      <w:r>
        <w:t xml:space="preserve"> şi INSPECTORATUL GENERAL AL POLITIE ROMÂNE </w:t>
      </w:r>
      <w:r w:rsidR="00C90141">
        <w:t>X</w:t>
      </w:r>
      <w:r>
        <w:t xml:space="preserve">, ca fiind formulată împotriva unor persoane fără calitate procesuală pasivă. </w:t>
      </w:r>
    </w:p>
    <w:p w14:paraId="507ABA43" w14:textId="77777777" w:rsidR="00F44B81" w:rsidRDefault="00C213B5">
      <w:pPr>
        <w:ind w:firstLine="567"/>
        <w:jc w:val="both"/>
      </w:pPr>
      <w:r>
        <w:t>Respinge ca fiind prescrise pretenţiile aferente perioadei 01.01.2011-14.06.2012.”</w:t>
      </w:r>
    </w:p>
    <w:p w14:paraId="0F48767B" w14:textId="77777777" w:rsidR="00F44B81" w:rsidRDefault="00C213B5">
      <w:pPr>
        <w:ind w:firstLine="567"/>
        <w:jc w:val="both"/>
      </w:pPr>
      <w:r>
        <w:rPr>
          <w:rStyle w:val="Fontdeparagrafimplicit1"/>
          <w:b/>
          <w:i/>
        </w:rPr>
        <w:tab/>
      </w:r>
      <w:r>
        <w:t xml:space="preserve">Împotriva sentinţei mai sus menţionate </w:t>
      </w:r>
      <w:r>
        <w:rPr>
          <w:rStyle w:val="Fontdeparagrafimplicit1"/>
          <w:b/>
          <w:u w:val="single"/>
        </w:rPr>
        <w:t>a formulat recurs partea reclamantă</w:t>
      </w:r>
      <w:r>
        <w:t>.</w:t>
      </w:r>
    </w:p>
    <w:p w14:paraId="69F613DD" w14:textId="77777777" w:rsidR="00F44B81" w:rsidRDefault="00C213B5">
      <w:pPr>
        <w:ind w:firstLine="567"/>
        <w:jc w:val="both"/>
      </w:pPr>
      <w:r>
        <w:t xml:space="preserve">Partea recurent-reclamantă invocă faptul că </w:t>
      </w:r>
      <w:r>
        <w:rPr>
          <w:rStyle w:val="Fontdeparagrafimplicit1"/>
          <w:b/>
          <w:i/>
        </w:rPr>
        <w:t>în mod eronat instanţa de fond a respins capătul de cerere privind obligarea paratilor la acordarea diferentelor de salariu reprezentând includerea premiului anual în salariul lunar, actualizat, precum şi a voucherelor de vacanţă</w:t>
      </w:r>
      <w:r>
        <w:t>.</w:t>
      </w:r>
    </w:p>
    <w:p w14:paraId="2064F48E" w14:textId="77777777" w:rsidR="00F44B81" w:rsidRDefault="00C213B5">
      <w:pPr>
        <w:ind w:firstLine="567"/>
        <w:jc w:val="both"/>
      </w:pPr>
      <w:r>
        <w:t>În motivarea recursului invocă, în esenţă, următoarele:</w:t>
      </w:r>
    </w:p>
    <w:p w14:paraId="5C06BB4F" w14:textId="77777777" w:rsidR="00F44B81" w:rsidRDefault="00C213B5">
      <w:pPr>
        <w:ind w:firstLine="567"/>
        <w:jc w:val="both"/>
      </w:pPr>
      <w:r>
        <w:t xml:space="preserve">Prin Decizia nr.21/18.11.2013 a înaltei Curţi de Casaţie si Justiţie pronunţata in recurs in interesul legii, decizie obligatorie conform dispoziţiilor art.517 alin.4 din Cod»., de </w:t>
      </w:r>
      <w:r>
        <w:lastRenderedPageBreak/>
        <w:t>Procedura Civila s-a stabilit ca „in interpretarea si aplicarea art.8 din Legea nr.285/2010 privind salarizarea in anul 2011 a personalului plătit din fonduri publice, premiul pentru anul 2010, prevăzut de art.25 din Legea cadru nr.330/2009 privind salarizarea unitara a personalului plătiţi din fonduri publice, a fost inclus in majorările salariale stabilite pentru anul 2011, potrivit dispoziţiilor art.l din Legea nr.285/2010, nemaiputand fi acordata in forma supusa vechii reglementari".</w:t>
      </w:r>
    </w:p>
    <w:p w14:paraId="094CA9BB" w14:textId="77777777" w:rsidR="00F44B81" w:rsidRDefault="00C213B5">
      <w:pPr>
        <w:ind w:firstLine="567"/>
        <w:jc w:val="both"/>
      </w:pPr>
      <w:r>
        <w:t>In acest context se impune interpretarea data de Curte referitor la faptul ca dreptul la acordarea premiului anual nu a fost inlaturat prin abrogarea art.25 din Legea 330/2009, ci reprezintă, in continuare o creanţa certa, lichida si exigibila a angajatului asupra angajatorului sau, modificata fiind, in concret, numai modalitatea de acordare, si anume eşalonat si succesiv, in cursul anului 2011 respectiv prin creşterea, in mod corespunzător, a cuantumului salariului/soldei/indemnizatiei de baza.</w:t>
      </w:r>
    </w:p>
    <w:p w14:paraId="5D183137" w14:textId="77777777" w:rsidR="00F44B81" w:rsidRDefault="00C213B5">
      <w:pPr>
        <w:ind w:firstLine="567"/>
        <w:jc w:val="both"/>
      </w:pPr>
      <w:r>
        <w:t>S-a solicitat să se aibă în vedere si dispoziţiile Deciziei nr.872/2010 a Curţii Constituţionale care a statuat ca măsura de restrângere a unor drepturi ale personalului bugetar poate avea doar caracter temporar, fiind obligatorie revenirea la nivelul iniţial al acestor drepturi.</w:t>
      </w:r>
    </w:p>
    <w:p w14:paraId="0424F35C" w14:textId="77777777" w:rsidR="00F44B81" w:rsidRDefault="00C213B5">
      <w:pPr>
        <w:ind w:firstLine="567"/>
        <w:jc w:val="both"/>
      </w:pPr>
      <w:r>
        <w:t>Cat priveşte indicele de inflaţie, având in vedere ca Codul Muncii nu conţine dispoziţii îndestulătoare, acesta se poate completa cu dispoziţii din Codul Civil. Reclamantul solicită să se aibă în vedere dispoziţiile an. 1516 Cod Civil, cat si art.1530 si următoarele din Codul Civil.</w:t>
      </w:r>
    </w:p>
    <w:p w14:paraId="1898C4E0" w14:textId="77777777" w:rsidR="00F44B81" w:rsidRDefault="00C213B5">
      <w:pPr>
        <w:ind w:firstLine="567"/>
        <w:jc w:val="both"/>
      </w:pPr>
      <w:r>
        <w:t>In conformitate cu dispoziţiile OUG nr.8/2009 privind acordarea voucherelor de vacanta , angajatiorii care incadreaza personal prin incheierea unui contract de munca individual, pot acorda in condiţiile legii, bonuri de valoare, denumite voucher.</w:t>
      </w:r>
    </w:p>
    <w:p w14:paraId="37C57E8C" w14:textId="77777777" w:rsidR="00F44B81" w:rsidRDefault="00C213B5">
      <w:pPr>
        <w:ind w:firstLine="567"/>
        <w:jc w:val="both"/>
      </w:pPr>
      <w:r>
        <w:t>Aceste bonuri de valoare se acorda conform aceluiaşi act normativ in limitele sumelor prevăzute in bugetul de stat, sau dupa caz bugetele locale.</w:t>
      </w:r>
    </w:p>
    <w:p w14:paraId="2E948B0A" w14:textId="77777777" w:rsidR="00F44B81" w:rsidRDefault="00C213B5">
      <w:pPr>
        <w:ind w:firstLine="567"/>
        <w:jc w:val="both"/>
      </w:pPr>
      <w:r>
        <w:t>In motivarea instanţei se susţine ca nu se poate stabili in sarcina angajatorului obligaţia de acordare a voucherului de vacanta si un drept corelativ in beneficiul angajatului, ci, dimpotrivă ,permit concluzia ca dreptul la voucher se poate realiza doar in condiţiile prevederii in buget a unor sume cu aceasta destinaţie.</w:t>
      </w:r>
    </w:p>
    <w:p w14:paraId="13A6D1BB" w14:textId="77777777" w:rsidR="00F44B81" w:rsidRDefault="00C213B5">
      <w:pPr>
        <w:ind w:firstLine="567"/>
        <w:jc w:val="both"/>
      </w:pPr>
      <w:r>
        <w:t>Considera ca raţionamentul juridic al instanţei de fond este unul greşit intrucat  voucherul de vacanta este un drept ce il are fiecare salariat.</w:t>
      </w:r>
    </w:p>
    <w:p w14:paraId="01C8B746" w14:textId="77777777" w:rsidR="00F44B81" w:rsidRDefault="00C213B5">
      <w:pPr>
        <w:ind w:firstLine="567"/>
        <w:jc w:val="both"/>
      </w:pPr>
      <w:r>
        <w:t>In acest sens, chiar legiuitorul a prevăzut in Legea nr. 173/29.06.2015 privind aprobarea OG nr.8/2014 pentru modificarea unor termene prevăzute in OUG nr.8/2009 privind acordarea voucherelor de vacanta, la art.l alin.2 „ instituţiile publice definite conform Legii nr.500/2002 privind finanţele publice, cu modificările si completările ulterioare, si instituţiile publice locale definite conform Legii nr.273/2006 privind finanţele publice locale, cu modificările si completările ulterioare, indiferent de siste</w:t>
      </w:r>
      <w:r>
        <w:t>mul de finanţare si subordonare, inclusiv cele care se finanţează integral din venituri proprii, care incadreaza funcţionari publici si/sau personal prin încheierea unui contract individual de munca, dupa caz,acorda, in condiţiile legii, prime de vacanta numai sub forma voucherului de vacanta ".</w:t>
      </w:r>
    </w:p>
    <w:p w14:paraId="0C2B9EB9" w14:textId="77777777" w:rsidR="00F44B81" w:rsidRDefault="00C213B5">
      <w:pPr>
        <w:ind w:firstLine="567"/>
        <w:jc w:val="both"/>
      </w:pPr>
      <w:r>
        <w:t xml:space="preserve">Instanţa de judecata poate obliga angajatorul la plata acestui drept, sens in care angajatorul poate prevedea in anul următor suma necesara acoperirii plaţii acestui drept. </w:t>
      </w:r>
    </w:p>
    <w:p w14:paraId="0074CBB9" w14:textId="77777777" w:rsidR="00F44B81" w:rsidRDefault="00C213B5">
      <w:pPr>
        <w:ind w:firstLine="567"/>
        <w:jc w:val="both"/>
      </w:pPr>
      <w:r>
        <w:t>Totodată, critică admiterea excepţiilor lipsei calităţii procesuale pasive a pârâţilor MAI, MFP şi IGPR.</w:t>
      </w:r>
    </w:p>
    <w:p w14:paraId="1BB81845" w14:textId="77777777" w:rsidR="00F44B81" w:rsidRDefault="00C213B5">
      <w:pPr>
        <w:ind w:firstLine="567"/>
        <w:jc w:val="both"/>
      </w:pPr>
      <w:r>
        <w:t xml:space="preserve">Prin </w:t>
      </w:r>
      <w:r>
        <w:rPr>
          <w:rStyle w:val="Fontdeparagrafimplicit1"/>
          <w:b/>
          <w:i/>
        </w:rPr>
        <w:t>întâmpinari/note scrise</w:t>
      </w:r>
      <w:r>
        <w:t>, intimatii pârâti au solicitat respingerea recursului formulat ca nefondat, arătând, în esenţă, că raţionamentul primei instanţe este corect şi că:</w:t>
      </w:r>
    </w:p>
    <w:p w14:paraId="0087CFC3" w14:textId="77777777" w:rsidR="00F44B81" w:rsidRDefault="00C213B5">
      <w:pPr>
        <w:ind w:firstLine="567"/>
        <w:jc w:val="both"/>
      </w:pPr>
      <w:r>
        <w:t>a) referitor la acordarea diferenţei de salariu reprezentând includerea premiului anual în salariul lunar:</w:t>
      </w:r>
    </w:p>
    <w:p w14:paraId="753A28DE" w14:textId="77777777" w:rsidR="00F44B81" w:rsidRDefault="00C213B5">
      <w:pPr>
        <w:ind w:firstLine="567"/>
        <w:jc w:val="both"/>
      </w:pPr>
      <w:r>
        <w:t>Pentru anul 2015 salarizarea personalului plătit din fonduri publice este reglementată prin O.U.G. nr. 83/2014. Astfel, cuantumul sporurilor, indemnizaţiilor, compensaţiilor şi al celorlalte elemente ale sistemului de salarizare care fac parte, potrivit legii din salariul brut, solda brută, salariul lunar brut se menţine la acelaşi nivel cu cel ce se acordă personalului plătit din fonduri publice pentru pentru luna decembrie 2014.</w:t>
      </w:r>
    </w:p>
    <w:p w14:paraId="533EB79C" w14:textId="77777777" w:rsidR="00F44B81" w:rsidRDefault="00C213B5">
      <w:pPr>
        <w:ind w:firstLine="567"/>
        <w:jc w:val="both"/>
      </w:pPr>
      <w:r>
        <w:lastRenderedPageBreak/>
        <w:t>în raport de succesiunea actelor normative în materia salarizării personalului bugetar se constată că premiul anual aferent anului 2010 a fost inclus în majorările salariale acordate conform art. 1 din Legea nr. 285/2010, iar ulterior, începând cu anul 2012:</w:t>
      </w:r>
    </w:p>
    <w:p w14:paraId="2816B91C" w14:textId="77777777" w:rsidR="00F44B81" w:rsidRDefault="00C213B5">
      <w:pPr>
        <w:ind w:firstLine="567"/>
        <w:jc w:val="both"/>
      </w:pPr>
      <w:r>
        <w:t>-</w:t>
      </w:r>
      <w:r>
        <w:tab/>
        <w:t xml:space="preserve">s-a menţinut cuantumul brut al salariului de bază avut în luna decembrie din anul anterior; </w:t>
      </w:r>
    </w:p>
    <w:p w14:paraId="0AC82E0F" w14:textId="77777777" w:rsidR="00F44B81" w:rsidRDefault="00C213B5">
      <w:pPr>
        <w:ind w:firstLine="567"/>
        <w:jc w:val="both"/>
      </w:pPr>
      <w:r>
        <w:t xml:space="preserve">     - premiul anual nu s-a acordat</w:t>
      </w:r>
    </w:p>
    <w:p w14:paraId="3C9BA27B" w14:textId="77777777" w:rsidR="00F44B81" w:rsidRDefault="00C213B5">
      <w:pPr>
        <w:ind w:firstLine="567"/>
        <w:jc w:val="both"/>
      </w:pPr>
      <w:r>
        <w:t>-</w:t>
      </w:r>
      <w:r>
        <w:tab/>
        <w:t>s-au continuat majorările în vederea recuperării integrale a reducerii de 25%</w:t>
      </w:r>
    </w:p>
    <w:p w14:paraId="39B528E4" w14:textId="77777777" w:rsidR="00F44B81" w:rsidRDefault="00C213B5">
      <w:pPr>
        <w:ind w:firstLine="567"/>
        <w:jc w:val="both"/>
      </w:pPr>
      <w:r>
        <w:t>b) solicitarea privind acordarea tichetelor/voucherelor de vacanţă este neîntemeiată, întrucât:</w:t>
      </w:r>
    </w:p>
    <w:p w14:paraId="75EE955B" w14:textId="77777777" w:rsidR="00F44B81" w:rsidRDefault="00C213B5">
      <w:pPr>
        <w:ind w:firstLine="567"/>
        <w:jc w:val="both"/>
      </w:pPr>
      <w:r>
        <w:t>- potrivit art. 1 alin. 1 şi alin. 2 din O.U.G. nr. 8/2009 privind acordarea voucherelor de vacanţă, cu modificările şi completările ulterioare, pentru recuperarea şi întreţinerea capacităţii de muncă a personalului salarial, instituţiile publice definite conform Legii nr. 500/2002 privind finanţele publice, cu modificările şi completările ulterioare, care încadrează personal prin încheierea unui contract individual de muncă pot acorda, în condiţiile legii, bonuri de valoare, denumite în continuare vouchere</w:t>
      </w:r>
      <w:r>
        <w:t xml:space="preserve"> de vacanţă.</w:t>
      </w:r>
    </w:p>
    <w:p w14:paraId="5CE4BECA" w14:textId="77777777" w:rsidR="00F44B81" w:rsidRDefault="00C213B5">
      <w:pPr>
        <w:ind w:firstLine="567"/>
        <w:jc w:val="both"/>
      </w:pPr>
      <w:r>
        <w:t>- partea recurent-reclamantă este funcţionar public civil, cu statut special, care nu îşi desfăşoară activitatea în baza unui contract individual de muncă, acestuia nu îi sunt aplicabile prevederile art. 1 alin. 1 din O.U.G. nr. 8/2009 privind acordarea voucherelor de vacanţă, cu modificările şi completările ulterioare, invocate în susţinerea cererii de chemare în judecată.</w:t>
      </w:r>
    </w:p>
    <w:p w14:paraId="4E78399A" w14:textId="77777777" w:rsidR="00F44B81" w:rsidRDefault="00C213B5">
      <w:pPr>
        <w:ind w:firstLine="567"/>
        <w:jc w:val="both"/>
      </w:pPr>
      <w:r>
        <w:t>- în plus, conform prevederilor art. 14 alin. 1 din Legea nr. 500/2002 privind finanţele publice, cu modificările şi completările ulterioare, cheltuielile bugetare au destinaţie precisă şi limitată şi sunt determinate de autorizările conţinute în legi speciale şi în legile bugetare anuale.</w:t>
      </w:r>
    </w:p>
    <w:p w14:paraId="7546AA33" w14:textId="77777777" w:rsidR="00F44B81" w:rsidRDefault="00C213B5">
      <w:pPr>
        <w:ind w:firstLine="567"/>
        <w:jc w:val="both"/>
      </w:pPr>
      <w:r>
        <w:t>- din cuprinsul art. 5 alin. 2 din O.U.G. nr. 29/2013 privind reglementarea unor măsuri bugetare, cu modificările şi completările ulterioare, rezultă că „ în bugetele pe anul 2014 ale instituţiilor publice centrale şi locale, astfel cum sunt definite prin Legea nr. 500/2002 privind finanţele publice, cu modificările şi completările ulterioare, şi prin Legea nr. 273/2006, cu modificările şi completările ulterioare, indiferent de sistemul de finanţare şi subordonare, inclusiv activităţile finanţate integral d</w:t>
      </w:r>
      <w:r>
        <w:t>in venituri proprii, înfiinţate pe lângă instituţiile publice, nu se prevăd sume pentru acordarea de tichete-cadou şi tichete de vacantă personalului din cadrul acestora".</w:t>
      </w:r>
    </w:p>
    <w:p w14:paraId="32FC5DE4" w14:textId="77777777" w:rsidR="00F44B81" w:rsidRDefault="00C213B5">
      <w:pPr>
        <w:ind w:firstLine="567"/>
        <w:jc w:val="both"/>
      </w:pPr>
      <w:r>
        <w:t>- în acelaşi sens şi 8 alin. 5 din O.U.G. nr. 83/2014 privind salarizarea personalului plătit din fonduri publice în anul 2015.</w:t>
      </w:r>
    </w:p>
    <w:p w14:paraId="16AAB4F2" w14:textId="77777777" w:rsidR="00F44B81" w:rsidRDefault="00F44B81">
      <w:pPr>
        <w:ind w:firstLine="567"/>
        <w:jc w:val="both"/>
      </w:pPr>
    </w:p>
    <w:p w14:paraId="2DEC5579" w14:textId="77777777" w:rsidR="00F44B81" w:rsidRDefault="00C213B5">
      <w:pPr>
        <w:ind w:firstLine="567"/>
        <w:jc w:val="both"/>
      </w:pPr>
      <w:r>
        <w:rPr>
          <w:rStyle w:val="Fontdeparagrafimplicit1"/>
          <w:b/>
          <w:i/>
        </w:rPr>
        <w:t>Analizând recursul formulat, precum şi apărările intimaţilor, în raport cu mijloacele de probă administrate şi dispoziţiile legale incidente, Curtea reţine</w:t>
      </w:r>
      <w:r>
        <w:t>:</w:t>
      </w:r>
    </w:p>
    <w:p w14:paraId="5E97C737" w14:textId="77777777" w:rsidR="00F44B81" w:rsidRDefault="00F44B81">
      <w:pPr>
        <w:ind w:firstLine="567"/>
        <w:jc w:val="both"/>
        <w:rPr>
          <w:rStyle w:val="Fontdeparagrafimplicit1"/>
          <w:b/>
        </w:rPr>
      </w:pPr>
    </w:p>
    <w:p w14:paraId="7FC27506" w14:textId="77777777" w:rsidR="00F44B81" w:rsidRDefault="00C213B5">
      <w:pPr>
        <w:ind w:firstLine="567"/>
        <w:jc w:val="both"/>
      </w:pPr>
      <w:r>
        <w:t xml:space="preserve">Argumentele părţii recurent-reclamante privind fondul litigiului pot fi calificate ca încadrabile în motivul de recurs prev. de  art. 488 alin. 1 pct. 8 Cpc privind aplicarea eronată a normelor de drept material de către prima instanţă. </w:t>
      </w:r>
    </w:p>
    <w:p w14:paraId="62106488" w14:textId="77777777" w:rsidR="00F44B81" w:rsidRDefault="00C213B5">
      <w:pPr>
        <w:ind w:firstLine="567"/>
        <w:jc w:val="both"/>
      </w:pPr>
      <w:r>
        <w:t xml:space="preserve">Însă, sub aspectul temeinicie lor, acestea nu îndeplinesc o atare condiţie, hotărârea instanţei de fond fiind legală şi temeinică. </w:t>
      </w:r>
    </w:p>
    <w:p w14:paraId="29EDB144" w14:textId="77777777" w:rsidR="00F44B81" w:rsidRDefault="00C213B5">
      <w:pPr>
        <w:ind w:firstLine="567"/>
        <w:jc w:val="both"/>
      </w:pPr>
      <w:r>
        <w:t>În acest sens, Curtea are în vedere următoarele:</w:t>
      </w:r>
    </w:p>
    <w:p w14:paraId="1EB63AD9" w14:textId="77777777" w:rsidR="00F44B81" w:rsidRDefault="00C213B5">
      <w:pPr>
        <w:ind w:firstLine="567"/>
        <w:jc w:val="both"/>
      </w:pPr>
      <w:r>
        <w:t xml:space="preserve">I. </w:t>
      </w:r>
      <w:r>
        <w:rPr>
          <w:rStyle w:val="Fontdeparagrafimplicit1"/>
          <w:b/>
          <w:i/>
        </w:rPr>
        <w:t xml:space="preserve">Referitor la acordarea diferenţei de salariu reprezentând includerea premiului anual în salariul lunar, </w:t>
      </w:r>
      <w:r>
        <w:t xml:space="preserve">Curtea remarcă, mai întâi faptul că partea recurent-reclamantă face o expunere a diverselor acte normative incidente în materia analizată, în perioada de referinţă în litigiul de fond, fără, însă a critica raţionamentul primei instanţe cu privire la interpretarea normelor expuse pe larg în sentinţa de fond. </w:t>
      </w:r>
    </w:p>
    <w:p w14:paraId="4FFC52B3" w14:textId="77777777" w:rsidR="00F44B81" w:rsidRDefault="00C213B5">
      <w:pPr>
        <w:ind w:firstLine="567"/>
        <w:jc w:val="both"/>
      </w:pPr>
      <w:r>
        <w:t xml:space="preserve">Prin decizia in interesul legii nr. 21/2013, obligatorie pentru instanţe, Înalta Curte de Casaţie şi Justiţie a stabilit că în interpretarea şi aplicarea dispoziţiilor </w:t>
      </w:r>
      <w:r>
        <w:rPr>
          <w:rStyle w:val="Fontdeparagrafimplicit1"/>
          <w:u w:val="single"/>
        </w:rPr>
        <w:t>art. 8</w:t>
      </w:r>
      <w:r>
        <w:t xml:space="preserve"> din Legea nr. 285/2010 privind salarizarea în anul 2011 a personalului plătit din fonduri publice, premiul pentru anul 2010, prevăzut de </w:t>
      </w:r>
      <w:r>
        <w:rPr>
          <w:rStyle w:val="Fontdeparagrafimplicit1"/>
          <w:u w:val="single"/>
        </w:rPr>
        <w:t>art. 25</w:t>
      </w:r>
      <w:r>
        <w:t xml:space="preserve"> din Legea-cadru nr. 330/2009 privind salarizarea unitară a personalului plătit din fonduri publice, </w:t>
      </w:r>
      <w:r>
        <w:rPr>
          <w:rStyle w:val="Fontdeparagrafimplicit1"/>
          <w:i/>
        </w:rPr>
        <w:t>a fost inclus în majorările salariale</w:t>
      </w:r>
      <w:r>
        <w:t xml:space="preserve"> stabilite pentru </w:t>
      </w:r>
      <w:r>
        <w:lastRenderedPageBreak/>
        <w:t xml:space="preserve">anul 2011, potrivit dispoziţiilor </w:t>
      </w:r>
      <w:r>
        <w:rPr>
          <w:rStyle w:val="Fontdeparagrafimplicit1"/>
          <w:u w:val="single"/>
        </w:rPr>
        <w:t>art. 1</w:t>
      </w:r>
      <w:r>
        <w:t xml:space="preserve"> din Legea nr. 285/2010, nemaiputând fi acordat în forma supusă vechii reglementări.</w:t>
      </w:r>
    </w:p>
    <w:p w14:paraId="1DFD7BE4" w14:textId="77777777" w:rsidR="00F44B81" w:rsidRDefault="00C213B5">
      <w:pPr>
        <w:ind w:firstLine="567"/>
        <w:jc w:val="both"/>
      </w:pPr>
      <w:r>
        <w:t>Motivarea reţinută de ICCJ explicitează soluţia dată în recursul în interesul legii, astfel:</w:t>
      </w:r>
    </w:p>
    <w:p w14:paraId="20868BA8" w14:textId="77777777" w:rsidR="00F44B81" w:rsidRDefault="00C213B5">
      <w:pPr>
        <w:ind w:firstLine="567"/>
        <w:jc w:val="both"/>
      </w:pPr>
      <w:r>
        <w:t>Cu privire la art. 8 din Legea nr. 285/2010, Curtea Constituţională s-a pronunţat prin mai multe decizii, cum sunt deciziile nr. 115/2012 şi 257/2012, stabilind că acesta dispune cu privire la sumele corespunzătoare premiului anual pentru anul 2010 în sensul că, pe de o parte, reglementează încetarea acordării lor începând cu luna ianuarie 2011, iar, pe de altă parte, prevede că aceste sume vor fi cuprinse în creşterile salariale ce se acordă în anul 2011 personalului din sectorul bugetar, prin includerea a</w:t>
      </w:r>
      <w:r>
        <w:t>cestora în salariul/solda/indemnizaţia de bază a angajatului, potrivit reglementărilor din aceeaşi lege.</w:t>
      </w:r>
    </w:p>
    <w:p w14:paraId="64A87DDA" w14:textId="77777777" w:rsidR="00F44B81" w:rsidRDefault="00C213B5">
      <w:pPr>
        <w:ind w:firstLine="567"/>
        <w:jc w:val="both"/>
      </w:pPr>
      <w:r>
        <w:t xml:space="preserve">    Referitor la natura premiilor în bani acordate angajaţilor s-a constatat că sporurile, premiile şi alte stimulente acordate demnitarilor şi altor salariaţi prin acte normative reprezintă drepturi salariale suplimentare, iar nu drepturi fundamentale, consacrate şi garantate de Constituţie, legiuitorul fiind în drept, totodată, să instituie anumite sporuri la indemnizaţiile şi salariile de bază, premii periodice şi alte stimulente, pe care le poate diferenţia în funcţie de categoriile de personal cărora l</w:t>
      </w:r>
      <w:r>
        <w:t>i se acordă, le poate modifica în diferite perioade de timp, le poate suspenda sau chiar anula.</w:t>
      </w:r>
    </w:p>
    <w:p w14:paraId="2EF0FB86" w14:textId="77777777" w:rsidR="00F44B81" w:rsidRDefault="00C213B5">
      <w:pPr>
        <w:ind w:firstLine="567"/>
        <w:jc w:val="both"/>
      </w:pPr>
      <w:r>
        <w:t xml:space="preserve">    Prin deciziile pronunţate, Curtea a mai statuat că dispoziţiile de lege criticate se aplică în egală măsură întregului personal din sectorul bugetar şi că nu se poate vorbi despre drepturi fundamentale atunci când se reclamă încetarea acordării unui astfel de stimulent sau drept salarial suplimentar cum este premiul anual, aşa încât nu este incident art. 41 din Constituţie, care garantează salariaţilor dreptul la salariu.</w:t>
      </w:r>
    </w:p>
    <w:p w14:paraId="6DEE09A9" w14:textId="77777777" w:rsidR="00F44B81" w:rsidRDefault="00C213B5">
      <w:pPr>
        <w:ind w:firstLine="567"/>
        <w:jc w:val="both"/>
      </w:pPr>
      <w:r>
        <w:t xml:space="preserve">    Totodată, având în vedere faptul că Legea-cadru nr. 330/2009 privind salarizarea unitară a personalului plătit din fonduri publice a prevăzut un atare drept legal pentru anul 2010, iar legiuitorul nu l-a eliminat în cursul anului 2010, premiul anual pe anul 2010 reprezintă o creanţă certă, lichidă şi exigibilă, pe care angajatul o are asupra angajatorului public şi constituie un "bun" în sensul art. 1 din Primul Protocol adiţional la Convenţia pentru apărarea drepturilor omului şi a libertăţilor fundame</w:t>
      </w:r>
      <w:r>
        <w:t>ntale. Însă dispoziţiile de lege criticate prevăd, în acelaşi timp, doar modalitatea prin care statul urmează să îşi execute întru totul această obligaţie financiară şi anume, eşalonat şi succesiv, respectiv prin creşterea, în mod corespunzător, a cuantumului salariului/soldei/indemnizaţiei de bază, fără a fi afectate în niciun fel cuantumul sau întinderea acestei creanţe. Aşadar, Curtea a concluzionat că nu se poate reţine încălcarea prevederilor constituţionale şi convenţionale la dreptul de proprietate p</w:t>
      </w:r>
      <w:r>
        <w:t>rivată.</w:t>
      </w:r>
    </w:p>
    <w:p w14:paraId="5FF58B42" w14:textId="77777777" w:rsidR="00F44B81" w:rsidRDefault="00C213B5">
      <w:pPr>
        <w:ind w:firstLine="567"/>
        <w:jc w:val="both"/>
      </w:pPr>
      <w:r>
        <w:t xml:space="preserve">    Nu a fost reţinută nici încălcarea principiului neretroactivităţii legii civile, consacrat de art. 15 alin. (2) din Constituţie. Dispoziţiile art. 8 din Legea nr. 285/2010, prin conţinutul lor normativ, nu vizează efectele juridice stinse ale unui raport juridic născut sub imperiul legii vechi, pentru a fi posibilă constatarea încălcării principiului neretroactivităţi legii.</w:t>
      </w:r>
    </w:p>
    <w:p w14:paraId="69EC4E59" w14:textId="77777777" w:rsidR="00F44B81" w:rsidRDefault="00C213B5">
      <w:pPr>
        <w:ind w:firstLine="567"/>
        <w:jc w:val="both"/>
      </w:pPr>
      <w:r>
        <w:t xml:space="preserve">    Curtea a mai constatat că majorarea salarială din anul 2011, rezultată ca urmare a includerii premiului anual din 2010 în salariul/solda/indemnizaţia de bază, este acordată şi în continuare, dovadă că de la 1 ianuarie 2012 a rămas în plată acelaşi nivel al retribuţiei, în condiţiile în care legiuitorul a ales să nu acorde niciun premiu anual pe anul 2011.</w:t>
      </w:r>
    </w:p>
    <w:p w14:paraId="29869156" w14:textId="77777777" w:rsidR="00F44B81" w:rsidRDefault="00C213B5">
      <w:pPr>
        <w:ind w:firstLine="567"/>
        <w:jc w:val="both"/>
      </w:pPr>
      <w:r>
        <w:t xml:space="preserve">    De asemenea, Curtea Constituţională a reţinut lipsa de relevanţă a actelor Uniunii Europene invocate în susţinerea excepţiei de neconstituţionalitate.</w:t>
      </w:r>
    </w:p>
    <w:p w14:paraId="2A826463" w14:textId="77777777" w:rsidR="00F44B81" w:rsidRDefault="00C213B5">
      <w:pPr>
        <w:ind w:firstLine="567"/>
        <w:jc w:val="both"/>
      </w:pPr>
      <w:r>
        <w:t xml:space="preserve">    Potrivit art. 160 din Legea nr. 53/2003 - Codul muncii, republicată, cu modificările şi completările ulterioare, salariul cuprinde salariul de bază, indemnizaţiile, sporurile, precum şi alte adaosuri.</w:t>
      </w:r>
    </w:p>
    <w:p w14:paraId="67520321" w14:textId="77777777" w:rsidR="00F44B81" w:rsidRDefault="00C213B5">
      <w:pPr>
        <w:ind w:firstLine="567"/>
        <w:jc w:val="both"/>
      </w:pPr>
      <w:r>
        <w:t xml:space="preserve">    Astfel, în doctrină, s-a considerat că salariul este un element esenţial al obiectului contractului individual de muncă, alături de prestarea muncii de către salariat, fiind definit ca remuneraţie în bani a muncii prestate, cuvenită cu titlu permanent salariatului pentru munca sa, neavând un caracter ocazional, precar sau cu titlu de recompensă.</w:t>
      </w:r>
    </w:p>
    <w:p w14:paraId="504EE8AC" w14:textId="77777777" w:rsidR="00F44B81" w:rsidRDefault="00C213B5">
      <w:pPr>
        <w:ind w:firstLine="567"/>
        <w:jc w:val="both"/>
      </w:pPr>
      <w:r>
        <w:t xml:space="preserve">    Premiile nu au, de regulă, un regim prestabilit, constant şi obligatoriu, ci reprezintă bonusuri (gratificaţii) şi sunt facultative, benevole şi variabile. Însă, potrivit doctrinei, criteriile de acordare trebuie să fie precise şi verificabile, în cazul în care primele nu se acordă </w:t>
      </w:r>
      <w:r>
        <w:lastRenderedPageBreak/>
        <w:t>tuturor salariaţilor care desfăşoară muncă egală sau de valoare egală, pentru a evita problema discriminării.</w:t>
      </w:r>
    </w:p>
    <w:p w14:paraId="7E40E699" w14:textId="77777777" w:rsidR="00F44B81" w:rsidRDefault="00C213B5">
      <w:pPr>
        <w:ind w:firstLine="567"/>
        <w:jc w:val="both"/>
      </w:pPr>
      <w:r>
        <w:t xml:space="preserve">    Prin Decizia nr. 414 din 14 iulie 2005, publicată în Monitorul Oficial al României, Partea I, nr. 780 din 26 august 2005, Curtea Constituţională a stipulat că drepturile salariale suplimentare, cum sunt primele, sporurile sau adaosurile, prevăzute în acte normative, nu constituie drepturi fundamentale consacrate în Constituţie, care nu ar mai putea fi modificate sau chiar anulate.</w:t>
      </w:r>
    </w:p>
    <w:p w14:paraId="1ADB6CCD" w14:textId="77777777" w:rsidR="00F44B81" w:rsidRDefault="00C213B5">
      <w:pPr>
        <w:ind w:firstLine="567"/>
        <w:jc w:val="both"/>
      </w:pPr>
      <w:r>
        <w:t xml:space="preserve">    Prin urmare, modificarea sau suprimarea, pentru viitor, a unui premiu nu afectează dreptul fundamental al salariatului de a primi contraprestaţie pentru munca depusă.</w:t>
      </w:r>
    </w:p>
    <w:p w14:paraId="6EE9B9A1" w14:textId="77777777" w:rsidR="00F44B81" w:rsidRDefault="00C213B5">
      <w:pPr>
        <w:ind w:firstLine="567"/>
        <w:jc w:val="both"/>
      </w:pPr>
      <w:r>
        <w:t xml:space="preserve">    În cauza de faţă, beneficiar al premiului anual este personalul plătit din fonduri publice, în cazul căruia funcţionează principiul prestabilirii salariilor prin lege, al cărui nivel stipulat se află în legătura directă în încasările şi cheltuielile din bugetul public naţional, dezechilibrarea acestuia putând avea consecinţe în ceea ce priveşte diminuarea cheltuielilor din acest buget.</w:t>
      </w:r>
    </w:p>
    <w:p w14:paraId="1783486E" w14:textId="77777777" w:rsidR="00F44B81" w:rsidRDefault="00C213B5">
      <w:pPr>
        <w:ind w:firstLine="567"/>
        <w:jc w:val="both"/>
      </w:pPr>
      <w:r>
        <w:t xml:space="preserve"> Asupra interpretării dispoziţiilor art. 8 din Legea nr. 285/2010, Curtea Constituţională s-a pronunţat atunci când a exercitat controlul de constituţionalitate al acestui articol, prin prisma dispoziţiilor referitoare la neretroactivitatea legii, garantarea dreptului la salariu, a dreptului de proprietate privată, incidenţa dispoziţiilor Convenţiei Europene a Drepturilor Omului şi ale dreptului Uniunii Europene.</w:t>
      </w:r>
    </w:p>
    <w:p w14:paraId="227E7004" w14:textId="77777777" w:rsidR="00F44B81" w:rsidRDefault="00C213B5">
      <w:pPr>
        <w:ind w:firstLine="567"/>
        <w:jc w:val="both"/>
      </w:pPr>
      <w:r>
        <w:t xml:space="preserve">    Aşa cum, în mod constant, a stipulat Curtea Constituţională, caracterul obligatoriu al deciziilor sale se extinde şi asupra considerentelor, astfel încât acestea devin obligatorii pentru cei ce procedează la interpretarea şi aplicarea respectivului articol de lege.</w:t>
      </w:r>
    </w:p>
    <w:p w14:paraId="679C0AF0" w14:textId="77777777" w:rsidR="00F44B81" w:rsidRDefault="00C213B5">
      <w:pPr>
        <w:ind w:firstLine="567"/>
        <w:jc w:val="both"/>
      </w:pPr>
      <w:r>
        <w:t xml:space="preserve">    În acest context se impune interpretarea dată de Curte referitor la faptul că dreptul la acordarea premiului anual nu a fost înlăturat prin abrogarea art. 25 din Legea-cadru nr. 330/2009, ci reprezintă, în continuare, o creanţă certă, lichidă şi exigibilă a angajatului asupra angajatorului său, modificată fiind, în concret, numai modalitatea de acordare, şi anume eşalonat şi succesiv, în cursul anului 2011, respectiv prin creşterea, în mod corespunzător, a cuantumului salariului/soldei/indemnizaţiei de </w:t>
      </w:r>
      <w:r>
        <w:t>bază.</w:t>
      </w:r>
    </w:p>
    <w:p w14:paraId="685C8FF2" w14:textId="77777777" w:rsidR="00F44B81" w:rsidRDefault="00C213B5">
      <w:pPr>
        <w:ind w:firstLine="567"/>
        <w:jc w:val="both"/>
      </w:pPr>
      <w:r>
        <w:t xml:space="preserve">    Or, raportat la această concluzie, se reţine că dreptul la premiul anual a fost menţinut şi după abrogarea art. 25 din Legea-cadru nr. 330/2009, începând cu luna ianuarie 2011. În acest sens, aceeaşi instanţă a stipulat, în deciziile menţionate, că majorarea salarială din anul 2011, rezultată ca urmare a includerii premiului anual din 2010 în salariul/solda/indemnizaţia de bază, este acordată şi în continuare.</w:t>
      </w:r>
    </w:p>
    <w:p w14:paraId="420B334C" w14:textId="77777777" w:rsidR="00F44B81" w:rsidRDefault="00C213B5">
      <w:pPr>
        <w:ind w:firstLine="567"/>
        <w:jc w:val="both"/>
      </w:pPr>
      <w:r>
        <w:t xml:space="preserve">    Curtea Constituţională, prin această interpretare cu caracter obligatoriu, a statuat asupra modalităţii în care subzistă dreptul de creanţă al angajatului în cadrul raportului juridic cu angajatorul, astfel încât el nu mai poate fi acordat în forma anterioară prevăzută de art. 25 din Legea-cadru nr. 330/2009.</w:t>
      </w:r>
    </w:p>
    <w:p w14:paraId="42BBB22B" w14:textId="77777777" w:rsidR="00F44B81" w:rsidRDefault="00C213B5">
      <w:pPr>
        <w:ind w:firstLine="567"/>
        <w:jc w:val="both"/>
      </w:pPr>
      <w:r>
        <w:t xml:space="preserve">    Din acest punct de vedere nu se poate analiza includerea premiului în majorările salariale prevăzute de art. 1 din Legea nr. 285/2010, ca argument de menţinere a dreptului la plata premiului în forma anterioară, întrucât ar contraveni celor stipulate cu forţă obligatorie de Curtea Constituţională.</w:t>
      </w:r>
    </w:p>
    <w:p w14:paraId="35AEE101" w14:textId="77777777" w:rsidR="00F44B81" w:rsidRDefault="00C213B5">
      <w:pPr>
        <w:ind w:firstLine="567"/>
        <w:jc w:val="both"/>
      </w:pPr>
      <w:r>
        <w:t xml:space="preserve">    Dreptul de a pretinde acordarea premiului sub forma unui salariu de bază scadent în prima lună a anului următor celui lucrat s-a stins odată cu abrogarea Legii-cadru nr. 330/2009, fiind înlocuit cu o nouă modalitate de plată, prevăzută de lege, prin executare succesivă.</w:t>
      </w:r>
    </w:p>
    <w:p w14:paraId="10FAC4D9" w14:textId="77777777" w:rsidR="00F44B81" w:rsidRDefault="00C213B5">
      <w:pPr>
        <w:ind w:firstLine="567"/>
        <w:jc w:val="both"/>
      </w:pPr>
      <w:r>
        <w:t xml:space="preserve">    Prin modificarea formei de executare a obligaţiei de plată a premiului anual, legiuitorul a acţionat în limitele marjei de intervenţie, recunoscută în domeniul politicii salariale, neexistând o încălcare a dreptului de proprietate privată al personalului plătit din fonduri publice asupra acestei creanţe de natură salarială.</w:t>
      </w:r>
    </w:p>
    <w:p w14:paraId="7F5E785E" w14:textId="77777777" w:rsidR="00F44B81" w:rsidRDefault="00C213B5">
      <w:pPr>
        <w:ind w:firstLine="567"/>
        <w:jc w:val="both"/>
      </w:pPr>
      <w:r>
        <w:t xml:space="preserve">    În concluzie, premiul anual aferent anului 2010, reglementat iniţial prin art. 25 din Legea-cadru nr. 330/2009, a fost inclus, potrivit art. 8 din Legea nr. 285/2010, de către legiuitor în noua reglementare salarială, sub forma unor majorări salariale stabilite în art. 1 din Legea nr. 285/2010, fără a mai putea fi acordat în forma supusă vechii reglementări.</w:t>
      </w:r>
    </w:p>
    <w:p w14:paraId="663CAF8C" w14:textId="77777777" w:rsidR="00F44B81" w:rsidRDefault="00C213B5">
      <w:pPr>
        <w:ind w:firstLine="567"/>
        <w:jc w:val="both"/>
      </w:pPr>
      <w:r>
        <w:lastRenderedPageBreak/>
        <w:t>Prin urmare, ICCJ, precum şi Curtea Constituţională prin deciziile mai sus amintite au dezlegat problema de drept obiect al litigiului, pentru perioada de referinţă în decizia privind recursul în interesul legii.</w:t>
      </w:r>
    </w:p>
    <w:p w14:paraId="41278260" w14:textId="77777777" w:rsidR="00F44B81" w:rsidRDefault="00C213B5">
      <w:pPr>
        <w:ind w:firstLine="567"/>
        <w:jc w:val="both"/>
      </w:pPr>
      <w:r>
        <w:t xml:space="preserve"> Pentru anul 2012, potrivit art. 7 alin. (2) din Legea nr. 283/2011, autorităţile şi instituţiile publice, indiferent de modul de finanţare, nu vor acorda premii şi prime de vacanţă, deci nici premiul anual.</w:t>
      </w:r>
    </w:p>
    <w:p w14:paraId="23C161A9" w14:textId="77777777" w:rsidR="00F44B81" w:rsidRDefault="00C213B5">
      <w:pPr>
        <w:ind w:firstLine="567"/>
        <w:jc w:val="both"/>
      </w:pPr>
      <w:r>
        <w:t>De asemenea pentru anul 2013, prin art. 2 din O.U.G. nr 84/2012 s-a menţionat: "prevederile art.7 alin. (1) din O.U.G. nr. 19/2012, aprobată cu modificări prin Legea nr. 182/2012 şi ale art. 1 alin (4) şi (5), art. 2, art. 3, art. 4 alin. (1) şi (2), art. 6, 7, 9, 11, art. 12 alin. (2) şi art. 13 ale art. II din Ordonanţa de urgenţă a Guvernului nr. 37/2008 privind reglementarea unor măsuri financiare în domeniul bugetar precum şi pentru instituirea altor măsuri financiare în domeniul bugetar, precum şi pen</w:t>
      </w:r>
      <w:r>
        <w:t>tru instituirea altor măsuri financiare în domeniul bugetar, aprobată cu modificări şi completări prin Legea nr. 283/2011, se aplică în mod corespunzător şi în anul 2013"</w:t>
      </w:r>
    </w:p>
    <w:p w14:paraId="4CCC607E" w14:textId="77777777" w:rsidR="00F44B81" w:rsidRDefault="00C213B5">
      <w:pPr>
        <w:ind w:firstLine="567"/>
        <w:jc w:val="both"/>
      </w:pPr>
      <w:r>
        <w:t>Pentru anul 2014, art. 9 alin (2) din O.U.G. nr. 103/2013 prevede că autorităţile şi instituţiile publice, indiferent de modul de finanţare nu vor acorda premii şi prime de vacanţă. cum prevede.</w:t>
      </w:r>
    </w:p>
    <w:p w14:paraId="579EA248" w14:textId="77777777" w:rsidR="00F44B81" w:rsidRDefault="00C213B5">
      <w:pPr>
        <w:ind w:firstLine="567"/>
        <w:jc w:val="both"/>
      </w:pPr>
      <w:r>
        <w:t>Pentru anul 2015, art. 1 alin. 1 din O.U.G. nr. 83/2014 privind salarizarea personalului plătit din fonduri publice, prevede: cuantumul sporurilor, indemnizaţiilor, compensaţiilor şi al celorlalte elemente ale sistemului de salarizare care fac parte, potrivit legii din salariul brut, solda brută, salariul lunar brut se menţine la acelaşi nivel cu cel ce se acordă personalului plătit din fonduri publice pentru luna decembrie 2014.</w:t>
      </w:r>
    </w:p>
    <w:p w14:paraId="7BC47C32" w14:textId="77777777" w:rsidR="00F44B81" w:rsidRDefault="00C213B5">
      <w:pPr>
        <w:ind w:firstLine="567"/>
        <w:jc w:val="both"/>
      </w:pPr>
      <w:r>
        <w:t xml:space="preserve">În concluzie, includerea premiului anual în salariul de bază este reglementată doar pentru anul 2011, iar începând cu anul 2012 nu există dispoziţii legale în acest sens, ci există prevederi exprese privind neacordarea de premii, astfel că pretenţiile părţii reclamante nu sunt întemeiate. </w:t>
      </w:r>
    </w:p>
    <w:p w14:paraId="3BDD746A" w14:textId="77777777" w:rsidR="00F44B81" w:rsidRDefault="00C213B5">
      <w:pPr>
        <w:ind w:firstLine="567"/>
        <w:jc w:val="both"/>
      </w:pPr>
      <w:r>
        <w:rPr>
          <w:rStyle w:val="Fontdeparagrafimplicit1"/>
          <w:b/>
          <w:i/>
        </w:rPr>
        <w:t>II. Referitor la solicitarea privind acordarea tichetelor/voucherelor de vacanţă</w:t>
      </w:r>
      <w:r>
        <w:t>, Curtea reţine:</w:t>
      </w:r>
    </w:p>
    <w:p w14:paraId="39C7CFDD" w14:textId="77777777" w:rsidR="00F44B81" w:rsidRDefault="00C213B5">
      <w:pPr>
        <w:ind w:firstLine="567"/>
        <w:jc w:val="both"/>
      </w:pPr>
      <w:r>
        <w:t xml:space="preserve">Potrivit art. 1 alin. 1 şi alin. 2 din O.U.G. nr. 8/2009 privind acordarea voucherelor de vacanţă, cu modificările şi completările ulterioare, pentru recuperarea şi întreţinerea capacităţii de muncă a personalului salarial, instituţiile publice definite conform Legii nr. 500/2002 privind finanţele publice, cu modificările şi completările ulterioare, care încadrează personal prin încheierea unui contract individual de muncă </w:t>
      </w:r>
      <w:r>
        <w:rPr>
          <w:rStyle w:val="Fontdeparagrafimplicit1"/>
          <w:i/>
        </w:rPr>
        <w:t>pot acorda, în condiţiile legii</w:t>
      </w:r>
      <w:r>
        <w:t>, bonuri de valoare, denumite în continuare vouchere de vacanţă.</w:t>
      </w:r>
    </w:p>
    <w:p w14:paraId="417E2475" w14:textId="77777777" w:rsidR="00F44B81" w:rsidRDefault="00C213B5">
      <w:pPr>
        <w:ind w:firstLine="567"/>
        <w:jc w:val="both"/>
      </w:pPr>
      <w:r>
        <w:t>În primul rând, trebuie observat faptul că textul are în vedere instituţiile publice care încadrează personal prin încheierea unui contract individual de muncă. Or, partea reclamantă are calitatea de funcţionar public cu statut special, potrivit art. 1 din Legea nr. 360/2002 privind Statutul poliţistului, acesta neavând încheiat un contract individual de muncă.</w:t>
      </w:r>
    </w:p>
    <w:p w14:paraId="1F4967CF" w14:textId="77777777" w:rsidR="00F44B81" w:rsidRDefault="00C213B5">
      <w:pPr>
        <w:ind w:firstLine="567"/>
        <w:jc w:val="both"/>
      </w:pPr>
      <w:r>
        <w:t xml:space="preserve">Apoi, din interpretarea gramaticală a dispoziţiilor mai sus enunţate, rezultă cât se poate de clar faptul că legiuitorul a prevăzut o simplă vocaţie la acordarea primei de vacanţă sub forma voucherului de vacanţă, însă nu în mod absolut, ci condiţionat de manifestarea de voinţă a autorităţii publice („pot acorda”), dar şi de dispoziţiile legale aplicabile („în condiţiile legii”). </w:t>
      </w:r>
    </w:p>
    <w:p w14:paraId="5E2038BA" w14:textId="77777777" w:rsidR="00F44B81" w:rsidRDefault="00C213B5">
      <w:pPr>
        <w:ind w:firstLine="567"/>
        <w:jc w:val="both"/>
      </w:pPr>
      <w:r>
        <w:t xml:space="preserve">Or, potrivit prevederilor art. II art. 15 alin. 2 din O.U.G. nr. 80/2010 pentru completarea art. 11 din O.U.G. nr. 37/2008 privind reglementarea unor măsuri financiare în domeniul bugetar, precum şi pentru instituirea altor măsuri financiare în domeniul bugetar, astfel cum a fost modificată şi completată de Legea nr. 283/2011 „în bugetele pe anul 2012 ale instituţiilor publice centrale şi locale, (…), </w:t>
      </w:r>
      <w:r>
        <w:rPr>
          <w:rStyle w:val="Fontdeparagrafimplicit1"/>
          <w:i/>
        </w:rPr>
        <w:t>nu se prevăd sume pentru acordarea de tichete-cadou şi tichete de vacanţă</w:t>
      </w:r>
      <w:r>
        <w:t xml:space="preserve"> personalului din cadrul acestora".</w:t>
      </w:r>
    </w:p>
    <w:p w14:paraId="152D312F" w14:textId="77777777" w:rsidR="00F44B81" w:rsidRDefault="00C213B5">
      <w:pPr>
        <w:ind w:firstLine="567"/>
        <w:jc w:val="both"/>
      </w:pPr>
      <w:r>
        <w:t>De asemenea, potrivit art. 9 din O.U.G. nr. 84/2012 privind stabilirea salariilor personalului din sectorul bugetar în anul 2013, (…) „prevederile art. 15, 18, 19 şi 20 ale art. II din O.U.G. nr. 80/2010, aprobată cu modificări şi completări prin Legea nr. 283/2011, se aplică în mod corespunzător şi în anul 2013".</w:t>
      </w:r>
    </w:p>
    <w:p w14:paraId="01C483FC" w14:textId="77777777" w:rsidR="00F44B81" w:rsidRDefault="00C213B5">
      <w:pPr>
        <w:ind w:firstLine="567"/>
        <w:jc w:val="both"/>
      </w:pPr>
      <w:r>
        <w:lastRenderedPageBreak/>
        <w:t>Apoi, potrivit art. 5 alin. 2 din O.U.G. nr. 29/2013 privind reglementarea unor măsuri bugetare, (…) „ în bugetele pe anul 2014 ale instituţiilor publice centrale şi locale, (…) nu se prevăd sume pentru acordarea de tichete-cadou şi tichete de vacantă personalului din cadrul acestora".</w:t>
      </w:r>
    </w:p>
    <w:p w14:paraId="6B081EF4" w14:textId="77777777" w:rsidR="00F44B81" w:rsidRDefault="00C213B5">
      <w:pPr>
        <w:ind w:firstLine="567"/>
        <w:jc w:val="both"/>
      </w:pPr>
      <w:r>
        <w:t>Totodată, potrivit art. 8 alin. 5 din O.U.G. nr. 83/2014 privind salarizarea personalului plătit din fonduri publice în anul 2015, (…) „în bugetele pe anul 2015 ale instituţiilor şi autorităţilor publice, (…) nu se prevăd sume pentru acordarea de tichete-cadou, tichete de vacanţă şi vouchere de vacanţă personalului din cadrul acestora ".</w:t>
      </w:r>
    </w:p>
    <w:p w14:paraId="319870A1" w14:textId="77777777" w:rsidR="00F44B81" w:rsidRDefault="00C213B5">
      <w:pPr>
        <w:ind w:firstLine="567"/>
        <w:jc w:val="both"/>
      </w:pPr>
      <w:r>
        <w:t>Prin urmare, legiuitorul a înţeles să excepteze expres de la prevederea în buget a sumelor pentru acordarea de tichete-cadou, tichete de vacanţă şi vouchere de vacanţă personalului din cadrul autorităţilor şi instituţiilor publice centrale şi locale, aceasta fiind o măsură de politică financiară ce ţine exclusiv de resortul legiuitorului, dispoziţiile neputând fi înlăturate de instanţă de la aplicare pe cale de interpretare.</w:t>
      </w:r>
    </w:p>
    <w:p w14:paraId="40258FF4" w14:textId="77777777" w:rsidR="00F44B81" w:rsidRDefault="00C213B5">
      <w:pPr>
        <w:ind w:firstLine="567"/>
        <w:jc w:val="both"/>
      </w:pPr>
      <w:r>
        <w:t xml:space="preserve">In fine, în ceea ce priveşte celelalte motive de recurs, privind calitatea procesual pasivă nu se mai impune analiza soluţiei instanţei de fond, faţă de motivele de recurs deja înlăturate ca neîntemeiate. </w:t>
      </w:r>
    </w:p>
    <w:p w14:paraId="7C1057B5" w14:textId="77777777" w:rsidR="00F44B81" w:rsidRDefault="00C213B5">
      <w:pPr>
        <w:ind w:firstLine="567"/>
        <w:jc w:val="both"/>
        <w:rPr>
          <w:rStyle w:val="Fontdeparagrafimplicit1"/>
          <w:b/>
        </w:rPr>
      </w:pPr>
      <w:r>
        <w:t>Prin urmare, în baza art. 496 Cpc Curtea va respinge recursul ca nefondat.</w:t>
      </w:r>
    </w:p>
    <w:p w14:paraId="1A01B351" w14:textId="77777777" w:rsidR="00F44B81" w:rsidRDefault="00F44B81">
      <w:pPr>
        <w:tabs>
          <w:tab w:val="left" w:pos="0"/>
          <w:tab w:val="left" w:pos="915"/>
        </w:tabs>
        <w:ind w:firstLine="567"/>
        <w:jc w:val="both"/>
        <w:rPr>
          <w:rStyle w:val="Fontdeparagrafimplicit1"/>
          <w:b/>
        </w:rPr>
      </w:pPr>
    </w:p>
    <w:p w14:paraId="4E48E7F1" w14:textId="77777777" w:rsidR="00F44B81" w:rsidRDefault="00F44B81">
      <w:pPr>
        <w:tabs>
          <w:tab w:val="left" w:pos="0"/>
          <w:tab w:val="left" w:pos="915"/>
        </w:tabs>
        <w:ind w:firstLine="567"/>
        <w:jc w:val="both"/>
        <w:rPr>
          <w:rStyle w:val="Fontdeparagrafimplicit1"/>
          <w:b/>
        </w:rPr>
      </w:pPr>
    </w:p>
    <w:p w14:paraId="5DF6E742" w14:textId="77777777" w:rsidR="00F44B81" w:rsidRDefault="00C213B5">
      <w:pPr>
        <w:tabs>
          <w:tab w:val="left" w:pos="0"/>
          <w:tab w:val="left" w:pos="915"/>
        </w:tabs>
        <w:ind w:firstLine="567"/>
        <w:jc w:val="both"/>
        <w:rPr>
          <w:rStyle w:val="Fontdeparagrafimplicit1"/>
          <w:b/>
        </w:rPr>
      </w:pPr>
      <w:r>
        <w:rPr>
          <w:rStyle w:val="Fontdeparagrafimplicit1"/>
          <w:b/>
        </w:rPr>
        <w:t xml:space="preserve">                                       PENTRU ACESTE MOTIVE,</w:t>
      </w:r>
    </w:p>
    <w:p w14:paraId="6412BF98" w14:textId="77777777" w:rsidR="00F44B81" w:rsidRDefault="00C213B5">
      <w:pPr>
        <w:tabs>
          <w:tab w:val="left" w:pos="915"/>
        </w:tabs>
        <w:jc w:val="center"/>
        <w:rPr>
          <w:rStyle w:val="Fontdeparagrafimplicit1"/>
          <w:b/>
        </w:rPr>
      </w:pPr>
      <w:r>
        <w:rPr>
          <w:rStyle w:val="Fontdeparagrafimplicit1"/>
          <w:b/>
        </w:rPr>
        <w:t xml:space="preserve">  ÎN NUMELE LEGII,</w:t>
      </w:r>
    </w:p>
    <w:p w14:paraId="3E4D0448" w14:textId="77777777" w:rsidR="00F44B81" w:rsidRDefault="00C213B5">
      <w:pPr>
        <w:tabs>
          <w:tab w:val="left" w:pos="915"/>
        </w:tabs>
        <w:jc w:val="center"/>
        <w:rPr>
          <w:rStyle w:val="Fontdeparagrafimplicit1"/>
          <w:b/>
        </w:rPr>
      </w:pPr>
      <w:r>
        <w:rPr>
          <w:rStyle w:val="Fontdeparagrafimplicit1"/>
          <w:b/>
        </w:rPr>
        <w:t>DECIDE:</w:t>
      </w:r>
    </w:p>
    <w:p w14:paraId="2BAA24BC" w14:textId="77777777" w:rsidR="00F44B81" w:rsidRDefault="00F44B81">
      <w:pPr>
        <w:tabs>
          <w:tab w:val="left" w:pos="915"/>
        </w:tabs>
        <w:jc w:val="center"/>
        <w:rPr>
          <w:rStyle w:val="Fontdeparagrafimplicit1"/>
          <w:b/>
        </w:rPr>
      </w:pPr>
    </w:p>
    <w:p w14:paraId="39500D53" w14:textId="77777777" w:rsidR="00F44B81" w:rsidRDefault="00F44B81">
      <w:pPr>
        <w:tabs>
          <w:tab w:val="left" w:pos="915"/>
        </w:tabs>
        <w:jc w:val="center"/>
        <w:rPr>
          <w:rStyle w:val="Fontdeparagrafimplicit1"/>
          <w:b/>
        </w:rPr>
      </w:pPr>
    </w:p>
    <w:p w14:paraId="4F1BF880" w14:textId="6A225BBB" w:rsidR="00F44B81" w:rsidRDefault="00C213B5">
      <w:pPr>
        <w:tabs>
          <w:tab w:val="left" w:pos="915"/>
        </w:tabs>
        <w:jc w:val="both"/>
      </w:pPr>
      <w:r>
        <w:tab/>
        <w:t xml:space="preserve">Respinge recursul formulat de recurentul-reclamant </w:t>
      </w:r>
      <w:r w:rsidR="00C90141">
        <w:rPr>
          <w:rStyle w:val="Fontdeparagrafimplicit1"/>
          <w:b/>
        </w:rPr>
        <w:t>SCL</w:t>
      </w:r>
      <w:r>
        <w:rPr>
          <w:rStyle w:val="Fontdeparagrafimplicit1"/>
          <w:b/>
        </w:rPr>
        <w:t>,</w:t>
      </w:r>
      <w:r>
        <w:t xml:space="preserve"> cu domiciliul ales la CAB AV </w:t>
      </w:r>
      <w:r w:rsidR="00C90141">
        <w:t>...</w:t>
      </w:r>
      <w:r>
        <w:t xml:space="preserve"> </w:t>
      </w:r>
      <w:r w:rsidR="00C90141">
        <w:t>...</w:t>
      </w:r>
      <w:r>
        <w:t xml:space="preserve">, STR. </w:t>
      </w:r>
      <w:r w:rsidR="00C90141">
        <w:t>...</w:t>
      </w:r>
      <w:r>
        <w:t xml:space="preserve">, nr. </w:t>
      </w:r>
      <w:r w:rsidR="00C90141">
        <w:t>...</w:t>
      </w:r>
      <w:r>
        <w:t xml:space="preserve">, bl. </w:t>
      </w:r>
      <w:r w:rsidR="00C90141">
        <w:t>..</w:t>
      </w:r>
      <w:r>
        <w:t xml:space="preserve">, ap. </w:t>
      </w:r>
      <w:r w:rsidR="00C90141">
        <w:t>..</w:t>
      </w:r>
      <w:r>
        <w:t xml:space="preserve">, loc. </w:t>
      </w:r>
      <w:r w:rsidR="00C90141">
        <w:t>..</w:t>
      </w:r>
      <w:r>
        <w:t xml:space="preserve">, jud. </w:t>
      </w:r>
      <w:r w:rsidR="00C90141">
        <w:t>Z</w:t>
      </w:r>
      <w:r>
        <w:rPr>
          <w:rStyle w:val="Fontdeparagrafimplicit1"/>
          <w:i/>
        </w:rPr>
        <w:t xml:space="preserve">, împotriva sentinţei civile nr. </w:t>
      </w:r>
      <w:r w:rsidR="00C90141">
        <w:rPr>
          <w:rStyle w:val="Fontdeparagrafimplicit1"/>
          <w:i/>
        </w:rPr>
        <w:t>....</w:t>
      </w:r>
      <w:r>
        <w:rPr>
          <w:rStyle w:val="Fontdeparagrafimplicit1"/>
          <w:i/>
        </w:rPr>
        <w:t xml:space="preserve">2015, pronunţate de Tribunalul </w:t>
      </w:r>
      <w:r w:rsidR="00C90141">
        <w:rPr>
          <w:rStyle w:val="Fontdeparagrafimplicit1"/>
          <w:i/>
        </w:rPr>
        <w:t>Z</w:t>
      </w:r>
      <w:r>
        <w:t xml:space="preserve">, în contradictoriu cu intimaţii-pârâţi </w:t>
      </w:r>
      <w:r>
        <w:rPr>
          <w:rStyle w:val="Fontdeparagrafimplicit1"/>
          <w:b/>
        </w:rPr>
        <w:t xml:space="preserve">I P J </w:t>
      </w:r>
      <w:r w:rsidR="00C90141">
        <w:rPr>
          <w:rStyle w:val="Fontdeparagrafimplicit1"/>
          <w:b/>
        </w:rPr>
        <w:t>Z</w:t>
      </w:r>
      <w:r>
        <w:rPr>
          <w:rStyle w:val="Fontdeparagrafimplicit1"/>
          <w:b/>
        </w:rPr>
        <w:t xml:space="preserve">, </w:t>
      </w:r>
      <w:r>
        <w:t xml:space="preserve">cu sediul în jud. </w:t>
      </w:r>
      <w:r w:rsidR="00C90141">
        <w:t>Z</w:t>
      </w:r>
      <w:r>
        <w:t xml:space="preserve">, loc. </w:t>
      </w:r>
      <w:r w:rsidR="00C90141">
        <w:t>A</w:t>
      </w:r>
      <w:r>
        <w:t xml:space="preserve">, </w:t>
      </w:r>
      <w:r w:rsidR="00C90141">
        <w:t>....</w:t>
      </w:r>
      <w:r>
        <w:t xml:space="preserve">, nr. </w:t>
      </w:r>
      <w:r w:rsidR="00C90141">
        <w:t>...</w:t>
      </w:r>
      <w:r>
        <w:t>,</w:t>
      </w:r>
      <w:r>
        <w:rPr>
          <w:rStyle w:val="Fontdeparagrafimplicit1"/>
          <w:b/>
          <w:color w:val="0B3857"/>
          <w:sz w:val="17"/>
        </w:rPr>
        <w:t xml:space="preserve"> </w:t>
      </w:r>
      <w:r>
        <w:rPr>
          <w:rStyle w:val="Fontdeparagrafimplicit1"/>
          <w:b/>
        </w:rPr>
        <w:t xml:space="preserve">INSPECTORATUL GENERAL AL POLITIEI ROMÂNE </w:t>
      </w:r>
      <w:r w:rsidR="00C90141">
        <w:rPr>
          <w:rStyle w:val="Fontdeparagrafimplicit1"/>
          <w:b/>
        </w:rPr>
        <w:t>B</w:t>
      </w:r>
      <w:r>
        <w:rPr>
          <w:rStyle w:val="Fontdeparagrafimplicit1"/>
          <w:b/>
        </w:rPr>
        <w:t xml:space="preserve">, </w:t>
      </w:r>
      <w:r>
        <w:t xml:space="preserve">cu sediul în </w:t>
      </w:r>
      <w:r w:rsidR="00C90141">
        <w:t>...</w:t>
      </w:r>
      <w:r>
        <w:t xml:space="preserve">, </w:t>
      </w:r>
      <w:r w:rsidR="00C90141">
        <w:t>X</w:t>
      </w:r>
      <w:r>
        <w:t xml:space="preserve">, STR. </w:t>
      </w:r>
      <w:r w:rsidR="00C90141">
        <w:t>...</w:t>
      </w:r>
      <w:r>
        <w:t xml:space="preserve">, nr. </w:t>
      </w:r>
      <w:r w:rsidR="00C90141">
        <w:t>...</w:t>
      </w:r>
      <w:r>
        <w:t xml:space="preserve">, </w:t>
      </w:r>
      <w:r>
        <w:rPr>
          <w:rStyle w:val="Fontdeparagrafimplicit1"/>
          <w:b/>
        </w:rPr>
        <w:t xml:space="preserve">MINISTERUL AFACERILOR INTERNE, </w:t>
      </w:r>
      <w:r>
        <w:t xml:space="preserve">cu sediul în </w:t>
      </w:r>
      <w:r w:rsidR="00C90141">
        <w:t>...</w:t>
      </w:r>
      <w:r>
        <w:t xml:space="preserve">, </w:t>
      </w:r>
      <w:r w:rsidR="00C90141">
        <w:t>X</w:t>
      </w:r>
      <w:r>
        <w:t xml:space="preserve">, </w:t>
      </w:r>
      <w:r w:rsidR="00C90141">
        <w:t>...</w:t>
      </w:r>
      <w:r>
        <w:t xml:space="preserve">, nr. </w:t>
      </w:r>
      <w:r w:rsidR="00C90141">
        <w:t>...</w:t>
      </w:r>
      <w:r>
        <w:t>,</w:t>
      </w:r>
      <w:r>
        <w:rPr>
          <w:rStyle w:val="Fontdeparagrafimplicit1"/>
          <w:b/>
        </w:rPr>
        <w:t xml:space="preserve"> MINISTERUL FINANTELOR PUBLICE</w:t>
      </w:r>
      <w:r>
        <w:t xml:space="preserve">, cu sediul în </w:t>
      </w:r>
      <w:r w:rsidR="00C90141">
        <w:t>...</w:t>
      </w:r>
      <w:r>
        <w:t xml:space="preserve"> </w:t>
      </w:r>
      <w:r w:rsidR="00C90141">
        <w:t>X</w:t>
      </w:r>
      <w:r>
        <w:t xml:space="preserve">, STR </w:t>
      </w:r>
      <w:r w:rsidR="00C90141">
        <w:t>...</w:t>
      </w:r>
      <w:r>
        <w:t xml:space="preserve">, nr. </w:t>
      </w:r>
      <w:r w:rsidR="00C90141">
        <w:t>...</w:t>
      </w:r>
      <w:r>
        <w:t>, ca nefondat.</w:t>
      </w:r>
    </w:p>
    <w:p w14:paraId="7F192E0C" w14:textId="77777777" w:rsidR="00F44B81" w:rsidRDefault="00C213B5">
      <w:pPr>
        <w:tabs>
          <w:tab w:val="left" w:pos="915"/>
        </w:tabs>
        <w:jc w:val="both"/>
      </w:pPr>
      <w:r>
        <w:tab/>
        <w:t xml:space="preserve">Definitivă. </w:t>
      </w:r>
    </w:p>
    <w:p w14:paraId="0408839D" w14:textId="4DFE5005" w:rsidR="00F44B81" w:rsidRDefault="00C213B5">
      <w:pPr>
        <w:tabs>
          <w:tab w:val="left" w:pos="915"/>
        </w:tabs>
        <w:jc w:val="both"/>
      </w:pPr>
      <w:r>
        <w:tab/>
        <w:t xml:space="preserve">Pronunţată în şedinţă publică, azi, </w:t>
      </w:r>
      <w:r w:rsidR="00C90141">
        <w:t>....</w:t>
      </w:r>
      <w:r>
        <w:t>2016.</w:t>
      </w:r>
    </w:p>
    <w:p w14:paraId="55ADDE3F" w14:textId="77777777" w:rsidR="00F44B81" w:rsidRDefault="00F44B81">
      <w:pPr>
        <w:tabs>
          <w:tab w:val="left" w:pos="915"/>
        </w:tabs>
        <w:jc w:val="both"/>
        <w:rPr>
          <w:rStyle w:val="Fontdeparagrafimplicit1"/>
          <w:b/>
          <w:i/>
        </w:rPr>
      </w:pPr>
    </w:p>
    <w:p w14:paraId="0A340A48" w14:textId="77777777" w:rsidR="00F44B81" w:rsidRDefault="00C213B5">
      <w:pPr>
        <w:ind w:firstLine="708"/>
      </w:pPr>
      <w:r>
        <w:t>PREŞEDINTE,</w:t>
      </w:r>
      <w:r>
        <w:tab/>
        <w:t xml:space="preserve">                       JUDECĂTOR,                        JUDECĂTOR,</w:t>
      </w:r>
    </w:p>
    <w:p w14:paraId="097B1525" w14:textId="5552AEAE" w:rsidR="00F44B81" w:rsidRDefault="00C213B5">
      <w:pPr>
        <w:ind w:firstLine="708"/>
      </w:pPr>
      <w:r>
        <w:t>A0017</w:t>
      </w:r>
      <w:r w:rsidR="0081159A">
        <w:tab/>
        <w:t xml:space="preserve">        </w:t>
      </w:r>
      <w:r>
        <w:t xml:space="preserve">                                    </w:t>
      </w:r>
      <w:r w:rsidR="0081159A">
        <w:t xml:space="preserve">   </w:t>
      </w:r>
      <w:r>
        <w:t>....</w:t>
      </w:r>
      <w:r w:rsidR="0081159A">
        <w:t xml:space="preserve">    </w:t>
      </w:r>
      <w:r>
        <w:t xml:space="preserve">                          </w:t>
      </w:r>
      <w:r w:rsidR="0081159A">
        <w:t xml:space="preserve">          </w:t>
      </w:r>
      <w:r>
        <w:t>....</w:t>
      </w:r>
      <w:r w:rsidR="0081159A">
        <w:t xml:space="preserve"> </w:t>
      </w:r>
    </w:p>
    <w:p w14:paraId="51E6EDA1" w14:textId="77777777" w:rsidR="00F44B81" w:rsidRDefault="00F44B81">
      <w:pPr>
        <w:ind w:firstLine="708"/>
      </w:pPr>
    </w:p>
    <w:p w14:paraId="23371461" w14:textId="77777777" w:rsidR="00F44B81" w:rsidRDefault="00C213B5">
      <w:pPr>
        <w:ind w:firstLine="708"/>
      </w:pPr>
      <w:r>
        <w:tab/>
      </w:r>
    </w:p>
    <w:p w14:paraId="13158D61" w14:textId="77777777" w:rsidR="00F44B81" w:rsidRDefault="00F44B81"/>
    <w:p w14:paraId="3CDD884C" w14:textId="60043EEC" w:rsidR="00F44B81" w:rsidRDefault="00C213B5">
      <w:pPr>
        <w:tabs>
          <w:tab w:val="left" w:pos="708"/>
          <w:tab w:val="left" w:pos="1416"/>
          <w:tab w:val="left" w:pos="2124"/>
          <w:tab w:val="left" w:pos="2832"/>
          <w:tab w:val="left" w:pos="3540"/>
          <w:tab w:val="left" w:pos="4248"/>
          <w:tab w:val="left" w:pos="4956"/>
          <w:tab w:val="left" w:pos="5664"/>
          <w:tab w:val="left" w:pos="6372"/>
          <w:tab w:val="left" w:pos="7080"/>
          <w:tab w:val="left" w:pos="8023"/>
        </w:tabs>
      </w:pPr>
      <w:r>
        <w:tab/>
      </w:r>
      <w:r>
        <w:tab/>
      </w:r>
      <w:r>
        <w:tab/>
      </w:r>
      <w:r>
        <w:tab/>
      </w:r>
      <w:r>
        <w:tab/>
      </w:r>
      <w:r>
        <w:tab/>
      </w:r>
      <w:r>
        <w:tab/>
      </w:r>
      <w:r>
        <w:tab/>
      </w:r>
      <w:r>
        <w:tab/>
        <w:t xml:space="preserve">        </w:t>
      </w:r>
      <w:r>
        <w:tab/>
        <w:t xml:space="preserve">           GREFIER,</w:t>
      </w:r>
      <w:r>
        <w:tab/>
      </w:r>
      <w:r>
        <w:tab/>
      </w:r>
      <w:r>
        <w:tab/>
      </w:r>
      <w:r>
        <w:tab/>
      </w:r>
      <w:r>
        <w:tab/>
      </w:r>
      <w:r>
        <w:tab/>
      </w:r>
      <w:r>
        <w:tab/>
      </w:r>
      <w:r>
        <w:tab/>
        <w:t xml:space="preserve">                         </w:t>
      </w:r>
      <w:r w:rsidR="00C90141">
        <w:t xml:space="preserve"> </w:t>
      </w:r>
      <w:r>
        <w:t xml:space="preserve">     </w:t>
      </w:r>
      <w:r w:rsidR="00C90141">
        <w:t>....</w:t>
      </w:r>
    </w:p>
    <w:p w14:paraId="19C29F15" w14:textId="77777777" w:rsidR="00F44B81" w:rsidRDefault="00F44B81">
      <w:pPr>
        <w:tabs>
          <w:tab w:val="left" w:pos="1590"/>
        </w:tabs>
        <w:rPr>
          <w:rStyle w:val="Fontdeparagrafimplicit1"/>
          <w:color w:val="000000"/>
        </w:rPr>
      </w:pPr>
    </w:p>
    <w:p w14:paraId="5A5DA971" w14:textId="77777777" w:rsidR="00F44B81" w:rsidRDefault="00F44B81">
      <w:pPr>
        <w:tabs>
          <w:tab w:val="left" w:pos="1590"/>
        </w:tabs>
        <w:rPr>
          <w:rStyle w:val="Fontdeparagrafimplicit1"/>
          <w:color w:val="000000"/>
        </w:rPr>
      </w:pPr>
    </w:p>
    <w:p w14:paraId="563A3276" w14:textId="77777777" w:rsidR="00F44B81" w:rsidRDefault="00F44B81">
      <w:pPr>
        <w:tabs>
          <w:tab w:val="left" w:pos="1590"/>
        </w:tabs>
        <w:rPr>
          <w:rStyle w:val="Fontdeparagrafimplicit1"/>
          <w:color w:val="000000"/>
        </w:rPr>
      </w:pPr>
    </w:p>
    <w:p w14:paraId="11AEAD9D" w14:textId="77777777" w:rsidR="00F44B81" w:rsidRDefault="00F44B81">
      <w:pPr>
        <w:tabs>
          <w:tab w:val="left" w:pos="1590"/>
        </w:tabs>
        <w:rPr>
          <w:rStyle w:val="Fontdeparagrafimplicit1"/>
          <w:color w:val="000000"/>
        </w:rPr>
      </w:pPr>
    </w:p>
    <w:p w14:paraId="75472438" w14:textId="5447882C" w:rsidR="00F44B81" w:rsidRDefault="00C213B5">
      <w:pPr>
        <w:tabs>
          <w:tab w:val="left" w:pos="1590"/>
        </w:tabs>
        <w:rPr>
          <w:rStyle w:val="Fontdeparagrafimplicit1"/>
          <w:color w:val="000000"/>
          <w:sz w:val="16"/>
        </w:rPr>
      </w:pPr>
      <w:r>
        <w:rPr>
          <w:rStyle w:val="Fontdeparagrafimplicit1"/>
          <w:color w:val="000000"/>
          <w:sz w:val="16"/>
        </w:rPr>
        <w:t>Red./tehnored./</w:t>
      </w:r>
      <w:r w:rsidR="00C90141">
        <w:rPr>
          <w:rStyle w:val="Fontdeparagrafimplicit1"/>
          <w:color w:val="000000"/>
          <w:sz w:val="16"/>
        </w:rPr>
        <w:t xml:space="preserve">A0017 </w:t>
      </w:r>
      <w:r>
        <w:rPr>
          <w:rStyle w:val="Fontdeparagrafimplicit1"/>
          <w:color w:val="000000"/>
          <w:sz w:val="16"/>
        </w:rPr>
        <w:t xml:space="preserve">2016/  ex. </w:t>
      </w:r>
    </w:p>
    <w:p w14:paraId="45455D6C" w14:textId="54D30BBB" w:rsidR="00F44B81" w:rsidRDefault="00C213B5">
      <w:pPr>
        <w:tabs>
          <w:tab w:val="left" w:pos="1590"/>
        </w:tabs>
        <w:rPr>
          <w:rStyle w:val="Fontdeparagrafimplicit1"/>
          <w:sz w:val="16"/>
        </w:rPr>
      </w:pPr>
      <w:r>
        <w:rPr>
          <w:rStyle w:val="Fontdeparagrafimplicit1"/>
          <w:color w:val="000000"/>
          <w:sz w:val="16"/>
        </w:rPr>
        <w:t xml:space="preserve">Tribunalul </w:t>
      </w:r>
      <w:r w:rsidR="00C90141">
        <w:rPr>
          <w:rStyle w:val="Fontdeparagrafimplicit1"/>
          <w:color w:val="000000"/>
          <w:sz w:val="16"/>
        </w:rPr>
        <w:t>Z</w:t>
      </w:r>
      <w:r>
        <w:rPr>
          <w:rStyle w:val="Fontdeparagrafimplicit1"/>
          <w:color w:val="000000"/>
          <w:sz w:val="16"/>
        </w:rPr>
        <w:t xml:space="preserve">– </w:t>
      </w:r>
      <w:r w:rsidR="00C90141">
        <w:rPr>
          <w:rStyle w:val="Fontdeparagrafimplicit1"/>
          <w:color w:val="000000"/>
          <w:sz w:val="16"/>
        </w:rPr>
        <w:t>....</w:t>
      </w:r>
    </w:p>
    <w:p w14:paraId="111DD36D" w14:textId="77777777" w:rsidR="00F44B81" w:rsidRDefault="00F44B81">
      <w:pPr>
        <w:rPr>
          <w:rStyle w:val="Fontdeparagrafimplicit1"/>
          <w:rFonts w:ascii="Garamond" w:hAnsi="Garamond"/>
          <w:sz w:val="16"/>
        </w:rPr>
      </w:pPr>
    </w:p>
    <w:sectPr w:rsidR="00F44B81">
      <w:pgSz w:w="11906" w:h="16838"/>
      <w:pgMar w:top="851" w:right="851" w:bottom="851"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characterSpacingControl w:val="doNotCompress"/>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1.48.53:80/ecris_cdms/document_upload.aspx?id_document=200000002277640&amp;id_departament=5&amp;id_sesiune=1902008&amp;id_user=847&amp;id_institutie=2&amp;actiune=modifica"/>
  </w:docVars>
  <w:rsids>
    <w:rsidRoot w:val="00F44B81"/>
    <w:rsid w:val="004B5ADE"/>
    <w:rsid w:val="0081159A"/>
    <w:rsid w:val="00C213B5"/>
    <w:rsid w:val="00C90141"/>
    <w:rsid w:val="00D33650"/>
    <w:rsid w:val="00F44B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6199DA"/>
  <w15:docId w15:val="{B9FD2EE7-40DC-43BC-91B4-5B4D7F787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Fontdeparagrafimplicit1">
    <w:name w:val="Font de paragraf implicit1"/>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7</Pages>
  <Words>3934</Words>
  <Characters>22820</Characters>
  <Application>Microsoft Office Word</Application>
  <DocSecurity>0</DocSecurity>
  <Lines>190</Lines>
  <Paragraphs>53</Paragraphs>
  <ScaleCrop>false</ScaleCrop>
  <Manager/>
  <Company/>
  <LinksUpToDate>false</LinksUpToDate>
  <CharactersWithSpaces>26701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dcterms:created xsi:type="dcterms:W3CDTF">2026-09-03T07:34:00Z</dcterms:created>
  <dcterms:modified xsi:type="dcterms:W3CDTF">2026-09-03T07:34:00Z</dcterms:modified>
  <cp:category/>
  <dc:identifier/>
  <cp:contentStatus/>
  <dc:language/>
  <cp:version/>
</cp:coreProperties>
</file>