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8623E3" w14:paraId="06548D68" w14:textId="77777777">
      <w:pPr>
        <w:ind w:firstLine="720"/>
        <w:jc w:val="center"/>
      </w:pPr>
      <w:r>
        <w:t>R O M Â N I A</w:t>
      </w:r>
    </w:p>
    <w:p w:rsidR="008623E3" w14:paraId="74C171EB" w14:textId="21788B4F">
      <w:pPr>
        <w:ind w:firstLine="720"/>
        <w:jc w:val="center"/>
      </w:pPr>
      <w:r>
        <w:t xml:space="preserve">CURTEA DE APEL </w:t>
      </w:r>
      <w:r w:rsidR="00261F2E">
        <w:t>...........</w:t>
      </w:r>
    </w:p>
    <w:p w:rsidR="008623E3" w14:paraId="3C3C4BD8" w14:textId="3500C4A3">
      <w:pPr>
        <w:ind w:firstLine="720"/>
        <w:jc w:val="center"/>
      </w:pPr>
      <w:r>
        <w:t xml:space="preserve">SECŢIA </w:t>
      </w:r>
      <w:r w:rsidR="00261F2E">
        <w:t>...........</w:t>
      </w:r>
    </w:p>
    <w:p w:rsidR="008623E3" w14:paraId="70366087" w14:textId="0584559E">
      <w:pPr>
        <w:ind w:firstLine="720"/>
        <w:jc w:val="center"/>
      </w:pPr>
      <w:r>
        <w:t xml:space="preserve">Complet </w:t>
      </w:r>
      <w:r w:rsidR="00261F2E">
        <w:t>........</w:t>
      </w:r>
    </w:p>
    <w:p w:rsidR="008623E3" w14:paraId="71220AAF" w14:textId="77777777">
      <w:pPr>
        <w:ind w:firstLine="720"/>
        <w:jc w:val="center"/>
      </w:pPr>
      <w:r>
        <w:t>Prezentul document este supus reglementărilor aflate sub incidenţa  Regulamentului U.E. 2016/679</w:t>
      </w:r>
    </w:p>
    <w:p w:rsidR="008623E3" w14:paraId="4200CE4A" w14:textId="77777777">
      <w:pPr>
        <w:tabs>
          <w:tab w:val="left" w:pos="1620"/>
          <w:tab w:val="left" w:pos="1995"/>
        </w:tabs>
        <w:ind w:firstLine="720"/>
        <w:jc w:val="both"/>
      </w:pPr>
    </w:p>
    <w:p w:rsidR="008623E3" w14:paraId="33F6CA52" w14:textId="6D2D280A">
      <w:pPr>
        <w:ind w:firstLine="720"/>
      </w:pPr>
      <w:r>
        <w:t>Cod ECLI    ECLI:RO:</w:t>
      </w:r>
      <w:r w:rsidR="00261F2E">
        <w:t>...........</w:t>
      </w:r>
    </w:p>
    <w:p w:rsidRPr="00261F2E" w:rsidR="008623E3" w14:paraId="1DBC72AC" w14:textId="4A1CCC65">
      <w:pPr>
        <w:ind w:firstLine="720"/>
        <w:rPr>
          <w:rStyle w:val="Fontdeparagrafimplicit"/>
          <w:b/>
          <w:lang w:val="pt-PT"/>
        </w:rPr>
      </w:pPr>
      <w:r w:rsidRPr="00261F2E">
        <w:rPr>
          <w:rStyle w:val="Fontdeparagrafimplicit"/>
          <w:b/>
          <w:lang w:val="pt-PT"/>
        </w:rPr>
        <w:t xml:space="preserve">Dosar nr. </w:t>
      </w:r>
      <w:r w:rsidR="00261F2E">
        <w:rPr>
          <w:rStyle w:val="Fontdeparagrafimplicit"/>
          <w:b/>
          <w:lang w:val="pt-PT"/>
        </w:rPr>
        <w:t xml:space="preserve">2 </w:t>
      </w:r>
    </w:p>
    <w:p w:rsidRPr="00261F2E" w:rsidR="008623E3" w14:paraId="618803E1" w14:textId="77777777">
      <w:pPr>
        <w:ind w:firstLine="720"/>
        <w:rPr>
          <w:rStyle w:val="Fontdeparagrafimplicit"/>
          <w:lang w:val="pt-PT"/>
        </w:rPr>
      </w:pPr>
    </w:p>
    <w:p w:rsidRPr="00261F2E" w:rsidR="008623E3" w14:paraId="3A09AEF2" w14:textId="3CEFAC8B">
      <w:pPr>
        <w:ind w:firstLine="720"/>
        <w:jc w:val="center"/>
        <w:rPr>
          <w:rStyle w:val="Fontdeparagrafimplicit"/>
          <w:b/>
          <w:lang w:val="pt-PT"/>
        </w:rPr>
      </w:pPr>
      <w:r w:rsidRPr="00261F2E">
        <w:rPr>
          <w:rStyle w:val="Fontdeparagrafimplicit"/>
          <w:b/>
          <w:lang w:val="pt-PT"/>
        </w:rPr>
        <w:t xml:space="preserve"> DECIZIA CIVILĂ NR. </w:t>
      </w:r>
      <w:r w:rsidR="00261F2E">
        <w:rPr>
          <w:rStyle w:val="Fontdeparagrafimplicit"/>
          <w:b/>
          <w:lang w:val="pt-PT"/>
        </w:rPr>
        <w:t xml:space="preserve">2 </w:t>
      </w:r>
    </w:p>
    <w:p w:rsidR="008623E3" w14:paraId="20895C72" w14:textId="2D4C192E">
      <w:pPr>
        <w:ind w:firstLine="720"/>
        <w:jc w:val="center"/>
      </w:pPr>
      <w:r>
        <w:t xml:space="preserve">Şedinţa publică din data de </w:t>
      </w:r>
      <w:r w:rsidR="00261F2E">
        <w:t>..........</w:t>
      </w:r>
    </w:p>
    <w:p w:rsidR="008623E3" w14:paraId="50AC55C8" w14:textId="77777777">
      <w:pPr>
        <w:ind w:firstLine="720"/>
        <w:jc w:val="center"/>
      </w:pPr>
      <w:r>
        <w:t>Instanţa constituită din:</w:t>
      </w:r>
    </w:p>
    <w:p w:rsidR="008623E3" w14:paraId="7E63C7B9" w14:textId="007DFADB">
      <w:pPr>
        <w:ind w:firstLine="720"/>
        <w:jc w:val="center"/>
      </w:pPr>
      <w:r>
        <w:t xml:space="preserve">PREŞEDINTE: </w:t>
      </w:r>
      <w:r w:rsidR="00261F2E">
        <w:t>..........</w:t>
      </w:r>
    </w:p>
    <w:p w:rsidR="008623E3" w14:paraId="54F1FDE4" w14:textId="21B07D43">
      <w:pPr>
        <w:ind w:firstLine="720"/>
        <w:jc w:val="center"/>
      </w:pPr>
      <w:r>
        <w:t xml:space="preserve">JUDECĂTOR: </w:t>
      </w:r>
      <w:r w:rsidR="00261F2E">
        <w:t>A0019</w:t>
      </w:r>
    </w:p>
    <w:p w:rsidR="008623E3" w14:paraId="62A5ED11" w14:textId="32F3E8B0">
      <w:pPr>
        <w:ind w:firstLine="720"/>
        <w:jc w:val="center"/>
      </w:pPr>
      <w:r>
        <w:t xml:space="preserve">GREFIER: </w:t>
      </w:r>
      <w:r w:rsidR="00261F2E">
        <w:t xml:space="preserve">............. </w:t>
      </w:r>
    </w:p>
    <w:p w:rsidR="008623E3" w14:paraId="12848BD5" w14:textId="77777777">
      <w:pPr>
        <w:ind w:firstLine="720"/>
        <w:jc w:val="center"/>
      </w:pPr>
    </w:p>
    <w:p w:rsidR="008623E3" w14:paraId="01F51804" w14:textId="0A2B6BF4">
      <w:pPr>
        <w:ind w:firstLine="720"/>
        <w:jc w:val="both"/>
      </w:pPr>
      <w:r>
        <w:t xml:space="preserve">S-a luat în examinare, în vederea pronunţării, contestaţia în anulare formulată de contestatorii </w:t>
      </w:r>
      <w:r w:rsidR="00261F2E">
        <w:t>1</w:t>
      </w:r>
      <w:r>
        <w:t xml:space="preserve">, </w:t>
      </w:r>
      <w:r w:rsidR="00261F2E">
        <w:t>2</w:t>
      </w:r>
      <w:r>
        <w:t xml:space="preserve">, </w:t>
      </w:r>
      <w:r w:rsidR="00261F2E">
        <w:t>3</w:t>
      </w:r>
      <w:r>
        <w:t xml:space="preserve">, </w:t>
      </w:r>
      <w:r w:rsidR="00261F2E">
        <w:t>4</w:t>
      </w:r>
      <w:r>
        <w:t xml:space="preserve">, </w:t>
      </w:r>
      <w:r w:rsidR="00C224B8">
        <w:t>5</w:t>
      </w:r>
      <w:r>
        <w:t xml:space="preserve">, </w:t>
      </w:r>
      <w:r w:rsidR="00C224B8">
        <w:t>6</w:t>
      </w:r>
      <w:r>
        <w:t xml:space="preserve">, </w:t>
      </w:r>
      <w:r w:rsidR="00C224B8">
        <w:t>7</w:t>
      </w:r>
      <w:r>
        <w:t xml:space="preserve">, </w:t>
      </w:r>
      <w:r w:rsidR="00C224B8">
        <w:t>8</w:t>
      </w:r>
      <w:r>
        <w:t xml:space="preserve">, </w:t>
      </w:r>
      <w:r w:rsidR="00C224B8">
        <w:t>9</w:t>
      </w:r>
      <w:r>
        <w:t xml:space="preserve">, </w:t>
      </w:r>
      <w:r w:rsidR="00C224B8">
        <w:t>10</w:t>
      </w:r>
      <w:r>
        <w:t xml:space="preserve">, </w:t>
      </w:r>
      <w:r w:rsidR="00C224B8">
        <w:t>11</w:t>
      </w:r>
      <w:r>
        <w:t xml:space="preserve">, </w:t>
      </w:r>
      <w:r w:rsidR="00C224B8">
        <w:t>12</w:t>
      </w:r>
      <w:r>
        <w:t xml:space="preserve">, </w:t>
      </w:r>
      <w:r w:rsidR="00C224B8">
        <w:t>13</w:t>
      </w:r>
      <w:r>
        <w:t xml:space="preserve">, </w:t>
      </w:r>
      <w:r w:rsidR="00C224B8">
        <w:t>14</w:t>
      </w:r>
      <w:r>
        <w:t xml:space="preserve">, </w:t>
      </w:r>
      <w:r w:rsidR="00C224B8">
        <w:t>15</w:t>
      </w:r>
      <w:r>
        <w:t xml:space="preserve">, </w:t>
      </w:r>
      <w:r w:rsidR="00C224B8">
        <w:t>16</w:t>
      </w:r>
      <w:r>
        <w:t xml:space="preserve">, </w:t>
      </w:r>
      <w:r w:rsidR="00C224B8">
        <w:t>17</w:t>
      </w:r>
      <w:r>
        <w:t xml:space="preserve">, </w:t>
      </w:r>
      <w:r w:rsidR="00C224B8">
        <w:t>18</w:t>
      </w:r>
      <w:r>
        <w:t xml:space="preserve">, </w:t>
      </w:r>
      <w:r w:rsidR="00C224B8">
        <w:t>19</w:t>
      </w:r>
      <w:r>
        <w:t xml:space="preserve">, </w:t>
      </w:r>
      <w:r w:rsidR="00C224B8">
        <w:t>20</w:t>
      </w:r>
      <w:r>
        <w:t xml:space="preserve">, </w:t>
      </w:r>
      <w:r w:rsidR="00C224B8">
        <w:t>21</w:t>
      </w:r>
      <w:r>
        <w:t xml:space="preserve">, </w:t>
      </w:r>
      <w:r w:rsidR="00C224B8">
        <w:t>22</w:t>
      </w:r>
      <w:r>
        <w:t xml:space="preserve">, </w:t>
      </w:r>
      <w:r w:rsidR="00C224B8">
        <w:t>23</w:t>
      </w:r>
      <w:r>
        <w:t xml:space="preserve">, </w:t>
      </w:r>
      <w:r w:rsidR="00C224B8">
        <w:t>24</w:t>
      </w:r>
      <w:r>
        <w:t xml:space="preserve">, </w:t>
      </w:r>
      <w:r w:rsidR="00071141">
        <w:t>25</w:t>
      </w:r>
      <w:r>
        <w:t xml:space="preserve">, </w:t>
      </w:r>
      <w:r w:rsidR="00655A72">
        <w:t>26</w:t>
      </w:r>
      <w:r>
        <w:t xml:space="preserve">, </w:t>
      </w:r>
      <w:r w:rsidR="00655A72">
        <w:t>27</w:t>
      </w:r>
      <w:r>
        <w:t xml:space="preserve">, </w:t>
      </w:r>
      <w:r w:rsidR="00655A72">
        <w:t>28</w:t>
      </w:r>
      <w:r>
        <w:t xml:space="preserve">, </w:t>
      </w:r>
      <w:r w:rsidR="00655A72">
        <w:t>29</w:t>
      </w:r>
      <w:r>
        <w:t xml:space="preserve">, </w:t>
      </w:r>
      <w:r w:rsidR="00655A72">
        <w:t>30</w:t>
      </w:r>
      <w:r>
        <w:t xml:space="preserve">, </w:t>
      </w:r>
      <w:r w:rsidR="00655A72">
        <w:t>31</w:t>
      </w:r>
      <w:r>
        <w:t xml:space="preserve">, </w:t>
      </w:r>
      <w:r w:rsidR="00655A72">
        <w:t>32</w:t>
      </w:r>
      <w:r>
        <w:t xml:space="preserve">, </w:t>
      </w:r>
      <w:r w:rsidR="00655A72">
        <w:t>33</w:t>
      </w:r>
      <w:r>
        <w:t xml:space="preserve">, </w:t>
      </w:r>
      <w:r w:rsidR="00655A72">
        <w:t>34</w:t>
      </w:r>
      <w:r>
        <w:t xml:space="preserve">, </w:t>
      </w:r>
      <w:r w:rsidR="00655A72">
        <w:t>35</w:t>
      </w:r>
      <w:r>
        <w:t xml:space="preserve">, </w:t>
      </w:r>
      <w:r w:rsidR="00655A72">
        <w:t>36</w:t>
      </w:r>
      <w:r>
        <w:t xml:space="preserve">, </w:t>
      </w:r>
      <w:r w:rsidR="00655A72">
        <w:t>37</w:t>
      </w:r>
      <w:r>
        <w:t xml:space="preserve">, </w:t>
      </w:r>
      <w:r w:rsidR="00655A72">
        <w:t>38</w:t>
      </w:r>
      <w:r>
        <w:t>,</w:t>
      </w:r>
      <w:r w:rsidR="00655A72">
        <w:t>39</w:t>
      </w:r>
      <w:r>
        <w:t xml:space="preserve">, </w:t>
      </w:r>
      <w:r w:rsidR="00655A72">
        <w:t>40</w:t>
      </w:r>
      <w:r>
        <w:t xml:space="preserve">, </w:t>
      </w:r>
      <w:r w:rsidR="00655A72">
        <w:t>41</w:t>
      </w:r>
      <w:r>
        <w:t xml:space="preserve">, </w:t>
      </w:r>
      <w:r w:rsidR="00655A72">
        <w:t>42</w:t>
      </w:r>
      <w:r>
        <w:t xml:space="preserve">, </w:t>
      </w:r>
      <w:r w:rsidR="00655A72">
        <w:t>43</w:t>
      </w:r>
      <w:r>
        <w:t xml:space="preserve">, </w:t>
      </w:r>
      <w:r w:rsidR="00655A72">
        <w:t>44</w:t>
      </w:r>
      <w:r>
        <w:t xml:space="preserve">, </w:t>
      </w:r>
      <w:r w:rsidR="00655A72">
        <w:t>45</w:t>
      </w:r>
      <w:r>
        <w:t xml:space="preserve">, </w:t>
      </w:r>
      <w:r w:rsidR="00655A72">
        <w:t>46</w:t>
      </w:r>
      <w:r>
        <w:t xml:space="preserve">, </w:t>
      </w:r>
      <w:r w:rsidR="00655A72">
        <w:t>47</w:t>
      </w:r>
      <w:r>
        <w:t xml:space="preserve">, </w:t>
      </w:r>
      <w:r w:rsidR="00655A72">
        <w:t>48</w:t>
      </w:r>
      <w:r>
        <w:t xml:space="preserve">, </w:t>
      </w:r>
      <w:r w:rsidR="00655A72">
        <w:t>49</w:t>
      </w:r>
      <w:r>
        <w:t xml:space="preserve">, personal auxiliar de specialitate şi conex în cadrul Tribunalului </w:t>
      </w:r>
      <w:r w:rsidR="00655A72">
        <w:t>S..........</w:t>
      </w:r>
      <w:r>
        <w:t xml:space="preserve">, </w:t>
      </w:r>
      <w:r w:rsidR="005E3EBF">
        <w:t>50</w:t>
      </w:r>
      <w:r>
        <w:t xml:space="preserve">, </w:t>
      </w:r>
      <w:r w:rsidR="005E3EBF">
        <w:t>51</w:t>
      </w:r>
      <w:r>
        <w:t xml:space="preserve">, </w:t>
      </w:r>
      <w:r w:rsidR="005E3EBF">
        <w:t>52</w:t>
      </w:r>
      <w:r>
        <w:t xml:space="preserve">, </w:t>
      </w:r>
      <w:r w:rsidR="005E3EBF">
        <w:t>53</w:t>
      </w:r>
      <w:r>
        <w:t xml:space="preserve">, </w:t>
      </w:r>
      <w:r w:rsidR="005E3EBF">
        <w:t>54</w:t>
      </w:r>
      <w:r>
        <w:t xml:space="preserve">, </w:t>
      </w:r>
      <w:r w:rsidR="005E3EBF">
        <w:t>55</w:t>
      </w:r>
      <w:r>
        <w:t xml:space="preserve">, </w:t>
      </w:r>
      <w:r w:rsidR="005E3EBF">
        <w:t>56</w:t>
      </w:r>
      <w:r>
        <w:t xml:space="preserve">, </w:t>
      </w:r>
      <w:r w:rsidR="005E3EBF">
        <w:t>57</w:t>
      </w:r>
      <w:r>
        <w:t xml:space="preserve">, </w:t>
      </w:r>
      <w:r w:rsidR="005E3EBF">
        <w:t>58</w:t>
      </w:r>
      <w:r>
        <w:t xml:space="preserve">, </w:t>
      </w:r>
      <w:r w:rsidR="005E3EBF">
        <w:t>59, 60</w:t>
      </w:r>
      <w:r>
        <w:t xml:space="preserve">, </w:t>
      </w:r>
      <w:r w:rsidR="005E3EBF">
        <w:t>61</w:t>
      </w:r>
      <w:r>
        <w:t xml:space="preserve">, </w:t>
      </w:r>
      <w:r w:rsidR="005E3EBF">
        <w:t>62</w:t>
      </w:r>
      <w:r>
        <w:t xml:space="preserve">, </w:t>
      </w:r>
      <w:r w:rsidR="005E3EBF">
        <w:t>63</w:t>
      </w:r>
      <w:r>
        <w:t xml:space="preserve">, </w:t>
      </w:r>
      <w:r w:rsidR="005E3EBF">
        <w:t>64</w:t>
      </w:r>
      <w:r>
        <w:t xml:space="preserve">, </w:t>
      </w:r>
      <w:r w:rsidR="005E3EBF">
        <w:t>65</w:t>
      </w:r>
      <w:r>
        <w:t xml:space="preserve">, </w:t>
      </w:r>
      <w:r w:rsidR="005E3EBF">
        <w:t>66</w:t>
      </w:r>
      <w:r>
        <w:t xml:space="preserve">, </w:t>
      </w:r>
      <w:r w:rsidR="005E3EBF">
        <w:t>67</w:t>
      </w:r>
      <w:r>
        <w:t xml:space="preserve">, </w:t>
      </w:r>
      <w:r w:rsidR="005E3EBF">
        <w:t>68</w:t>
      </w:r>
      <w:r>
        <w:t xml:space="preserve">, </w:t>
      </w:r>
      <w:r w:rsidR="005E3EBF">
        <w:t>69</w:t>
      </w:r>
      <w:r>
        <w:t xml:space="preserve">, </w:t>
      </w:r>
      <w:r w:rsidR="005E3EBF">
        <w:t>70</w:t>
      </w:r>
      <w:r>
        <w:t xml:space="preserve">, </w:t>
      </w:r>
      <w:r w:rsidR="005E3EBF">
        <w:t>71</w:t>
      </w:r>
      <w:r>
        <w:t xml:space="preserve">, </w:t>
      </w:r>
      <w:r w:rsidR="005E3EBF">
        <w:t>72</w:t>
      </w:r>
      <w:r>
        <w:t xml:space="preserve">, </w:t>
      </w:r>
      <w:r w:rsidR="005E3EBF">
        <w:t>73</w:t>
      </w:r>
      <w:r>
        <w:t xml:space="preserve">, </w:t>
      </w:r>
      <w:r w:rsidR="005E3EBF">
        <w:t>74</w:t>
      </w:r>
      <w:r>
        <w:t xml:space="preserve">, </w:t>
      </w:r>
      <w:r w:rsidR="005E3EBF">
        <w:t>75</w:t>
      </w:r>
      <w:r>
        <w:t xml:space="preserve">, </w:t>
      </w:r>
      <w:r w:rsidR="005E3EBF">
        <w:t>76</w:t>
      </w:r>
      <w:r>
        <w:t xml:space="preserve">, </w:t>
      </w:r>
      <w:r w:rsidR="005E3EBF">
        <w:t>77</w:t>
      </w:r>
      <w:r>
        <w:t xml:space="preserve">, </w:t>
      </w:r>
      <w:r w:rsidR="005E3EBF">
        <w:t>78</w:t>
      </w:r>
      <w:r>
        <w:t xml:space="preserve">, </w:t>
      </w:r>
      <w:r w:rsidR="005E3EBF">
        <w:t>79</w:t>
      </w:r>
      <w:r>
        <w:t xml:space="preserve">, </w:t>
      </w:r>
      <w:r w:rsidR="005E3EBF">
        <w:t>80</w:t>
      </w:r>
      <w:r>
        <w:t xml:space="preserve">, </w:t>
      </w:r>
      <w:r w:rsidR="005E3EBF">
        <w:t>81</w:t>
      </w:r>
      <w:r>
        <w:t xml:space="preserve">, </w:t>
      </w:r>
      <w:r w:rsidR="005E3EBF">
        <w:t>82</w:t>
      </w:r>
      <w:r>
        <w:t xml:space="preserve">, </w:t>
      </w:r>
      <w:r w:rsidR="005E3EBF">
        <w:t>83</w:t>
      </w:r>
      <w:r>
        <w:t xml:space="preserve">, </w:t>
      </w:r>
      <w:r w:rsidR="005E3EBF">
        <w:t>84</w:t>
      </w:r>
      <w:r>
        <w:t xml:space="preserve">, </w:t>
      </w:r>
      <w:r w:rsidR="005E3EBF">
        <w:t>85</w:t>
      </w:r>
      <w:r>
        <w:t xml:space="preserve">, </w:t>
      </w:r>
      <w:r w:rsidR="005E3EBF">
        <w:t>86</w:t>
      </w:r>
      <w:r>
        <w:t xml:space="preserve">, </w:t>
      </w:r>
      <w:r w:rsidR="005E3EBF">
        <w:t>87</w:t>
      </w:r>
      <w:r>
        <w:t xml:space="preserve">, </w:t>
      </w:r>
      <w:r w:rsidR="005E3EBF">
        <w:t>88</w:t>
      </w:r>
      <w:r>
        <w:t xml:space="preserve">, </w:t>
      </w:r>
      <w:r w:rsidR="005E3EBF">
        <w:t>89</w:t>
      </w:r>
      <w:r>
        <w:t xml:space="preserve">, </w:t>
      </w:r>
      <w:r w:rsidR="005E3EBF">
        <w:t>90</w:t>
      </w:r>
      <w:r>
        <w:t xml:space="preserve">, </w:t>
      </w:r>
      <w:r w:rsidR="005E3EBF">
        <w:t>91</w:t>
      </w:r>
      <w:r>
        <w:t xml:space="preserve">, </w:t>
      </w:r>
      <w:r w:rsidR="005E3EBF">
        <w:t>92</w:t>
      </w:r>
      <w:r>
        <w:t xml:space="preserve">, </w:t>
      </w:r>
      <w:r w:rsidR="005E3EBF">
        <w:t>93</w:t>
      </w:r>
      <w:r w:rsidR="003A697B">
        <w:t xml:space="preserve"> </w:t>
      </w:r>
      <w:r>
        <w:t xml:space="preserve">personal auxiliar de specialitate şi conex în cadrul Judecătoriei </w:t>
      </w:r>
      <w:r w:rsidR="00655A72">
        <w:t>S..........</w:t>
      </w:r>
      <w:r>
        <w:t xml:space="preserve">, </w:t>
      </w:r>
      <w:r w:rsidR="003A697B">
        <w:t>94</w:t>
      </w:r>
      <w:r>
        <w:t xml:space="preserve">, </w:t>
      </w:r>
      <w:r w:rsidR="003A697B">
        <w:t>95</w:t>
      </w:r>
      <w:r>
        <w:t xml:space="preserve">, </w:t>
      </w:r>
      <w:r w:rsidR="003A697B">
        <w:t>96</w:t>
      </w:r>
      <w:r>
        <w:t xml:space="preserve">, </w:t>
      </w:r>
      <w:r w:rsidR="003A697B">
        <w:t>97</w:t>
      </w:r>
      <w:r>
        <w:t xml:space="preserve">, </w:t>
      </w:r>
      <w:r w:rsidR="003A697B">
        <w:t>98</w:t>
      </w:r>
      <w:r>
        <w:t xml:space="preserve">, </w:t>
      </w:r>
      <w:r w:rsidR="003A697B">
        <w:t>99</w:t>
      </w:r>
      <w:r>
        <w:t xml:space="preserve">, </w:t>
      </w:r>
      <w:r w:rsidR="003A697B">
        <w:t>100</w:t>
      </w:r>
      <w:r>
        <w:t xml:space="preserve">, </w:t>
      </w:r>
      <w:r w:rsidR="003A697B">
        <w:t>101</w:t>
      </w:r>
      <w:r>
        <w:t xml:space="preserve">, </w:t>
      </w:r>
      <w:r w:rsidR="003A697B">
        <w:t>102</w:t>
      </w:r>
      <w:r>
        <w:t xml:space="preserve">, </w:t>
      </w:r>
      <w:r w:rsidR="003A697B">
        <w:t>103</w:t>
      </w:r>
      <w:r>
        <w:t xml:space="preserve">, </w:t>
      </w:r>
      <w:r w:rsidR="003A697B">
        <w:t>104</w:t>
      </w:r>
      <w:r>
        <w:t xml:space="preserve">– </w:t>
      </w:r>
      <w:r w:rsidR="00AB763A">
        <w:t>personal auxiliar de specialitate şi conex în cadrul</w:t>
      </w:r>
      <w:r>
        <w:t xml:space="preserve"> Judecătoriei </w:t>
      </w:r>
      <w:r w:rsidR="003A697B">
        <w:t>C..........</w:t>
      </w:r>
      <w:r>
        <w:t xml:space="preserve">, </w:t>
      </w:r>
      <w:r w:rsidR="003A697B">
        <w:t>105</w:t>
      </w:r>
      <w:r>
        <w:t xml:space="preserve">, </w:t>
      </w:r>
      <w:r w:rsidR="003A697B">
        <w:t>106</w:t>
      </w:r>
      <w:r>
        <w:t xml:space="preserve">, </w:t>
      </w:r>
      <w:r w:rsidR="003A697B">
        <w:t>107</w:t>
      </w:r>
      <w:r>
        <w:t xml:space="preserve">, </w:t>
      </w:r>
      <w:r w:rsidR="003A697B">
        <w:t>108</w:t>
      </w:r>
      <w:r>
        <w:t xml:space="preserve">, </w:t>
      </w:r>
      <w:r w:rsidR="003A697B">
        <w:t>109</w:t>
      </w:r>
      <w:r>
        <w:t xml:space="preserve">, </w:t>
      </w:r>
      <w:r w:rsidR="003A697B">
        <w:t>110</w:t>
      </w:r>
      <w:r>
        <w:t xml:space="preserve">, </w:t>
      </w:r>
      <w:r w:rsidR="003A697B">
        <w:t>111</w:t>
      </w:r>
      <w:r>
        <w:t xml:space="preserve">, </w:t>
      </w:r>
      <w:r w:rsidR="003A697B">
        <w:t>112</w:t>
      </w:r>
      <w:r>
        <w:t xml:space="preserve">, </w:t>
      </w:r>
      <w:r w:rsidR="003A697B">
        <w:t>113</w:t>
      </w:r>
      <w:r>
        <w:t xml:space="preserve">, </w:t>
      </w:r>
      <w:r w:rsidR="003A697B">
        <w:t>114</w:t>
      </w:r>
      <w:r>
        <w:t xml:space="preserve">, </w:t>
      </w:r>
      <w:r w:rsidR="003A697B">
        <w:t>115</w:t>
      </w:r>
      <w:r>
        <w:t xml:space="preserve">, </w:t>
      </w:r>
      <w:r w:rsidR="003A697B">
        <w:t>116</w:t>
      </w:r>
      <w:r>
        <w:t xml:space="preserve">– personal auxiliar de specialitate şi conex în cadrul Judecătoriei </w:t>
      </w:r>
      <w:r w:rsidR="003A697B">
        <w:t xml:space="preserve">N............. </w:t>
      </w:r>
      <w:r>
        <w:t xml:space="preserve">împotriva deciziei civile nr. </w:t>
      </w:r>
      <w:r w:rsidR="003A697B">
        <w:t xml:space="preserve">........ </w:t>
      </w:r>
      <w:r>
        <w:t xml:space="preserve">pronunţată la data de </w:t>
      </w:r>
      <w:r w:rsidR="003A697B">
        <w:t xml:space="preserve">........ </w:t>
      </w:r>
      <w:r>
        <w:t xml:space="preserve">de Curtea de Apel </w:t>
      </w:r>
      <w:r w:rsidR="00261F2E">
        <w:t>...........</w:t>
      </w:r>
      <w:r>
        <w:t xml:space="preserve"> în dosarul nr. </w:t>
      </w:r>
      <w:r w:rsidR="003A697B">
        <w:t>2.1</w:t>
      </w:r>
      <w:r>
        <w:t xml:space="preserve">* în contradictoriu cu pârâţii intimaţi Tribunalul </w:t>
      </w:r>
      <w:r w:rsidR="00655A72">
        <w:t>S..........</w:t>
      </w:r>
      <w:r>
        <w:t xml:space="preserve">, Curtea de Apel </w:t>
      </w:r>
      <w:r w:rsidR="003A697B">
        <w:t>.........</w:t>
      </w:r>
      <w:r>
        <w:t>, Ministerul Justiţiei şi Consiliul Naţional pentru Combaterea Discriminării, având ca obiect drepturi salariale ale personalului din justiţie.</w:t>
      </w:r>
    </w:p>
    <w:p w:rsidR="008623E3" w14:paraId="32A6F652" w14:textId="1F4F4A71">
      <w:pPr>
        <w:ind w:firstLine="720"/>
        <w:jc w:val="both"/>
      </w:pPr>
      <w:r>
        <w:t xml:space="preserve">Dezbaterea cauzei s-a consemnat în încheierea şedinţei publice din data de </w:t>
      </w:r>
      <w:r w:rsidR="003A697B">
        <w:t xml:space="preserve">.......... </w:t>
      </w:r>
      <w:r>
        <w:t xml:space="preserve">când s-a amânat pronunţarea pentru data de </w:t>
      </w:r>
      <w:r w:rsidR="003A697B">
        <w:t xml:space="preserve">.......... </w:t>
      </w:r>
      <w:r>
        <w:t>iar apoi pentru azi, încheierile de amânare a pronunţării făcând parte integrantă din prezenta decizie.</w:t>
      </w:r>
    </w:p>
    <w:p w:rsidR="008623E3" w14:paraId="4A44695A" w14:textId="77777777">
      <w:pPr>
        <w:ind w:firstLine="720"/>
        <w:jc w:val="both"/>
      </w:pPr>
    </w:p>
    <w:p w:rsidRPr="00261F2E" w:rsidR="008623E3" w14:paraId="3D8A9011" w14:textId="77777777">
      <w:pPr>
        <w:ind w:firstLine="720"/>
        <w:jc w:val="center"/>
        <w:rPr>
          <w:rStyle w:val="Fontdeparagrafimplicit"/>
          <w:b/>
          <w:lang w:val="ro-RO"/>
        </w:rPr>
      </w:pPr>
      <w:r w:rsidRPr="00261F2E">
        <w:rPr>
          <w:rStyle w:val="Fontdeparagrafimplicit"/>
          <w:b/>
          <w:lang w:val="ro-RO"/>
        </w:rPr>
        <w:t>C U R T E A</w:t>
      </w:r>
    </w:p>
    <w:p w:rsidRPr="00261F2E" w:rsidR="008623E3" w14:paraId="07C5A503" w14:textId="77777777">
      <w:pPr>
        <w:ind w:firstLine="720"/>
        <w:jc w:val="center"/>
        <w:rPr>
          <w:rStyle w:val="Fontdeparagrafimplicit"/>
          <w:b/>
          <w:lang w:val="ro-RO"/>
        </w:rPr>
      </w:pPr>
    </w:p>
    <w:p w:rsidR="008623E3" w14:paraId="4458067B" w14:textId="48BADEFF">
      <w:pPr>
        <w:ind w:firstLine="709"/>
        <w:jc w:val="both"/>
      </w:pPr>
      <w:r w:rsidRPr="00261F2E">
        <w:rPr>
          <w:rStyle w:val="Fontdeparagrafimplicit"/>
          <w:i/>
          <w:lang w:val="ro-RO"/>
        </w:rPr>
        <w:t xml:space="preserve">Prin cererea de chemare în judecată initială, </w:t>
      </w:r>
      <w:r>
        <w:t xml:space="preserve">reclamanţii </w:t>
      </w:r>
      <w:r w:rsidR="003A697B">
        <w:t xml:space="preserve">1 </w:t>
      </w:r>
      <w:r>
        <w:t xml:space="preserve">ş.a. au solicitat instanţei,  în contradictoriu cu pârâţii CURTEA DE APEL </w:t>
      </w:r>
      <w:r w:rsidR="003A697B">
        <w:t>.........</w:t>
      </w:r>
      <w:r>
        <w:t xml:space="preserve"> şi TRIBUNALUL </w:t>
      </w:r>
      <w:r w:rsidR="00655A72">
        <w:t>S..........</w:t>
      </w:r>
      <w:r>
        <w:t xml:space="preserve"> să dispună obligarea pârâţilor la stabilirea corectă a drepturilor salariale cuvenite reclamanţilor, începând cu data de 01.01.2011, în conformitate cu prevederile Legii nr. 284/2010 şi ale Legii nr. 285/2010; obligarea pârâţilor la stabilirea corectă a drepturilor salariale cuvenite reclamanţilor, începând cu data de 01.06.2012, în conformitate cu prevederile art. 1 alin. 1 lit. a din OUG nr. 19/2012; obligarea pârâţilor la stabilirea corectă a drepturilor salariale cuvenite, începând cu data de 01.12.2012, în conformitate cu prevederile art. 1 alin. 1 lit. b din OUG nr. 19/2012; obligarea pârâţilor la stabilirea drepturilor salariale cuvenite reclamanţilor (salariu de bază + sporuri), începând cu data de 09.04.2015, în conformitate cu dispoziţiile art. 1 alin.  5^1   din   OUG nr.   83/2014, la nivelul maxim pentru fiecare funcţie/grad/treaptă şi gradaţie, ţinând cont şi de drepturile salariale stabilite potrivit petitelor 1-3 din cerere; obligarea pârâţilor la stabilirea drepturile salariale cuvenite, începând cu data de 01.12.2015, în conformitate cu prevederile Legii nr. 293/2015, respectiv majorarea cu 10% a drepturile salariale determinate potrivit petitului 4; obligarea pârâţilor la stabilirea drepturilor salariale cuvenite, în conformitate cu dispoziţiile art. 3</w:t>
      </w:r>
      <w:r w:rsidRPr="00261F2E">
        <w:rPr>
          <w:rStyle w:val="Fontdeparagrafimplicit"/>
          <w:vertAlign w:val="superscript"/>
          <w:lang w:val="ro-RO"/>
        </w:rPr>
        <w:t>1</w:t>
      </w:r>
      <w:r>
        <w:t xml:space="preserve"> alin. 1 din OUG 57/2015, respectiv cu prevederile pct. 32 din considerentele Deciziei Curţii Constituţionale nr. 794/2016, începând cu data de 01.08.2016, la nivelul  maxim al salariului de bază/indemnizaţiei de încadrare din cadrul aceleiaşi categorii profesionale şi familii ocupaţionale, indiferent de instituţie sau autoritate publică; obligarea pârâţilor la stabilirea drepturilor salariale cuvenite, începând cu </w:t>
      </w:r>
      <w:r>
        <w:t>data de 01.07.2017, în conformitate cu prevederile Legii nr. 153/2017, pornind de la drepturile salariale stabilite pentru data 30.06.2017 (conform petitelor 1 - 6 din acţiune); obligarea pârâţilor la stabilirea drepturilor salariale cuvenite, începând cu data de 01.01.2018, în conformitate cu prevederile Legii nr. 153/2017, pornind de la drepturile salariate stabilite în condiţiile petitului 7 din cerere; obligarea pârâţilor la plata diferenţelor dintre drepturile salariale rezultate după stabilirea cuantumului acestora în condiţiile petitelor 1-8 din cerere şi sumele încasate, începând cu data de 01.01.2011 şi în viitor, actualizate cu coeficientul indicelui de inflaţie, plus dobânda legală, calculată de la data exigibilităţii fiecărei obligaţii lunare de plată şi până la data plăţii efective, iar pentru persoanele încadrate ulterior datei de 01.01.2011, au reiterat solicitările din petitele 1-9, după caz, ţinând cont de data încadrării fiecărui reclamant în parte.</w:t>
      </w:r>
    </w:p>
    <w:p w:rsidR="008623E3" w14:paraId="7FFD84D5" w14:textId="77777777">
      <w:pPr>
        <w:ind w:firstLine="709"/>
        <w:jc w:val="both"/>
      </w:pPr>
    </w:p>
    <w:p w:rsidR="008623E3" w14:paraId="3BDDCBA7" w14:textId="3529BBD0">
      <w:pPr>
        <w:ind w:firstLine="720"/>
        <w:jc w:val="both"/>
      </w:pPr>
      <w:r w:rsidRPr="00261F2E">
        <w:rPr>
          <w:rStyle w:val="Fontdeparagrafimplicit"/>
          <w:i/>
          <w:lang w:val="ro-RO"/>
        </w:rPr>
        <w:t xml:space="preserve">Prin sentinţa civilă nr. </w:t>
      </w:r>
      <w:r w:rsidR="00AB763A">
        <w:rPr>
          <w:rStyle w:val="Fontdeparagrafimplicit"/>
          <w:i/>
          <w:lang w:val="ro-RO"/>
        </w:rPr>
        <w:t>.........</w:t>
      </w:r>
      <w:r w:rsidR="00A8755B">
        <w:rPr>
          <w:rStyle w:val="Fontdeparagrafimplicit"/>
          <w:i/>
          <w:lang w:val="ro-RO"/>
        </w:rPr>
        <w:t xml:space="preserve"> </w:t>
      </w:r>
      <w:r w:rsidRPr="00261F2E">
        <w:rPr>
          <w:rStyle w:val="Fontdeparagrafimplicit"/>
          <w:i/>
          <w:lang w:val="ro-RO"/>
        </w:rPr>
        <w:t xml:space="preserve"> din </w:t>
      </w:r>
      <w:r w:rsidR="00A8755B">
        <w:rPr>
          <w:rStyle w:val="Fontdeparagrafimplicit"/>
          <w:i/>
          <w:lang w:val="ro-RO"/>
        </w:rPr>
        <w:t xml:space="preserve">....... </w:t>
      </w:r>
      <w:r w:rsidR="00AB763A">
        <w:rPr>
          <w:rStyle w:val="Fontdeparagrafimplicit"/>
          <w:i/>
          <w:lang w:val="ro-RO"/>
        </w:rPr>
        <w:t>.........</w:t>
      </w:r>
      <w:r w:rsidR="00A8755B">
        <w:rPr>
          <w:rStyle w:val="Fontdeparagrafimplicit"/>
          <w:i/>
          <w:lang w:val="ro-RO"/>
        </w:rPr>
        <w:t xml:space="preserve"> </w:t>
      </w:r>
      <w:r w:rsidRPr="00261F2E">
        <w:rPr>
          <w:rStyle w:val="Fontdeparagrafimplicit"/>
          <w:i/>
          <w:lang w:val="ro-RO"/>
        </w:rPr>
        <w:t xml:space="preserve">a Tribunalului </w:t>
      </w:r>
      <w:r w:rsidR="00261F2E">
        <w:rPr>
          <w:rStyle w:val="Fontdeparagrafimplicit"/>
          <w:i/>
          <w:lang w:val="ro-RO"/>
        </w:rPr>
        <w:t>...........</w:t>
      </w:r>
      <w:r w:rsidRPr="00261F2E">
        <w:rPr>
          <w:rStyle w:val="Fontdeparagrafimplicit"/>
          <w:i/>
          <w:lang w:val="ro-RO"/>
        </w:rPr>
        <w:t xml:space="preserve">, pronunţată în dosarul nr. </w:t>
      </w:r>
      <w:r w:rsidR="003A697B">
        <w:rPr>
          <w:rStyle w:val="Fontdeparagrafimplicit"/>
          <w:i/>
          <w:lang w:val="ro-RO"/>
        </w:rPr>
        <w:t>2.1</w:t>
      </w:r>
      <w:r w:rsidRPr="00261F2E">
        <w:rPr>
          <w:rStyle w:val="Fontdeparagrafimplicit"/>
          <w:i/>
          <w:lang w:val="ro-RO"/>
        </w:rPr>
        <w:t>*,</w:t>
      </w:r>
      <w:r>
        <w:t xml:space="preserve"> a fost respinsă ca tardivă completarea de acţiune formulată de reclamanţi, a fost admisă excepţia lipsei calităţii procesuale pasive invocată de pârâtul Ministerul Justiţiei, a fost respinsă excepţia lipsei calităţii procesuale pasive invocată de pârâţii Tribunalul </w:t>
      </w:r>
      <w:r w:rsidR="00655A72">
        <w:t>S..........</w:t>
      </w:r>
      <w:r>
        <w:t xml:space="preserve"> şi Curtea de Apel </w:t>
      </w:r>
      <w:r w:rsidR="003A697B">
        <w:t>.........</w:t>
      </w:r>
      <w:r>
        <w:t xml:space="preserve">, a fost respinsă excepţia lipsei de obiect invocată de pârâta Curtea de Apel </w:t>
      </w:r>
      <w:r w:rsidR="003A697B">
        <w:t>.........</w:t>
      </w:r>
      <w:r>
        <w:t>, a fost admisă excepţia prescripţiei dreptului material la acţiune cu privire la drepturile aferente perioadei anterioare datei de 01.07.2015 în ce priveşte cererea introductivă precizată şi cu privire la drepturile aferente perioadei anterioare datei de 01.12.2016 în ce priveşte cererea de intervenţie în interes propriu şi a fost admisă în parte acţiunea introductivă precizată, precum şi cererea de intervenţie în interes propriu, formulate de reclamanţi în contradictoriu cu cei doi pârâţi şi cu citarea Consiliului Naţional pentru Combaterea Discriminării.</w:t>
      </w:r>
    </w:p>
    <w:p w:rsidR="008623E3" w14:paraId="46DA8B47" w14:textId="77777777">
      <w:pPr>
        <w:ind w:firstLine="720"/>
        <w:jc w:val="both"/>
      </w:pPr>
      <w:r>
        <w:t>Au fost obligaţi pârâţii la calculul drepturilor salariale ale reclamanţilor, ţinând cont de data încadrării fiecărui reclamant, prin raportare la valoarea de referinţă sectorială în cuantum de 440,15 lei pentru perioada 1.07.2015-30.11.2015 şi 484,17 lei pentru perioada 01.12.2015-31.12.2017; au fost obligaţi pârâţii la calculul drepturilor salariale ale reclamanţilor, ţinând cont de data încadrării fiecărui reclamant, începând cu data de 01.01.2018 conform prevederilor Legii nr. 153/2017, prin raportare la drepturile salariale stabilite pentru perioada 01.07.2017-31.12.2017; au fost obligaţi pârâţii la plata către reclamanţi a diferenţelor de drepturi salariale dintre venitul calculat potrivit menţiunilor de mai sus şi venitul efectiv plătit, drepturi actualizate cu indicele de inflaţie, precum şi dobânda legală penalizatoare aferentă până la data plăţii efective; au fost obligaţi pârâţii la calculul drepturilor salariale ale intervenienţilor, ţinând cont de data încadrării fiecărui intervenient, prin raportare la valoarea de referinţă sectorială în cuantum de 484,17 lei pentru perioada 01.12.2016-31.12.2017, precum şi după această dată în cazul intervenienţilor ale căror drepturi salariale nu au fost plafonate în baza Legii nr. 153/2017; au fost obligaţi pârâţii la calculul drepturilor salariale ale intervenienţilor, ţinând cont de data încadrării fiecărui intervenient, începând cu data de 01.01.2018 conform prevederilor Legii nr. 153/2017 prin raportare la drepturile salariale stabilite pentru perioada 01.07.2017-31.12.2017; au fost obligaţi pârâţii la efectuarea menţiunilor corespunzătoare în evidenţele referitoare la salarizarea intervenienţilor; au fost obligaţi pârâţii la plata către intervenienţi a diferenţelor de drepturi salariale dintre venitul calculat potrivit menţiunilor de mai sus şi venitul efectiv plătit, drepturi actualizate cu indicele de inflaţie, precum şi dobânda legală penalizatoare aferentă până la data plăţii efective. Restul pretenţiilor au fost respinse.</w:t>
      </w:r>
    </w:p>
    <w:p w:rsidR="008623E3" w14:paraId="491DF2D1" w14:textId="77777777">
      <w:pPr>
        <w:ind w:firstLine="720"/>
        <w:jc w:val="both"/>
      </w:pPr>
    </w:p>
    <w:p w:rsidRPr="00261F2E" w:rsidR="008623E3" w14:paraId="1CF91578" w14:textId="39644D5E">
      <w:pPr>
        <w:ind w:firstLine="720"/>
        <w:jc w:val="both"/>
        <w:rPr>
          <w:rStyle w:val="Fontdeparagrafimplicit"/>
          <w:i/>
          <w:lang w:val="ro-RO"/>
        </w:rPr>
      </w:pPr>
      <w:r w:rsidRPr="00261F2E">
        <w:rPr>
          <w:rStyle w:val="Fontdeparagrafimplicit"/>
          <w:i/>
          <w:lang w:val="ro-RO"/>
        </w:rPr>
        <w:t xml:space="preserve">Împotriva acestei hotărâri cât şi împotriva încheierii </w:t>
      </w:r>
      <w:r>
        <w:t xml:space="preserve">din data de </w:t>
      </w:r>
      <w:r w:rsidR="00A8755B">
        <w:t xml:space="preserve">.....06.2020 </w:t>
      </w:r>
      <w:r w:rsidRPr="00261F2E">
        <w:rPr>
          <w:rStyle w:val="Fontdeparagrafimplicit"/>
          <w:i/>
          <w:lang w:val="ro-RO"/>
        </w:rPr>
        <w:t xml:space="preserve">au declarat apel reclamantii şi pârâţii Tribunalul </w:t>
      </w:r>
      <w:r w:rsidR="00A8755B">
        <w:rPr>
          <w:rStyle w:val="Fontdeparagrafimplicit"/>
          <w:i/>
          <w:lang w:val="ro-RO"/>
        </w:rPr>
        <w:t xml:space="preserve">S......... </w:t>
      </w:r>
      <w:r w:rsidRPr="00261F2E">
        <w:rPr>
          <w:rStyle w:val="Fontdeparagrafimplicit"/>
          <w:i/>
          <w:lang w:val="ro-RO"/>
        </w:rPr>
        <w:t xml:space="preserve">şi Curtea de Apel </w:t>
      </w:r>
      <w:r w:rsidR="003A697B">
        <w:rPr>
          <w:rStyle w:val="Fontdeparagrafimplicit"/>
          <w:i/>
          <w:lang w:val="ro-RO"/>
        </w:rPr>
        <w:t>.........</w:t>
      </w:r>
      <w:r w:rsidRPr="00261F2E">
        <w:rPr>
          <w:rStyle w:val="Fontdeparagrafimplicit"/>
          <w:i/>
          <w:lang w:val="ro-RO"/>
        </w:rPr>
        <w:t xml:space="preserve">. </w:t>
      </w:r>
    </w:p>
    <w:p w:rsidR="008623E3" w14:paraId="1AB95265" w14:textId="1398C5B9">
      <w:pPr>
        <w:ind w:firstLine="720"/>
        <w:jc w:val="both"/>
      </w:pPr>
      <w:r w:rsidRPr="00261F2E">
        <w:rPr>
          <w:rStyle w:val="Fontdeparagrafimplicit"/>
          <w:i/>
          <w:lang w:val="ro-RO"/>
        </w:rPr>
        <w:t xml:space="preserve">Prin decizia civilă nr. </w:t>
      </w:r>
      <w:r w:rsidR="00A8755B">
        <w:rPr>
          <w:rStyle w:val="Fontdeparagrafimplicit"/>
          <w:i/>
          <w:lang w:val="ro-RO"/>
        </w:rPr>
        <w:t>...........</w:t>
      </w:r>
      <w:r w:rsidRPr="00261F2E">
        <w:rPr>
          <w:rStyle w:val="Fontdeparagrafimplicit"/>
          <w:i/>
          <w:lang w:val="ro-RO"/>
        </w:rPr>
        <w:t xml:space="preserve"> din </w:t>
      </w:r>
      <w:r w:rsidR="003A697B">
        <w:rPr>
          <w:rStyle w:val="Fontdeparagrafimplicit"/>
          <w:i/>
          <w:lang w:val="ro-RO"/>
        </w:rPr>
        <w:t>........</w:t>
      </w:r>
      <w:r w:rsidRPr="00261F2E">
        <w:rPr>
          <w:rStyle w:val="Fontdeparagrafimplicit"/>
          <w:i/>
          <w:lang w:val="ro-RO"/>
        </w:rPr>
        <w:t xml:space="preserve">pronunţată de Curtea de Apel </w:t>
      </w:r>
      <w:r w:rsidR="00261F2E">
        <w:rPr>
          <w:rStyle w:val="Fontdeparagrafimplicit"/>
          <w:i/>
          <w:lang w:val="ro-RO"/>
        </w:rPr>
        <w:t>...........</w:t>
      </w:r>
      <w:r w:rsidRPr="00261F2E">
        <w:rPr>
          <w:rStyle w:val="Fontdeparagrafimplicit"/>
          <w:i/>
          <w:lang w:val="ro-RO"/>
        </w:rPr>
        <w:t xml:space="preserve"> în dosarul nr. </w:t>
      </w:r>
      <w:r w:rsidR="003A697B">
        <w:rPr>
          <w:rStyle w:val="Fontdeparagrafimplicit"/>
          <w:i/>
          <w:lang w:val="ro-RO"/>
        </w:rPr>
        <w:t>2.1</w:t>
      </w:r>
      <w:r w:rsidRPr="00261F2E">
        <w:rPr>
          <w:rStyle w:val="Fontdeparagrafimplicit"/>
          <w:i/>
          <w:lang w:val="ro-RO"/>
        </w:rPr>
        <w:t>*,</w:t>
      </w:r>
      <w:r>
        <w:t xml:space="preserve"> a fost respins ca nefondat apelul reclamanţilor şi intervenienţilor în interes propriu, împotriva încheierii din data de </w:t>
      </w:r>
      <w:r w:rsidR="00A8755B">
        <w:t xml:space="preserve">.....06.2020 </w:t>
      </w:r>
      <w:r>
        <w:t xml:space="preserve">şi împotriva sentinţei civile nr. </w:t>
      </w:r>
      <w:r w:rsidR="00AB763A">
        <w:t>.........</w:t>
      </w:r>
      <w:r w:rsidR="00A8755B">
        <w:t xml:space="preserve"> </w:t>
      </w:r>
      <w:r>
        <w:t xml:space="preserve"> din data de </w:t>
      </w:r>
      <w:r w:rsidR="00A8755B">
        <w:t xml:space="preserve">....... </w:t>
      </w:r>
      <w:r>
        <w:t xml:space="preserve">ale Tribunalului </w:t>
      </w:r>
      <w:r w:rsidR="00261F2E">
        <w:t>...........</w:t>
      </w:r>
      <w:r>
        <w:t xml:space="preserve">, pronunţate în dosarul nr. </w:t>
      </w:r>
      <w:r w:rsidR="003A697B">
        <w:t>2.1</w:t>
      </w:r>
      <w:r>
        <w:t>*, pe care le-a  păstrat.</w:t>
      </w:r>
    </w:p>
    <w:p w:rsidR="008623E3" w14:paraId="529AB033" w14:textId="647D57BA">
      <w:pPr>
        <w:ind w:firstLine="720"/>
        <w:jc w:val="both"/>
      </w:pPr>
      <w:r>
        <w:t xml:space="preserve">A fost respins ca nefondat apelul declarat de Tribunalul </w:t>
      </w:r>
      <w:r w:rsidR="00655A72">
        <w:t>S..........</w:t>
      </w:r>
      <w:r>
        <w:t xml:space="preserve"> împotriva încheierii din data de </w:t>
      </w:r>
      <w:r w:rsidR="00A8755B">
        <w:t xml:space="preserve">.....06.2020 </w:t>
      </w:r>
      <w:r>
        <w:t xml:space="preserve">şi împotriva sentinţei civile nr. </w:t>
      </w:r>
      <w:r w:rsidR="00AB763A">
        <w:t>........</w:t>
      </w:r>
      <w:r w:rsidR="00A8755B">
        <w:t xml:space="preserve"> </w:t>
      </w:r>
      <w:r>
        <w:t xml:space="preserve"> din data de </w:t>
      </w:r>
      <w:r w:rsidR="00A8755B">
        <w:t xml:space="preserve">....... </w:t>
      </w:r>
      <w:r w:rsidR="00AB763A">
        <w:t>...........</w:t>
      </w:r>
      <w:r w:rsidR="00A8755B">
        <w:t xml:space="preserve"> </w:t>
      </w:r>
      <w:r>
        <w:t xml:space="preserve">ale Tribunalului </w:t>
      </w:r>
      <w:r w:rsidR="00261F2E">
        <w:t>...........</w:t>
      </w:r>
      <w:r>
        <w:t xml:space="preserve"> pronunţate în dosarul nr. </w:t>
      </w:r>
      <w:r w:rsidR="003A697B">
        <w:t>2.1</w:t>
      </w:r>
      <w:r>
        <w:t xml:space="preserve">*, precum şi apelul declarat de pârâta Curtea de Apel </w:t>
      </w:r>
      <w:r w:rsidR="003A697B">
        <w:t>.........</w:t>
      </w:r>
      <w:r>
        <w:t xml:space="preserve">, împotriva aceleaşi sentinţe. </w:t>
      </w:r>
    </w:p>
    <w:p w:rsidR="008623E3" w14:paraId="1366879F" w14:textId="77777777">
      <w:pPr>
        <w:ind w:firstLine="720"/>
        <w:jc w:val="both"/>
      </w:pPr>
    </w:p>
    <w:p w:rsidR="008623E3" w14:paraId="5F6D923C" w14:textId="603AF969">
      <w:pPr>
        <w:ind w:firstLine="720"/>
        <w:jc w:val="both"/>
      </w:pPr>
      <w:r w:rsidRPr="00261F2E">
        <w:rPr>
          <w:rStyle w:val="Fontdeparagrafimplicit"/>
          <w:i/>
          <w:lang w:val="ro-RO"/>
        </w:rPr>
        <w:t xml:space="preserve">Împotriva acestei decizii au formulat contestaţie în anulare contestatorii </w:t>
      </w:r>
      <w:r w:rsidR="00A8755B">
        <w:rPr>
          <w:rStyle w:val="Fontdeparagrafimplicit"/>
          <w:i/>
          <w:lang w:val="ro-RO"/>
        </w:rPr>
        <w:t>1</w:t>
      </w:r>
      <w:r w:rsidRPr="00261F2E">
        <w:rPr>
          <w:rStyle w:val="Fontdeparagrafimplicit"/>
          <w:i/>
          <w:lang w:val="ro-RO"/>
        </w:rPr>
        <w:t xml:space="preserve">, </w:t>
      </w:r>
      <w:r w:rsidR="00A8755B">
        <w:rPr>
          <w:rStyle w:val="Fontdeparagrafimplicit"/>
          <w:i/>
          <w:lang w:val="ro-RO"/>
        </w:rPr>
        <w:t>2</w:t>
      </w:r>
      <w:r w:rsidRPr="00261F2E">
        <w:rPr>
          <w:rStyle w:val="Fontdeparagrafimplicit"/>
          <w:i/>
          <w:lang w:val="ro-RO"/>
        </w:rPr>
        <w:t xml:space="preserve">, </w:t>
      </w:r>
      <w:r w:rsidR="00A8755B">
        <w:rPr>
          <w:rStyle w:val="Fontdeparagrafimplicit"/>
          <w:i/>
          <w:lang w:val="ro-RO"/>
        </w:rPr>
        <w:t>3</w:t>
      </w:r>
      <w:r w:rsidRPr="00261F2E">
        <w:rPr>
          <w:rStyle w:val="Fontdeparagrafimplicit"/>
          <w:i/>
          <w:lang w:val="ro-RO"/>
        </w:rPr>
        <w:t xml:space="preserve">, </w:t>
      </w:r>
      <w:r w:rsidR="00261F2E">
        <w:rPr>
          <w:rStyle w:val="Fontdeparagrafimplicit"/>
          <w:i/>
          <w:lang w:val="ro-RO"/>
        </w:rPr>
        <w:t>4</w:t>
      </w:r>
      <w:r w:rsidRPr="00261F2E">
        <w:rPr>
          <w:rStyle w:val="Fontdeparagrafimplicit"/>
          <w:i/>
          <w:lang w:val="ro-RO"/>
        </w:rPr>
        <w:t xml:space="preserve">, </w:t>
      </w:r>
      <w:r w:rsidR="00A8755B">
        <w:rPr>
          <w:rStyle w:val="Fontdeparagrafimplicit"/>
          <w:i/>
          <w:lang w:val="ro-RO"/>
        </w:rPr>
        <w:t>5</w:t>
      </w:r>
      <w:r w:rsidRPr="00261F2E">
        <w:rPr>
          <w:rStyle w:val="Fontdeparagrafimplicit"/>
          <w:i/>
          <w:lang w:val="ro-RO"/>
        </w:rPr>
        <w:t xml:space="preserve">, </w:t>
      </w:r>
      <w:r w:rsidR="00A8755B">
        <w:rPr>
          <w:rStyle w:val="Fontdeparagrafimplicit"/>
          <w:i/>
          <w:lang w:val="ro-RO"/>
        </w:rPr>
        <w:t>6</w:t>
      </w:r>
      <w:r w:rsidRPr="00261F2E">
        <w:rPr>
          <w:rStyle w:val="Fontdeparagrafimplicit"/>
          <w:i/>
          <w:lang w:val="ro-RO"/>
        </w:rPr>
        <w:t xml:space="preserve">, </w:t>
      </w:r>
      <w:r w:rsidR="00A8755B">
        <w:rPr>
          <w:rStyle w:val="Fontdeparagrafimplicit"/>
          <w:i/>
          <w:lang w:val="ro-RO"/>
        </w:rPr>
        <w:t>7</w:t>
      </w:r>
      <w:r w:rsidRPr="00261F2E">
        <w:rPr>
          <w:rStyle w:val="Fontdeparagrafimplicit"/>
          <w:i/>
          <w:lang w:val="ro-RO"/>
        </w:rPr>
        <w:t xml:space="preserve">, </w:t>
      </w:r>
      <w:r w:rsidR="00C224B8">
        <w:rPr>
          <w:rStyle w:val="Fontdeparagrafimplicit"/>
          <w:i/>
          <w:lang w:val="ro-RO"/>
        </w:rPr>
        <w:t>8</w:t>
      </w:r>
      <w:r w:rsidRPr="00261F2E">
        <w:rPr>
          <w:rStyle w:val="Fontdeparagrafimplicit"/>
          <w:i/>
          <w:lang w:val="ro-RO"/>
        </w:rPr>
        <w:t xml:space="preserve">, </w:t>
      </w:r>
      <w:r w:rsidR="00FA7DDC">
        <w:rPr>
          <w:rStyle w:val="Fontdeparagrafimplicit"/>
          <w:i/>
          <w:lang w:val="ro-RO"/>
        </w:rPr>
        <w:t>118</w:t>
      </w:r>
      <w:r w:rsidRPr="00261F2E">
        <w:rPr>
          <w:rStyle w:val="Fontdeparagrafimplicit"/>
          <w:i/>
          <w:lang w:val="ro-RO"/>
        </w:rPr>
        <w:t xml:space="preserve">, </w:t>
      </w:r>
      <w:r w:rsidR="00C224B8">
        <w:rPr>
          <w:rStyle w:val="Fontdeparagrafimplicit"/>
          <w:i/>
          <w:lang w:val="ro-RO"/>
        </w:rPr>
        <w:t>9</w:t>
      </w:r>
      <w:r w:rsidRPr="00261F2E">
        <w:rPr>
          <w:rStyle w:val="Fontdeparagrafimplicit"/>
          <w:i/>
          <w:lang w:val="ro-RO"/>
        </w:rPr>
        <w:t xml:space="preserve">, </w:t>
      </w:r>
      <w:r w:rsidR="00C224B8">
        <w:rPr>
          <w:rStyle w:val="Fontdeparagrafimplicit"/>
          <w:i/>
          <w:lang w:val="ro-RO"/>
        </w:rPr>
        <w:t>10</w:t>
      </w:r>
      <w:r w:rsidRPr="00261F2E">
        <w:rPr>
          <w:rStyle w:val="Fontdeparagrafimplicit"/>
          <w:i/>
          <w:lang w:val="ro-RO"/>
        </w:rPr>
        <w:t xml:space="preserve">, </w:t>
      </w:r>
      <w:r w:rsidR="00A8755B">
        <w:rPr>
          <w:rStyle w:val="Fontdeparagrafimplicit"/>
          <w:i/>
          <w:lang w:val="ro-RO"/>
        </w:rPr>
        <w:t>11</w:t>
      </w:r>
      <w:r w:rsidRPr="00261F2E">
        <w:rPr>
          <w:rStyle w:val="Fontdeparagrafimplicit"/>
          <w:i/>
          <w:lang w:val="ro-RO"/>
        </w:rPr>
        <w:t xml:space="preserve">, </w:t>
      </w:r>
      <w:r w:rsidR="00A8755B">
        <w:rPr>
          <w:rStyle w:val="Fontdeparagrafimplicit"/>
          <w:i/>
          <w:lang w:val="ro-RO"/>
        </w:rPr>
        <w:t>12</w:t>
      </w:r>
      <w:r w:rsidRPr="00261F2E">
        <w:rPr>
          <w:rStyle w:val="Fontdeparagrafimplicit"/>
          <w:i/>
          <w:lang w:val="ro-RO"/>
        </w:rPr>
        <w:t xml:space="preserve">, </w:t>
      </w:r>
      <w:r w:rsidR="00FA7DDC">
        <w:rPr>
          <w:rStyle w:val="Fontdeparagrafimplicit"/>
          <w:i/>
          <w:lang w:val="ro-RO"/>
        </w:rPr>
        <w:t>119</w:t>
      </w:r>
      <w:r w:rsidRPr="00261F2E">
        <w:rPr>
          <w:rStyle w:val="Fontdeparagrafimplicit"/>
          <w:i/>
          <w:lang w:val="ro-RO"/>
        </w:rPr>
        <w:t xml:space="preserve">, </w:t>
      </w:r>
      <w:r w:rsidR="00A8755B">
        <w:rPr>
          <w:rStyle w:val="Fontdeparagrafimplicit"/>
          <w:i/>
          <w:lang w:val="ro-RO"/>
        </w:rPr>
        <w:t>19</w:t>
      </w:r>
      <w:r w:rsidRPr="00261F2E">
        <w:rPr>
          <w:rStyle w:val="Fontdeparagrafimplicit"/>
          <w:i/>
          <w:lang w:val="ro-RO"/>
        </w:rPr>
        <w:t xml:space="preserve">, </w:t>
      </w:r>
      <w:r w:rsidR="00C224B8">
        <w:rPr>
          <w:rStyle w:val="Fontdeparagrafimplicit"/>
          <w:i/>
          <w:lang w:val="ro-RO"/>
        </w:rPr>
        <w:t>13</w:t>
      </w:r>
      <w:r w:rsidRPr="00261F2E">
        <w:rPr>
          <w:rStyle w:val="Fontdeparagrafimplicit"/>
          <w:i/>
          <w:lang w:val="ro-RO"/>
        </w:rPr>
        <w:t xml:space="preserve">, </w:t>
      </w:r>
      <w:r w:rsidR="00FA7DDC">
        <w:rPr>
          <w:rStyle w:val="Fontdeparagrafimplicit"/>
          <w:i/>
          <w:lang w:val="ro-RO"/>
        </w:rPr>
        <w:t>120</w:t>
      </w:r>
      <w:r w:rsidRPr="00261F2E">
        <w:rPr>
          <w:rStyle w:val="Fontdeparagrafimplicit"/>
          <w:i/>
          <w:lang w:val="ro-RO"/>
        </w:rPr>
        <w:t xml:space="preserve">, </w:t>
      </w:r>
      <w:r w:rsidR="00C224B8">
        <w:rPr>
          <w:rStyle w:val="Fontdeparagrafimplicit"/>
          <w:i/>
          <w:lang w:val="ro-RO"/>
        </w:rPr>
        <w:t>14</w:t>
      </w:r>
      <w:r w:rsidRPr="00261F2E">
        <w:rPr>
          <w:rStyle w:val="Fontdeparagrafimplicit"/>
          <w:i/>
          <w:lang w:val="ro-RO"/>
        </w:rPr>
        <w:t xml:space="preserve">, </w:t>
      </w:r>
      <w:r w:rsidR="00FA7DDC">
        <w:rPr>
          <w:rStyle w:val="Fontdeparagrafimplicit"/>
          <w:i/>
          <w:lang w:val="ro-RO"/>
        </w:rPr>
        <w:t>121</w:t>
      </w:r>
      <w:r w:rsidRPr="00261F2E">
        <w:rPr>
          <w:rStyle w:val="Fontdeparagrafimplicit"/>
          <w:i/>
          <w:lang w:val="ro-RO"/>
        </w:rPr>
        <w:t xml:space="preserve">, </w:t>
      </w:r>
      <w:r w:rsidR="00C224B8">
        <w:rPr>
          <w:rStyle w:val="Fontdeparagrafimplicit"/>
          <w:i/>
          <w:lang w:val="ro-RO"/>
        </w:rPr>
        <w:t>15</w:t>
      </w:r>
      <w:r w:rsidRPr="00261F2E">
        <w:rPr>
          <w:rStyle w:val="Fontdeparagrafimplicit"/>
          <w:i/>
          <w:lang w:val="ro-RO"/>
        </w:rPr>
        <w:t xml:space="preserve">, </w:t>
      </w:r>
      <w:r w:rsidR="00A8755B">
        <w:rPr>
          <w:rStyle w:val="Fontdeparagrafimplicit"/>
          <w:i/>
          <w:lang w:val="ro-RO"/>
        </w:rPr>
        <w:t>16</w:t>
      </w:r>
      <w:r w:rsidRPr="00261F2E">
        <w:rPr>
          <w:rStyle w:val="Fontdeparagrafimplicit"/>
          <w:i/>
          <w:lang w:val="ro-RO"/>
        </w:rPr>
        <w:t xml:space="preserve">, </w:t>
      </w:r>
      <w:r w:rsidR="00A8755B">
        <w:rPr>
          <w:rStyle w:val="Fontdeparagrafimplicit"/>
          <w:i/>
          <w:lang w:val="ro-RO"/>
        </w:rPr>
        <w:t>17</w:t>
      </w:r>
      <w:r w:rsidRPr="00261F2E">
        <w:rPr>
          <w:rStyle w:val="Fontdeparagrafimplicit"/>
          <w:i/>
          <w:lang w:val="ro-RO"/>
        </w:rPr>
        <w:t xml:space="preserve">, </w:t>
      </w:r>
      <w:r w:rsidR="00C224B8">
        <w:rPr>
          <w:rStyle w:val="Fontdeparagrafimplicit"/>
          <w:i/>
          <w:lang w:val="ro-RO"/>
        </w:rPr>
        <w:t>18</w:t>
      </w:r>
      <w:r w:rsidRPr="00261F2E">
        <w:rPr>
          <w:rStyle w:val="Fontdeparagrafimplicit"/>
          <w:i/>
          <w:lang w:val="ro-RO"/>
        </w:rPr>
        <w:t xml:space="preserve">, </w:t>
      </w:r>
      <w:r w:rsidR="00A8755B">
        <w:rPr>
          <w:rStyle w:val="Fontdeparagrafimplicit"/>
          <w:i/>
          <w:lang w:val="ro-RO"/>
        </w:rPr>
        <w:t>20</w:t>
      </w:r>
      <w:r w:rsidRPr="00261F2E">
        <w:rPr>
          <w:rStyle w:val="Fontdeparagrafimplicit"/>
          <w:i/>
          <w:lang w:val="ro-RO"/>
        </w:rPr>
        <w:t xml:space="preserve">, </w:t>
      </w:r>
      <w:r w:rsidR="00FA7DDC">
        <w:rPr>
          <w:rStyle w:val="Fontdeparagrafimplicit"/>
          <w:i/>
          <w:lang w:val="ro-RO"/>
        </w:rPr>
        <w:t>122</w:t>
      </w:r>
      <w:r w:rsidRPr="00261F2E">
        <w:rPr>
          <w:rStyle w:val="Fontdeparagrafimplicit"/>
          <w:i/>
          <w:lang w:val="ro-RO"/>
        </w:rPr>
        <w:t xml:space="preserve">, </w:t>
      </w:r>
      <w:r w:rsidR="00A8755B">
        <w:rPr>
          <w:rStyle w:val="Fontdeparagrafimplicit"/>
          <w:i/>
          <w:lang w:val="ro-RO"/>
        </w:rPr>
        <w:t>21</w:t>
      </w:r>
      <w:r w:rsidRPr="00261F2E">
        <w:rPr>
          <w:rStyle w:val="Fontdeparagrafimplicit"/>
          <w:i/>
          <w:lang w:val="ro-RO"/>
        </w:rPr>
        <w:t xml:space="preserve">, </w:t>
      </w:r>
      <w:r w:rsidR="00FA7DDC">
        <w:rPr>
          <w:rStyle w:val="Fontdeparagrafimplicit"/>
          <w:i/>
          <w:lang w:val="ro-RO"/>
        </w:rPr>
        <w:t>123</w:t>
      </w:r>
      <w:r w:rsidRPr="00261F2E">
        <w:rPr>
          <w:rStyle w:val="Fontdeparagrafimplicit"/>
          <w:i/>
          <w:lang w:val="ro-RO"/>
        </w:rPr>
        <w:t xml:space="preserve">, </w:t>
      </w:r>
      <w:r w:rsidR="00FA7DDC">
        <w:rPr>
          <w:rStyle w:val="Fontdeparagrafimplicit"/>
          <w:i/>
          <w:lang w:val="ro-RO"/>
        </w:rPr>
        <w:t>124</w:t>
      </w:r>
      <w:r w:rsidRPr="00261F2E">
        <w:rPr>
          <w:rStyle w:val="Fontdeparagrafimplicit"/>
          <w:i/>
          <w:lang w:val="ro-RO"/>
        </w:rPr>
        <w:t xml:space="preserve">, </w:t>
      </w:r>
      <w:r w:rsidR="00FA7DDC">
        <w:rPr>
          <w:rStyle w:val="Fontdeparagrafimplicit"/>
          <w:i/>
          <w:lang w:val="ro-RO"/>
        </w:rPr>
        <w:t>125</w:t>
      </w:r>
      <w:r w:rsidRPr="00261F2E">
        <w:rPr>
          <w:rStyle w:val="Fontdeparagrafimplicit"/>
          <w:i/>
          <w:lang w:val="ro-RO"/>
        </w:rPr>
        <w:t xml:space="preserve">, </w:t>
      </w:r>
      <w:r w:rsidR="00A8755B">
        <w:rPr>
          <w:rStyle w:val="Fontdeparagrafimplicit"/>
          <w:i/>
          <w:lang w:val="ro-RO"/>
        </w:rPr>
        <w:t>23</w:t>
      </w:r>
      <w:r w:rsidRPr="00261F2E">
        <w:rPr>
          <w:rStyle w:val="Fontdeparagrafimplicit"/>
          <w:i/>
          <w:lang w:val="ro-RO"/>
        </w:rPr>
        <w:t xml:space="preserve">, </w:t>
      </w:r>
      <w:r w:rsidR="00C224B8">
        <w:rPr>
          <w:rStyle w:val="Fontdeparagrafimplicit"/>
          <w:i/>
          <w:lang w:val="ro-RO"/>
        </w:rPr>
        <w:t>24</w:t>
      </w:r>
      <w:r w:rsidRPr="00261F2E">
        <w:rPr>
          <w:rStyle w:val="Fontdeparagrafimplicit"/>
          <w:i/>
          <w:lang w:val="ro-RO"/>
        </w:rPr>
        <w:t xml:space="preserve">, </w:t>
      </w:r>
      <w:r w:rsidR="00071141">
        <w:rPr>
          <w:rStyle w:val="Fontdeparagrafimplicit"/>
          <w:i/>
          <w:lang w:val="ro-RO"/>
        </w:rPr>
        <w:t>25</w:t>
      </w:r>
      <w:r w:rsidRPr="00261F2E">
        <w:rPr>
          <w:rStyle w:val="Fontdeparagrafimplicit"/>
          <w:i/>
          <w:lang w:val="ro-RO"/>
        </w:rPr>
        <w:t xml:space="preserve">, </w:t>
      </w:r>
      <w:r w:rsidR="00FA7DDC">
        <w:rPr>
          <w:rStyle w:val="Fontdeparagrafimplicit"/>
          <w:i/>
          <w:lang w:val="ro-RO"/>
        </w:rPr>
        <w:t>126</w:t>
      </w:r>
      <w:r w:rsidRPr="00261F2E">
        <w:rPr>
          <w:rStyle w:val="Fontdeparagrafimplicit"/>
          <w:i/>
          <w:lang w:val="ro-RO"/>
        </w:rPr>
        <w:t xml:space="preserve">, </w:t>
      </w:r>
      <w:r w:rsidR="00655A72">
        <w:rPr>
          <w:rStyle w:val="Fontdeparagrafimplicit"/>
          <w:i/>
          <w:lang w:val="ro-RO"/>
        </w:rPr>
        <w:t>26</w:t>
      </w:r>
      <w:r w:rsidRPr="00261F2E">
        <w:rPr>
          <w:rStyle w:val="Fontdeparagrafimplicit"/>
          <w:i/>
          <w:lang w:val="ro-RO"/>
        </w:rPr>
        <w:t xml:space="preserve">, </w:t>
      </w:r>
      <w:r w:rsidR="00655A72">
        <w:rPr>
          <w:rStyle w:val="Fontdeparagrafimplicit"/>
          <w:i/>
          <w:lang w:val="ro-RO"/>
        </w:rPr>
        <w:t>27</w:t>
      </w:r>
      <w:r w:rsidRPr="00261F2E">
        <w:rPr>
          <w:rStyle w:val="Fontdeparagrafimplicit"/>
          <w:i/>
          <w:lang w:val="ro-RO"/>
        </w:rPr>
        <w:t xml:space="preserve">, </w:t>
      </w:r>
      <w:r w:rsidR="00655A72">
        <w:rPr>
          <w:rStyle w:val="Fontdeparagrafimplicit"/>
          <w:i/>
          <w:lang w:val="ro-RO"/>
        </w:rPr>
        <w:t>28</w:t>
      </w:r>
      <w:r w:rsidRPr="00261F2E">
        <w:rPr>
          <w:rStyle w:val="Fontdeparagrafimplicit"/>
          <w:i/>
          <w:lang w:val="ro-RO"/>
        </w:rPr>
        <w:t xml:space="preserve">, </w:t>
      </w:r>
      <w:r w:rsidR="00655A72">
        <w:rPr>
          <w:rStyle w:val="Fontdeparagrafimplicit"/>
          <w:i/>
          <w:lang w:val="ro-RO"/>
        </w:rPr>
        <w:t>29</w:t>
      </w:r>
      <w:r w:rsidRPr="00261F2E">
        <w:rPr>
          <w:rStyle w:val="Fontdeparagrafimplicit"/>
          <w:i/>
          <w:lang w:val="ro-RO"/>
        </w:rPr>
        <w:t xml:space="preserve">, </w:t>
      </w:r>
      <w:r w:rsidR="00FA7DDC">
        <w:rPr>
          <w:rStyle w:val="Fontdeparagrafimplicit"/>
          <w:i/>
          <w:lang w:val="ro-RO"/>
        </w:rPr>
        <w:t>127</w:t>
      </w:r>
      <w:r w:rsidRPr="00261F2E">
        <w:rPr>
          <w:rStyle w:val="Fontdeparagrafimplicit"/>
          <w:i/>
          <w:lang w:val="ro-RO"/>
        </w:rPr>
        <w:t xml:space="preserve">, </w:t>
      </w:r>
      <w:r w:rsidR="00655A72">
        <w:rPr>
          <w:rStyle w:val="Fontdeparagrafimplicit"/>
          <w:i/>
          <w:lang w:val="ro-RO"/>
        </w:rPr>
        <w:t>31</w:t>
      </w:r>
      <w:r w:rsidRPr="00261F2E">
        <w:rPr>
          <w:rStyle w:val="Fontdeparagrafimplicit"/>
          <w:i/>
          <w:lang w:val="ro-RO"/>
        </w:rPr>
        <w:t xml:space="preserve">, </w:t>
      </w:r>
      <w:r w:rsidR="00655A72">
        <w:rPr>
          <w:rStyle w:val="Fontdeparagrafimplicit"/>
          <w:i/>
          <w:lang w:val="ro-RO"/>
        </w:rPr>
        <w:t>32</w:t>
      </w:r>
      <w:r w:rsidRPr="00261F2E">
        <w:rPr>
          <w:rStyle w:val="Fontdeparagrafimplicit"/>
          <w:i/>
          <w:lang w:val="ro-RO"/>
        </w:rPr>
        <w:t xml:space="preserve">, </w:t>
      </w:r>
      <w:r w:rsidR="00655A72">
        <w:rPr>
          <w:rStyle w:val="Fontdeparagrafimplicit"/>
          <w:i/>
          <w:lang w:val="ro-RO"/>
        </w:rPr>
        <w:t>33</w:t>
      </w:r>
      <w:r w:rsidRPr="00261F2E">
        <w:rPr>
          <w:rStyle w:val="Fontdeparagrafimplicit"/>
          <w:i/>
          <w:lang w:val="ro-RO"/>
        </w:rPr>
        <w:t xml:space="preserve">, </w:t>
      </w:r>
      <w:r w:rsidR="00FA7DDC">
        <w:rPr>
          <w:rStyle w:val="Fontdeparagrafimplicit"/>
          <w:i/>
          <w:lang w:val="ro-RO"/>
        </w:rPr>
        <w:t>128</w:t>
      </w:r>
      <w:r w:rsidRPr="00261F2E">
        <w:rPr>
          <w:rStyle w:val="Fontdeparagrafimplicit"/>
          <w:i/>
          <w:lang w:val="ro-RO"/>
        </w:rPr>
        <w:t xml:space="preserve">, </w:t>
      </w:r>
      <w:r w:rsidR="00655A72">
        <w:rPr>
          <w:rStyle w:val="Fontdeparagrafimplicit"/>
          <w:i/>
          <w:lang w:val="ro-RO"/>
        </w:rPr>
        <w:t>34</w:t>
      </w:r>
      <w:r w:rsidRPr="00261F2E">
        <w:rPr>
          <w:rStyle w:val="Fontdeparagrafimplicit"/>
          <w:i/>
          <w:lang w:val="ro-RO"/>
        </w:rPr>
        <w:t xml:space="preserve">, </w:t>
      </w:r>
      <w:r w:rsidR="00655A72">
        <w:rPr>
          <w:rStyle w:val="Fontdeparagrafimplicit"/>
          <w:i/>
          <w:lang w:val="ro-RO"/>
        </w:rPr>
        <w:t>35</w:t>
      </w:r>
      <w:r w:rsidRPr="00261F2E">
        <w:rPr>
          <w:rStyle w:val="Fontdeparagrafimplicit"/>
          <w:i/>
          <w:lang w:val="ro-RO"/>
        </w:rPr>
        <w:t xml:space="preserve">, </w:t>
      </w:r>
      <w:r w:rsidR="00655A72">
        <w:rPr>
          <w:rStyle w:val="Fontdeparagrafimplicit"/>
          <w:i/>
          <w:lang w:val="ro-RO"/>
        </w:rPr>
        <w:t>36</w:t>
      </w:r>
      <w:r w:rsidRPr="00261F2E">
        <w:rPr>
          <w:rStyle w:val="Fontdeparagrafimplicit"/>
          <w:i/>
          <w:lang w:val="ro-RO"/>
        </w:rPr>
        <w:t xml:space="preserve">, </w:t>
      </w:r>
      <w:r w:rsidR="00655A72">
        <w:rPr>
          <w:rStyle w:val="Fontdeparagrafimplicit"/>
          <w:i/>
          <w:lang w:val="ro-RO"/>
        </w:rPr>
        <w:t>37</w:t>
      </w:r>
      <w:r w:rsidRPr="00261F2E">
        <w:rPr>
          <w:rStyle w:val="Fontdeparagrafimplicit"/>
          <w:i/>
          <w:lang w:val="ro-RO"/>
        </w:rPr>
        <w:t xml:space="preserve">, </w:t>
      </w:r>
      <w:r w:rsidR="00655A72">
        <w:rPr>
          <w:rStyle w:val="Fontdeparagrafimplicit"/>
          <w:i/>
          <w:lang w:val="ro-RO"/>
        </w:rPr>
        <w:t>38</w:t>
      </w:r>
      <w:r w:rsidRPr="00261F2E">
        <w:rPr>
          <w:rStyle w:val="Fontdeparagrafimplicit"/>
          <w:i/>
          <w:lang w:val="ro-RO"/>
        </w:rPr>
        <w:t xml:space="preserve">, </w:t>
      </w:r>
      <w:r w:rsidR="00FA7DDC">
        <w:rPr>
          <w:rStyle w:val="Fontdeparagrafimplicit"/>
          <w:i/>
          <w:lang w:val="ro-RO"/>
        </w:rPr>
        <w:t>39</w:t>
      </w:r>
      <w:r w:rsidRPr="00261F2E">
        <w:rPr>
          <w:rStyle w:val="Fontdeparagrafimplicit"/>
          <w:i/>
          <w:lang w:val="ro-RO"/>
        </w:rPr>
        <w:t xml:space="preserve">, </w:t>
      </w:r>
      <w:r w:rsidR="00655A72">
        <w:rPr>
          <w:rStyle w:val="Fontdeparagrafimplicit"/>
          <w:i/>
          <w:lang w:val="ro-RO"/>
        </w:rPr>
        <w:t>40</w:t>
      </w:r>
      <w:r w:rsidRPr="00261F2E">
        <w:rPr>
          <w:rStyle w:val="Fontdeparagrafimplicit"/>
          <w:i/>
          <w:lang w:val="ro-RO"/>
        </w:rPr>
        <w:t xml:space="preserve">, </w:t>
      </w:r>
      <w:r w:rsidR="00FA7DDC">
        <w:rPr>
          <w:rStyle w:val="Fontdeparagrafimplicit"/>
          <w:i/>
          <w:lang w:val="ro-RO"/>
        </w:rPr>
        <w:t>41</w:t>
      </w:r>
      <w:r w:rsidR="000D0E6E">
        <w:rPr>
          <w:rStyle w:val="Fontdeparagrafimplicit"/>
          <w:i/>
          <w:lang w:val="ro-RO"/>
        </w:rPr>
        <w:t xml:space="preserve"> </w:t>
      </w:r>
      <w:r w:rsidRPr="00261F2E">
        <w:rPr>
          <w:rStyle w:val="Fontdeparagrafimplicit"/>
          <w:i/>
          <w:lang w:val="ro-RO"/>
        </w:rPr>
        <w:t xml:space="preserve">şi intervenienţii în nume propriu </w:t>
      </w:r>
      <w:r w:rsidR="00655A72">
        <w:rPr>
          <w:rStyle w:val="Fontdeparagrafimplicit"/>
          <w:i/>
          <w:lang w:val="ro-RO"/>
        </w:rPr>
        <w:t>42</w:t>
      </w:r>
      <w:r w:rsidRPr="00261F2E">
        <w:rPr>
          <w:rStyle w:val="Fontdeparagrafimplicit"/>
          <w:i/>
          <w:lang w:val="ro-RO"/>
        </w:rPr>
        <w:t xml:space="preserve">, </w:t>
      </w:r>
      <w:r w:rsidR="00655A72">
        <w:rPr>
          <w:rStyle w:val="Fontdeparagrafimplicit"/>
          <w:i/>
          <w:lang w:val="ro-RO"/>
        </w:rPr>
        <w:t>43</w:t>
      </w:r>
      <w:r w:rsidRPr="00261F2E">
        <w:rPr>
          <w:rStyle w:val="Fontdeparagrafimplicit"/>
          <w:i/>
          <w:lang w:val="ro-RO"/>
        </w:rPr>
        <w:t xml:space="preserve">, </w:t>
      </w:r>
      <w:r w:rsidR="00655A72">
        <w:rPr>
          <w:rStyle w:val="Fontdeparagrafimplicit"/>
          <w:i/>
          <w:lang w:val="ro-RO"/>
        </w:rPr>
        <w:t>44</w:t>
      </w:r>
      <w:r w:rsidRPr="00261F2E">
        <w:rPr>
          <w:rStyle w:val="Fontdeparagrafimplicit"/>
          <w:i/>
          <w:lang w:val="ro-RO"/>
        </w:rPr>
        <w:t xml:space="preserve">, </w:t>
      </w:r>
      <w:r w:rsidR="00FA7DDC">
        <w:rPr>
          <w:rStyle w:val="Fontdeparagrafimplicit"/>
          <w:i/>
          <w:lang w:val="ro-RO"/>
        </w:rPr>
        <w:t>45</w:t>
      </w:r>
      <w:r w:rsidRPr="00261F2E">
        <w:rPr>
          <w:rStyle w:val="Fontdeparagrafimplicit"/>
          <w:i/>
          <w:lang w:val="ro-RO"/>
        </w:rPr>
        <w:t xml:space="preserve">, </w:t>
      </w:r>
      <w:r w:rsidR="00FA7DDC">
        <w:rPr>
          <w:rStyle w:val="Fontdeparagrafimplicit"/>
          <w:i/>
          <w:lang w:val="ro-RO"/>
        </w:rPr>
        <w:t>46</w:t>
      </w:r>
      <w:r w:rsidRPr="00261F2E">
        <w:rPr>
          <w:rStyle w:val="Fontdeparagrafimplicit"/>
          <w:i/>
          <w:lang w:val="ro-RO"/>
        </w:rPr>
        <w:t xml:space="preserve">, </w:t>
      </w:r>
      <w:r w:rsidR="00FA7DDC">
        <w:rPr>
          <w:rStyle w:val="Fontdeparagrafimplicit"/>
          <w:i/>
          <w:lang w:val="ro-RO"/>
        </w:rPr>
        <w:t>47</w:t>
      </w:r>
      <w:r w:rsidRPr="00261F2E">
        <w:rPr>
          <w:rStyle w:val="Fontdeparagrafimplicit"/>
          <w:i/>
          <w:lang w:val="ro-RO"/>
        </w:rPr>
        <w:t xml:space="preserve">, </w:t>
      </w:r>
      <w:r w:rsidR="00655A72">
        <w:rPr>
          <w:rStyle w:val="Fontdeparagrafimplicit"/>
          <w:i/>
          <w:lang w:val="ro-RO"/>
        </w:rPr>
        <w:t>48</w:t>
      </w:r>
      <w:r w:rsidRPr="00261F2E">
        <w:rPr>
          <w:rStyle w:val="Fontdeparagrafimplicit"/>
          <w:i/>
          <w:lang w:val="ro-RO"/>
        </w:rPr>
        <w:t xml:space="preserve">, </w:t>
      </w:r>
      <w:r w:rsidR="00655A72">
        <w:rPr>
          <w:rStyle w:val="Fontdeparagrafimplicit"/>
          <w:i/>
          <w:lang w:val="ro-RO"/>
        </w:rPr>
        <w:t>49</w:t>
      </w:r>
      <w:r w:rsidRPr="00261F2E">
        <w:rPr>
          <w:rStyle w:val="Fontdeparagrafimplicit"/>
          <w:i/>
          <w:lang w:val="ro-RO"/>
        </w:rPr>
        <w:t xml:space="preserve">, </w:t>
      </w:r>
      <w:r w:rsidR="005E3EBF">
        <w:rPr>
          <w:rStyle w:val="Fontdeparagrafimplicit"/>
          <w:i/>
          <w:lang w:val="ro-RO"/>
        </w:rPr>
        <w:t>50</w:t>
      </w:r>
      <w:r w:rsidRPr="00261F2E">
        <w:rPr>
          <w:rStyle w:val="Fontdeparagrafimplicit"/>
          <w:i/>
          <w:lang w:val="ro-RO"/>
        </w:rPr>
        <w:t xml:space="preserve">, </w:t>
      </w:r>
      <w:r w:rsidR="005E3EBF">
        <w:rPr>
          <w:rStyle w:val="Fontdeparagrafimplicit"/>
          <w:i/>
          <w:lang w:val="ro-RO"/>
        </w:rPr>
        <w:t>51</w:t>
      </w:r>
      <w:r w:rsidRPr="00261F2E">
        <w:rPr>
          <w:rStyle w:val="Fontdeparagrafimplicit"/>
          <w:i/>
          <w:lang w:val="ro-RO"/>
        </w:rPr>
        <w:t xml:space="preserve">, </w:t>
      </w:r>
      <w:r w:rsidR="00FA7DDC">
        <w:rPr>
          <w:rStyle w:val="Fontdeparagrafimplicit"/>
          <w:i/>
          <w:lang w:val="ro-RO"/>
        </w:rPr>
        <w:t>52</w:t>
      </w:r>
      <w:r w:rsidRPr="00261F2E">
        <w:rPr>
          <w:rStyle w:val="Fontdeparagrafimplicit"/>
          <w:i/>
          <w:lang w:val="ro-RO"/>
        </w:rPr>
        <w:t xml:space="preserve">, </w:t>
      </w:r>
      <w:r w:rsidR="005E3EBF">
        <w:rPr>
          <w:rStyle w:val="Fontdeparagrafimplicit"/>
          <w:i/>
          <w:lang w:val="ro-RO"/>
        </w:rPr>
        <w:t>53</w:t>
      </w:r>
      <w:r w:rsidRPr="00261F2E">
        <w:rPr>
          <w:rStyle w:val="Fontdeparagrafimplicit"/>
          <w:i/>
          <w:lang w:val="ro-RO"/>
        </w:rPr>
        <w:t xml:space="preserve">, </w:t>
      </w:r>
      <w:r w:rsidR="005E3EBF">
        <w:rPr>
          <w:rStyle w:val="Fontdeparagrafimplicit"/>
          <w:i/>
          <w:lang w:val="ro-RO"/>
        </w:rPr>
        <w:t>54</w:t>
      </w:r>
      <w:r w:rsidRPr="00261F2E">
        <w:rPr>
          <w:rStyle w:val="Fontdeparagrafimplicit"/>
          <w:i/>
          <w:lang w:val="ro-RO"/>
        </w:rPr>
        <w:t xml:space="preserve">, </w:t>
      </w:r>
      <w:r w:rsidR="00FA7DDC">
        <w:rPr>
          <w:rStyle w:val="Fontdeparagrafimplicit"/>
          <w:i/>
          <w:lang w:val="ro-RO"/>
        </w:rPr>
        <w:t>55</w:t>
      </w:r>
      <w:r w:rsidRPr="00261F2E">
        <w:rPr>
          <w:rStyle w:val="Fontdeparagrafimplicit"/>
          <w:i/>
          <w:lang w:val="ro-RO"/>
        </w:rPr>
        <w:t xml:space="preserve">, </w:t>
      </w:r>
      <w:r w:rsidR="005E3EBF">
        <w:rPr>
          <w:rStyle w:val="Fontdeparagrafimplicit"/>
          <w:i/>
          <w:lang w:val="ro-RO"/>
        </w:rPr>
        <w:t>56</w:t>
      </w:r>
      <w:r w:rsidRPr="00261F2E">
        <w:rPr>
          <w:rStyle w:val="Fontdeparagrafimplicit"/>
          <w:i/>
          <w:lang w:val="ro-RO"/>
        </w:rPr>
        <w:t xml:space="preserve">, </w:t>
      </w:r>
      <w:r w:rsidR="005E3EBF">
        <w:rPr>
          <w:rStyle w:val="Fontdeparagrafimplicit"/>
          <w:i/>
          <w:lang w:val="ro-RO"/>
        </w:rPr>
        <w:t>57</w:t>
      </w:r>
      <w:r w:rsidRPr="00261F2E">
        <w:rPr>
          <w:rStyle w:val="Fontdeparagrafimplicit"/>
          <w:i/>
          <w:lang w:val="ro-RO"/>
        </w:rPr>
        <w:t xml:space="preserve">, </w:t>
      </w:r>
      <w:r w:rsidR="005E3EBF">
        <w:rPr>
          <w:rStyle w:val="Fontdeparagrafimplicit"/>
          <w:i/>
          <w:lang w:val="ro-RO"/>
        </w:rPr>
        <w:t>58</w:t>
      </w:r>
      <w:r w:rsidRPr="00261F2E">
        <w:rPr>
          <w:rStyle w:val="Fontdeparagrafimplicit"/>
          <w:i/>
          <w:lang w:val="ro-RO"/>
        </w:rPr>
        <w:t xml:space="preserve">, </w:t>
      </w:r>
      <w:r w:rsidR="005E3EBF">
        <w:rPr>
          <w:rStyle w:val="Fontdeparagrafimplicit"/>
          <w:i/>
          <w:lang w:val="ro-RO"/>
        </w:rPr>
        <w:t>59</w:t>
      </w:r>
      <w:r w:rsidR="00FA7DDC">
        <w:rPr>
          <w:rStyle w:val="Fontdeparagrafimplicit"/>
          <w:i/>
          <w:lang w:val="ro-RO"/>
        </w:rPr>
        <w:t>, 60</w:t>
      </w:r>
      <w:r w:rsidRPr="00261F2E">
        <w:rPr>
          <w:rStyle w:val="Fontdeparagrafimplicit"/>
          <w:i/>
          <w:lang w:val="ro-RO"/>
        </w:rPr>
        <w:t xml:space="preserve">, </w:t>
      </w:r>
      <w:r w:rsidR="005E3EBF">
        <w:rPr>
          <w:rStyle w:val="Fontdeparagrafimplicit"/>
          <w:i/>
          <w:lang w:val="ro-RO"/>
        </w:rPr>
        <w:t>61</w:t>
      </w:r>
      <w:r w:rsidRPr="00261F2E">
        <w:rPr>
          <w:rStyle w:val="Fontdeparagrafimplicit"/>
          <w:i/>
          <w:lang w:val="ro-RO"/>
        </w:rPr>
        <w:t xml:space="preserve">, </w:t>
      </w:r>
      <w:r w:rsidR="005E3EBF">
        <w:rPr>
          <w:rStyle w:val="Fontdeparagrafimplicit"/>
          <w:i/>
          <w:lang w:val="ro-RO"/>
        </w:rPr>
        <w:t>62</w:t>
      </w:r>
      <w:r w:rsidRPr="00261F2E">
        <w:rPr>
          <w:rStyle w:val="Fontdeparagrafimplicit"/>
          <w:i/>
          <w:lang w:val="ro-RO"/>
        </w:rPr>
        <w:t xml:space="preserve">, </w:t>
      </w:r>
      <w:r w:rsidR="005E3EBF">
        <w:rPr>
          <w:rStyle w:val="Fontdeparagrafimplicit"/>
          <w:i/>
          <w:lang w:val="ro-RO"/>
        </w:rPr>
        <w:t>63</w:t>
      </w:r>
      <w:r w:rsidRPr="00261F2E">
        <w:rPr>
          <w:rStyle w:val="Fontdeparagrafimplicit"/>
          <w:i/>
          <w:lang w:val="ro-RO"/>
        </w:rPr>
        <w:t xml:space="preserve">, </w:t>
      </w:r>
      <w:r w:rsidR="005E3EBF">
        <w:rPr>
          <w:rStyle w:val="Fontdeparagrafimplicit"/>
          <w:i/>
          <w:lang w:val="ro-RO"/>
        </w:rPr>
        <w:t>64</w:t>
      </w:r>
      <w:r w:rsidRPr="00261F2E">
        <w:rPr>
          <w:rStyle w:val="Fontdeparagrafimplicit"/>
          <w:i/>
          <w:lang w:val="ro-RO"/>
        </w:rPr>
        <w:t xml:space="preserve">, </w:t>
      </w:r>
      <w:r w:rsidR="005E3EBF">
        <w:rPr>
          <w:rStyle w:val="Fontdeparagrafimplicit"/>
          <w:i/>
          <w:lang w:val="ro-RO"/>
        </w:rPr>
        <w:t>65</w:t>
      </w:r>
      <w:r w:rsidRPr="00261F2E">
        <w:rPr>
          <w:rStyle w:val="Fontdeparagrafimplicit"/>
          <w:i/>
          <w:lang w:val="ro-RO"/>
        </w:rPr>
        <w:t xml:space="preserve">, </w:t>
      </w:r>
      <w:r w:rsidR="005E3EBF">
        <w:rPr>
          <w:rStyle w:val="Fontdeparagrafimplicit"/>
          <w:i/>
          <w:lang w:val="ro-RO"/>
        </w:rPr>
        <w:t>66</w:t>
      </w:r>
      <w:r w:rsidRPr="00261F2E">
        <w:rPr>
          <w:rStyle w:val="Fontdeparagrafimplicit"/>
          <w:i/>
          <w:lang w:val="ro-RO"/>
        </w:rPr>
        <w:t xml:space="preserve">, </w:t>
      </w:r>
      <w:r w:rsidR="005E3EBF">
        <w:rPr>
          <w:rStyle w:val="Fontdeparagrafimplicit"/>
          <w:i/>
          <w:lang w:val="ro-RO"/>
        </w:rPr>
        <w:t>67</w:t>
      </w:r>
      <w:r w:rsidRPr="00261F2E">
        <w:rPr>
          <w:rStyle w:val="Fontdeparagrafimplicit"/>
          <w:i/>
          <w:lang w:val="ro-RO"/>
        </w:rPr>
        <w:t xml:space="preserve">, </w:t>
      </w:r>
      <w:r w:rsidR="005E3EBF">
        <w:rPr>
          <w:rStyle w:val="Fontdeparagrafimplicit"/>
          <w:i/>
          <w:lang w:val="ro-RO"/>
        </w:rPr>
        <w:t>68</w:t>
      </w:r>
      <w:r w:rsidRPr="00261F2E">
        <w:rPr>
          <w:rStyle w:val="Fontdeparagrafimplicit"/>
          <w:i/>
          <w:lang w:val="ro-RO"/>
        </w:rPr>
        <w:t xml:space="preserve">, </w:t>
      </w:r>
      <w:r w:rsidR="00FA7DDC">
        <w:rPr>
          <w:rStyle w:val="Fontdeparagrafimplicit"/>
          <w:i/>
          <w:lang w:val="ro-RO"/>
        </w:rPr>
        <w:t>69</w:t>
      </w:r>
      <w:r w:rsidRPr="00261F2E">
        <w:rPr>
          <w:rStyle w:val="Fontdeparagrafimplicit"/>
          <w:i/>
          <w:lang w:val="ro-RO"/>
        </w:rPr>
        <w:t xml:space="preserve">, </w:t>
      </w:r>
      <w:r w:rsidR="00FA7DDC">
        <w:rPr>
          <w:rStyle w:val="Fontdeparagrafimplicit"/>
          <w:i/>
          <w:lang w:val="ro-RO"/>
        </w:rPr>
        <w:t>70</w:t>
      </w:r>
      <w:r w:rsidRPr="00261F2E">
        <w:rPr>
          <w:rStyle w:val="Fontdeparagrafimplicit"/>
          <w:i/>
          <w:lang w:val="ro-RO"/>
        </w:rPr>
        <w:t xml:space="preserve">, </w:t>
      </w:r>
      <w:r w:rsidR="005E3EBF">
        <w:rPr>
          <w:rStyle w:val="Fontdeparagrafimplicit"/>
          <w:i/>
          <w:lang w:val="ro-RO"/>
        </w:rPr>
        <w:t>71</w:t>
      </w:r>
      <w:r w:rsidRPr="00261F2E">
        <w:rPr>
          <w:rStyle w:val="Fontdeparagrafimplicit"/>
          <w:i/>
          <w:lang w:val="ro-RO"/>
        </w:rPr>
        <w:t xml:space="preserve">, </w:t>
      </w:r>
      <w:r w:rsidR="005E3EBF">
        <w:rPr>
          <w:rStyle w:val="Fontdeparagrafimplicit"/>
          <w:i/>
          <w:lang w:val="ro-RO"/>
        </w:rPr>
        <w:t>72</w:t>
      </w:r>
      <w:r w:rsidRPr="00261F2E">
        <w:rPr>
          <w:rStyle w:val="Fontdeparagrafimplicit"/>
          <w:i/>
          <w:lang w:val="ro-RO"/>
        </w:rPr>
        <w:t xml:space="preserve">, </w:t>
      </w:r>
      <w:r w:rsidR="005E3EBF">
        <w:rPr>
          <w:rStyle w:val="Fontdeparagrafimplicit"/>
          <w:i/>
          <w:lang w:val="ro-RO"/>
        </w:rPr>
        <w:t>73</w:t>
      </w:r>
      <w:r w:rsidRPr="00261F2E">
        <w:rPr>
          <w:rStyle w:val="Fontdeparagrafimplicit"/>
          <w:i/>
          <w:lang w:val="ro-RO"/>
        </w:rPr>
        <w:t xml:space="preserve">, </w:t>
      </w:r>
      <w:r w:rsidR="00FA7DDC">
        <w:rPr>
          <w:rStyle w:val="Fontdeparagrafimplicit"/>
          <w:i/>
          <w:lang w:val="ro-RO"/>
        </w:rPr>
        <w:t>74</w:t>
      </w:r>
      <w:r w:rsidRPr="00261F2E">
        <w:rPr>
          <w:rStyle w:val="Fontdeparagrafimplicit"/>
          <w:i/>
          <w:lang w:val="ro-RO"/>
        </w:rPr>
        <w:t xml:space="preserve">, </w:t>
      </w:r>
      <w:r w:rsidR="005E3EBF">
        <w:rPr>
          <w:rStyle w:val="Fontdeparagrafimplicit"/>
          <w:i/>
          <w:lang w:val="ro-RO"/>
        </w:rPr>
        <w:t>75</w:t>
      </w:r>
      <w:r w:rsidRPr="00261F2E">
        <w:rPr>
          <w:rStyle w:val="Fontdeparagrafimplicit"/>
          <w:i/>
          <w:lang w:val="ro-RO"/>
        </w:rPr>
        <w:t xml:space="preserve">, </w:t>
      </w:r>
      <w:r w:rsidR="005E3EBF">
        <w:rPr>
          <w:rStyle w:val="Fontdeparagrafimplicit"/>
          <w:i/>
          <w:lang w:val="ro-RO"/>
        </w:rPr>
        <w:t>76</w:t>
      </w:r>
      <w:r w:rsidRPr="00261F2E">
        <w:rPr>
          <w:rStyle w:val="Fontdeparagrafimplicit"/>
          <w:i/>
          <w:lang w:val="ro-RO"/>
        </w:rPr>
        <w:t xml:space="preserve">, </w:t>
      </w:r>
      <w:r w:rsidR="0016296A">
        <w:rPr>
          <w:rStyle w:val="Fontdeparagrafimplicit"/>
          <w:i/>
          <w:lang w:val="ro-RO"/>
        </w:rPr>
        <w:t>129</w:t>
      </w:r>
      <w:r w:rsidRPr="00261F2E">
        <w:rPr>
          <w:rStyle w:val="Fontdeparagrafimplicit"/>
          <w:i/>
          <w:lang w:val="ro-RO"/>
        </w:rPr>
        <w:t xml:space="preserve">, </w:t>
      </w:r>
      <w:r w:rsidR="005E3EBF">
        <w:rPr>
          <w:rStyle w:val="Fontdeparagrafimplicit"/>
          <w:i/>
          <w:lang w:val="ro-RO"/>
        </w:rPr>
        <w:t>78</w:t>
      </w:r>
      <w:r w:rsidRPr="00261F2E">
        <w:rPr>
          <w:rStyle w:val="Fontdeparagrafimplicit"/>
          <w:i/>
          <w:lang w:val="ro-RO"/>
        </w:rPr>
        <w:t xml:space="preserve">, </w:t>
      </w:r>
      <w:r w:rsidR="00FA7DDC">
        <w:rPr>
          <w:rStyle w:val="Fontdeparagrafimplicit"/>
          <w:i/>
          <w:lang w:val="ro-RO"/>
        </w:rPr>
        <w:t>79</w:t>
      </w:r>
      <w:r w:rsidRPr="00261F2E">
        <w:rPr>
          <w:rStyle w:val="Fontdeparagrafimplicit"/>
          <w:i/>
          <w:lang w:val="ro-RO"/>
        </w:rPr>
        <w:t xml:space="preserve">, </w:t>
      </w:r>
      <w:r w:rsidR="00FA7DDC">
        <w:rPr>
          <w:rStyle w:val="Fontdeparagrafimplicit"/>
          <w:i/>
          <w:lang w:val="ro-RO"/>
        </w:rPr>
        <w:t>80</w:t>
      </w:r>
      <w:r w:rsidRPr="00261F2E">
        <w:rPr>
          <w:rStyle w:val="Fontdeparagrafimplicit"/>
          <w:i/>
          <w:lang w:val="ro-RO"/>
        </w:rPr>
        <w:t xml:space="preserve">, </w:t>
      </w:r>
      <w:r w:rsidR="00FA7DDC">
        <w:rPr>
          <w:rStyle w:val="Fontdeparagrafimplicit"/>
          <w:i/>
          <w:lang w:val="ro-RO"/>
        </w:rPr>
        <w:t>81</w:t>
      </w:r>
      <w:r w:rsidRPr="00261F2E">
        <w:rPr>
          <w:rStyle w:val="Fontdeparagrafimplicit"/>
          <w:i/>
          <w:lang w:val="ro-RO"/>
        </w:rPr>
        <w:t xml:space="preserve">, </w:t>
      </w:r>
      <w:r w:rsidR="005E3EBF">
        <w:rPr>
          <w:rStyle w:val="Fontdeparagrafimplicit"/>
          <w:i/>
          <w:lang w:val="ro-RO"/>
        </w:rPr>
        <w:t>82</w:t>
      </w:r>
      <w:r w:rsidRPr="00261F2E">
        <w:rPr>
          <w:rStyle w:val="Fontdeparagrafimplicit"/>
          <w:i/>
          <w:lang w:val="ro-RO"/>
        </w:rPr>
        <w:t xml:space="preserve">, </w:t>
      </w:r>
      <w:r w:rsidR="005E3EBF">
        <w:rPr>
          <w:rStyle w:val="Fontdeparagrafimplicit"/>
          <w:i/>
          <w:lang w:val="ro-RO"/>
        </w:rPr>
        <w:t>83</w:t>
      </w:r>
      <w:r w:rsidRPr="00261F2E">
        <w:rPr>
          <w:rStyle w:val="Fontdeparagrafimplicit"/>
          <w:i/>
          <w:lang w:val="ro-RO"/>
        </w:rPr>
        <w:t xml:space="preserve">, </w:t>
      </w:r>
      <w:r w:rsidR="005E3EBF">
        <w:rPr>
          <w:rStyle w:val="Fontdeparagrafimplicit"/>
          <w:i/>
          <w:lang w:val="ro-RO"/>
        </w:rPr>
        <w:t>84</w:t>
      </w:r>
      <w:r w:rsidRPr="00261F2E">
        <w:rPr>
          <w:rStyle w:val="Fontdeparagrafimplicit"/>
          <w:i/>
          <w:lang w:val="ro-RO"/>
        </w:rPr>
        <w:t xml:space="preserve">, </w:t>
      </w:r>
      <w:r w:rsidR="005E3EBF">
        <w:rPr>
          <w:rStyle w:val="Fontdeparagrafimplicit"/>
          <w:i/>
          <w:lang w:val="ro-RO"/>
        </w:rPr>
        <w:t>85</w:t>
      </w:r>
      <w:r w:rsidRPr="00261F2E">
        <w:rPr>
          <w:rStyle w:val="Fontdeparagrafimplicit"/>
          <w:i/>
          <w:lang w:val="ro-RO"/>
        </w:rPr>
        <w:t xml:space="preserve">, </w:t>
      </w:r>
      <w:r w:rsidR="005E3EBF">
        <w:rPr>
          <w:rStyle w:val="Fontdeparagrafimplicit"/>
          <w:i/>
          <w:lang w:val="ro-RO"/>
        </w:rPr>
        <w:t>86</w:t>
      </w:r>
      <w:r w:rsidRPr="00261F2E">
        <w:rPr>
          <w:rStyle w:val="Fontdeparagrafimplicit"/>
          <w:i/>
          <w:lang w:val="ro-RO"/>
        </w:rPr>
        <w:t xml:space="preserve">, </w:t>
      </w:r>
      <w:r w:rsidR="005E3EBF">
        <w:rPr>
          <w:rStyle w:val="Fontdeparagrafimplicit"/>
          <w:i/>
          <w:lang w:val="ro-RO"/>
        </w:rPr>
        <w:t>87</w:t>
      </w:r>
      <w:r w:rsidRPr="00261F2E">
        <w:rPr>
          <w:rStyle w:val="Fontdeparagrafimplicit"/>
          <w:i/>
          <w:lang w:val="ro-RO"/>
        </w:rPr>
        <w:t xml:space="preserve">, </w:t>
      </w:r>
      <w:r w:rsidR="00FA7DDC">
        <w:rPr>
          <w:rStyle w:val="Fontdeparagrafimplicit"/>
          <w:i/>
          <w:lang w:val="ro-RO"/>
        </w:rPr>
        <w:t>88</w:t>
      </w:r>
      <w:r w:rsidRPr="00261F2E">
        <w:rPr>
          <w:rStyle w:val="Fontdeparagrafimplicit"/>
          <w:i/>
          <w:lang w:val="ro-RO"/>
        </w:rPr>
        <w:t xml:space="preserve">, </w:t>
      </w:r>
      <w:r w:rsidR="005E3EBF">
        <w:rPr>
          <w:rStyle w:val="Fontdeparagrafimplicit"/>
          <w:i/>
          <w:lang w:val="ro-RO"/>
        </w:rPr>
        <w:t>89</w:t>
      </w:r>
      <w:r w:rsidRPr="00261F2E">
        <w:rPr>
          <w:rStyle w:val="Fontdeparagrafimplicit"/>
          <w:i/>
          <w:lang w:val="ro-RO"/>
        </w:rPr>
        <w:t xml:space="preserve">, </w:t>
      </w:r>
      <w:r w:rsidR="005E3EBF">
        <w:rPr>
          <w:rStyle w:val="Fontdeparagrafimplicit"/>
          <w:i/>
          <w:lang w:val="ro-RO"/>
        </w:rPr>
        <w:t>90</w:t>
      </w:r>
      <w:r w:rsidRPr="00261F2E">
        <w:rPr>
          <w:rStyle w:val="Fontdeparagrafimplicit"/>
          <w:i/>
          <w:lang w:val="ro-RO"/>
        </w:rPr>
        <w:t xml:space="preserve">, </w:t>
      </w:r>
      <w:r w:rsidR="005E3EBF">
        <w:rPr>
          <w:rStyle w:val="Fontdeparagrafimplicit"/>
          <w:i/>
          <w:lang w:val="ro-RO"/>
        </w:rPr>
        <w:t>91</w:t>
      </w:r>
      <w:r w:rsidRPr="00261F2E">
        <w:rPr>
          <w:rStyle w:val="Fontdeparagrafimplicit"/>
          <w:i/>
          <w:lang w:val="ro-RO"/>
        </w:rPr>
        <w:t xml:space="preserve">, </w:t>
      </w:r>
      <w:r w:rsidR="005E3EBF">
        <w:rPr>
          <w:rStyle w:val="Fontdeparagrafimplicit"/>
          <w:i/>
          <w:lang w:val="ro-RO"/>
        </w:rPr>
        <w:t>92</w:t>
      </w:r>
      <w:r w:rsidRPr="00261F2E">
        <w:rPr>
          <w:rStyle w:val="Fontdeparagrafimplicit"/>
          <w:i/>
          <w:lang w:val="ro-RO"/>
        </w:rPr>
        <w:t xml:space="preserve">, </w:t>
      </w:r>
      <w:r w:rsidR="00FA7DDC">
        <w:rPr>
          <w:rStyle w:val="Fontdeparagrafimplicit"/>
          <w:i/>
          <w:lang w:val="ro-RO"/>
        </w:rPr>
        <w:t>93</w:t>
      </w:r>
      <w:r w:rsidRPr="00261F2E">
        <w:rPr>
          <w:rStyle w:val="Fontdeparagrafimplicit"/>
          <w:i/>
          <w:lang w:val="ro-RO"/>
        </w:rPr>
        <w:t xml:space="preserve">, </w:t>
      </w:r>
      <w:r w:rsidR="005E3EBF">
        <w:rPr>
          <w:rStyle w:val="Fontdeparagrafimplicit"/>
          <w:i/>
          <w:lang w:val="ro-RO"/>
        </w:rPr>
        <w:t>77</w:t>
      </w:r>
      <w:r w:rsidRPr="00261F2E">
        <w:rPr>
          <w:rStyle w:val="Fontdeparagrafimplicit"/>
          <w:i/>
          <w:lang w:val="ro-RO"/>
        </w:rPr>
        <w:t xml:space="preserve">, </w:t>
      </w:r>
      <w:r w:rsidR="00FA7DDC">
        <w:rPr>
          <w:rStyle w:val="Fontdeparagrafimplicit"/>
          <w:i/>
          <w:lang w:val="ro-RO"/>
        </w:rPr>
        <w:t>94</w:t>
      </w:r>
      <w:r w:rsidRPr="00261F2E">
        <w:rPr>
          <w:rStyle w:val="Fontdeparagrafimplicit"/>
          <w:i/>
          <w:lang w:val="ro-RO"/>
        </w:rPr>
        <w:t xml:space="preserve">, </w:t>
      </w:r>
      <w:r w:rsidR="003A697B">
        <w:rPr>
          <w:rStyle w:val="Fontdeparagrafimplicit"/>
          <w:i/>
          <w:lang w:val="ro-RO"/>
        </w:rPr>
        <w:t>95</w:t>
      </w:r>
      <w:r w:rsidRPr="00261F2E">
        <w:rPr>
          <w:rStyle w:val="Fontdeparagrafimplicit"/>
          <w:i/>
          <w:lang w:val="ro-RO"/>
        </w:rPr>
        <w:t xml:space="preserve">, </w:t>
      </w:r>
      <w:r w:rsidR="003A697B">
        <w:rPr>
          <w:rStyle w:val="Fontdeparagrafimplicit"/>
          <w:i/>
          <w:lang w:val="ro-RO"/>
        </w:rPr>
        <w:t>96</w:t>
      </w:r>
      <w:r w:rsidRPr="00261F2E">
        <w:rPr>
          <w:rStyle w:val="Fontdeparagrafimplicit"/>
          <w:i/>
          <w:lang w:val="ro-RO"/>
        </w:rPr>
        <w:t xml:space="preserve">, </w:t>
      </w:r>
      <w:r w:rsidR="00FA7DDC">
        <w:rPr>
          <w:rStyle w:val="Fontdeparagrafimplicit"/>
          <w:i/>
          <w:lang w:val="ro-RO"/>
        </w:rPr>
        <w:t>97</w:t>
      </w:r>
      <w:r w:rsidRPr="00261F2E">
        <w:rPr>
          <w:rStyle w:val="Fontdeparagrafimplicit"/>
          <w:i/>
          <w:lang w:val="ro-RO"/>
        </w:rPr>
        <w:t xml:space="preserve">, </w:t>
      </w:r>
      <w:r w:rsidR="003A697B">
        <w:rPr>
          <w:rStyle w:val="Fontdeparagrafimplicit"/>
          <w:i/>
          <w:lang w:val="ro-RO"/>
        </w:rPr>
        <w:t>98</w:t>
      </w:r>
      <w:r w:rsidRPr="00261F2E">
        <w:rPr>
          <w:rStyle w:val="Fontdeparagrafimplicit"/>
          <w:i/>
          <w:lang w:val="ro-RO"/>
        </w:rPr>
        <w:t xml:space="preserve">, </w:t>
      </w:r>
      <w:r w:rsidR="003A697B">
        <w:rPr>
          <w:rStyle w:val="Fontdeparagrafimplicit"/>
          <w:i/>
          <w:lang w:val="ro-RO"/>
        </w:rPr>
        <w:t>99</w:t>
      </w:r>
      <w:r w:rsidRPr="00261F2E">
        <w:rPr>
          <w:rStyle w:val="Fontdeparagrafimplicit"/>
          <w:i/>
          <w:lang w:val="ro-RO"/>
        </w:rPr>
        <w:t xml:space="preserve">, </w:t>
      </w:r>
      <w:r w:rsidR="003A697B">
        <w:rPr>
          <w:rStyle w:val="Fontdeparagrafimplicit"/>
          <w:i/>
          <w:lang w:val="ro-RO"/>
        </w:rPr>
        <w:t>100</w:t>
      </w:r>
      <w:r w:rsidRPr="00261F2E">
        <w:rPr>
          <w:rStyle w:val="Fontdeparagrafimplicit"/>
          <w:i/>
          <w:lang w:val="ro-RO"/>
        </w:rPr>
        <w:t xml:space="preserve">, </w:t>
      </w:r>
      <w:r w:rsidR="003A697B">
        <w:rPr>
          <w:rStyle w:val="Fontdeparagrafimplicit"/>
          <w:i/>
          <w:lang w:val="ro-RO"/>
        </w:rPr>
        <w:t>101</w:t>
      </w:r>
      <w:r w:rsidRPr="00261F2E">
        <w:rPr>
          <w:rStyle w:val="Fontdeparagrafimplicit"/>
          <w:i/>
          <w:lang w:val="ro-RO"/>
        </w:rPr>
        <w:t xml:space="preserve">, </w:t>
      </w:r>
      <w:r w:rsidR="00FA7DDC">
        <w:rPr>
          <w:rStyle w:val="Fontdeparagrafimplicit"/>
          <w:i/>
          <w:lang w:val="ro-RO"/>
        </w:rPr>
        <w:t>102</w:t>
      </w:r>
      <w:r w:rsidRPr="00261F2E">
        <w:rPr>
          <w:rStyle w:val="Fontdeparagrafimplicit"/>
          <w:i/>
          <w:lang w:val="ro-RO"/>
        </w:rPr>
        <w:t xml:space="preserve">, </w:t>
      </w:r>
      <w:r w:rsidR="003A697B">
        <w:rPr>
          <w:rStyle w:val="Fontdeparagrafimplicit"/>
          <w:i/>
          <w:lang w:val="ro-RO"/>
        </w:rPr>
        <w:t>103</w:t>
      </w:r>
      <w:r w:rsidRPr="00261F2E">
        <w:rPr>
          <w:rStyle w:val="Fontdeparagrafimplicit"/>
          <w:i/>
          <w:lang w:val="ro-RO"/>
        </w:rPr>
        <w:t xml:space="preserve">, </w:t>
      </w:r>
      <w:r w:rsidR="00FA7DDC">
        <w:rPr>
          <w:rStyle w:val="Fontdeparagrafimplicit"/>
          <w:i/>
          <w:lang w:val="ro-RO"/>
        </w:rPr>
        <w:t>104</w:t>
      </w:r>
      <w:r w:rsidRPr="00261F2E">
        <w:rPr>
          <w:rStyle w:val="Fontdeparagrafimplicit"/>
          <w:i/>
          <w:lang w:val="ro-RO"/>
        </w:rPr>
        <w:t xml:space="preserve">, </w:t>
      </w:r>
      <w:r w:rsidR="003A697B">
        <w:rPr>
          <w:rStyle w:val="Fontdeparagrafimplicit"/>
          <w:i/>
          <w:lang w:val="ro-RO"/>
        </w:rPr>
        <w:t>105</w:t>
      </w:r>
      <w:r w:rsidRPr="00261F2E">
        <w:rPr>
          <w:rStyle w:val="Fontdeparagrafimplicit"/>
          <w:i/>
          <w:lang w:val="ro-RO"/>
        </w:rPr>
        <w:t xml:space="preserve">, </w:t>
      </w:r>
      <w:r w:rsidR="003A697B">
        <w:rPr>
          <w:rStyle w:val="Fontdeparagrafimplicit"/>
          <w:i/>
          <w:lang w:val="ro-RO"/>
        </w:rPr>
        <w:t>106</w:t>
      </w:r>
      <w:r w:rsidRPr="00261F2E">
        <w:rPr>
          <w:rStyle w:val="Fontdeparagrafimplicit"/>
          <w:i/>
          <w:lang w:val="ro-RO"/>
        </w:rPr>
        <w:t xml:space="preserve">, </w:t>
      </w:r>
      <w:r w:rsidR="003A697B">
        <w:rPr>
          <w:rStyle w:val="Fontdeparagrafimplicit"/>
          <w:i/>
          <w:lang w:val="ro-RO"/>
        </w:rPr>
        <w:t>107</w:t>
      </w:r>
      <w:r w:rsidRPr="00261F2E">
        <w:rPr>
          <w:rStyle w:val="Fontdeparagrafimplicit"/>
          <w:i/>
          <w:lang w:val="ro-RO"/>
        </w:rPr>
        <w:t xml:space="preserve">, </w:t>
      </w:r>
      <w:r w:rsidR="003A697B">
        <w:rPr>
          <w:rStyle w:val="Fontdeparagrafimplicit"/>
          <w:i/>
          <w:lang w:val="ro-RO"/>
        </w:rPr>
        <w:t>108</w:t>
      </w:r>
      <w:r w:rsidRPr="00261F2E">
        <w:rPr>
          <w:rStyle w:val="Fontdeparagrafimplicit"/>
          <w:i/>
          <w:lang w:val="ro-RO"/>
        </w:rPr>
        <w:t xml:space="preserve">, </w:t>
      </w:r>
      <w:r w:rsidR="00FA7DDC">
        <w:rPr>
          <w:rStyle w:val="Fontdeparagrafimplicit"/>
          <w:i/>
          <w:lang w:val="ro-RO"/>
        </w:rPr>
        <w:t>109</w:t>
      </w:r>
      <w:r w:rsidRPr="00261F2E">
        <w:rPr>
          <w:rStyle w:val="Fontdeparagrafimplicit"/>
          <w:i/>
          <w:lang w:val="ro-RO"/>
        </w:rPr>
        <w:t xml:space="preserve">, </w:t>
      </w:r>
      <w:r w:rsidR="003A697B">
        <w:rPr>
          <w:rStyle w:val="Fontdeparagrafimplicit"/>
          <w:i/>
          <w:lang w:val="ro-RO"/>
        </w:rPr>
        <w:t>110</w:t>
      </w:r>
      <w:r w:rsidRPr="00261F2E">
        <w:rPr>
          <w:rStyle w:val="Fontdeparagrafimplicit"/>
          <w:i/>
          <w:lang w:val="ro-RO"/>
        </w:rPr>
        <w:t xml:space="preserve">, </w:t>
      </w:r>
      <w:r w:rsidR="003A697B">
        <w:rPr>
          <w:rStyle w:val="Fontdeparagrafimplicit"/>
          <w:i/>
          <w:lang w:val="ro-RO"/>
        </w:rPr>
        <w:t>111</w:t>
      </w:r>
      <w:r w:rsidRPr="00261F2E">
        <w:rPr>
          <w:rStyle w:val="Fontdeparagrafimplicit"/>
          <w:i/>
          <w:lang w:val="ro-RO"/>
        </w:rPr>
        <w:t xml:space="preserve">, </w:t>
      </w:r>
      <w:r w:rsidR="00FA7DDC">
        <w:rPr>
          <w:rStyle w:val="Fontdeparagrafimplicit"/>
          <w:i/>
          <w:lang w:val="ro-RO"/>
        </w:rPr>
        <w:t>112</w:t>
      </w:r>
      <w:r w:rsidRPr="00261F2E">
        <w:rPr>
          <w:rStyle w:val="Fontdeparagrafimplicit"/>
          <w:i/>
          <w:lang w:val="ro-RO"/>
        </w:rPr>
        <w:t xml:space="preserve">, </w:t>
      </w:r>
      <w:r w:rsidR="003A697B">
        <w:rPr>
          <w:rStyle w:val="Fontdeparagrafimplicit"/>
          <w:i/>
          <w:lang w:val="ro-RO"/>
        </w:rPr>
        <w:t>113</w:t>
      </w:r>
      <w:r w:rsidRPr="00261F2E">
        <w:rPr>
          <w:rStyle w:val="Fontdeparagrafimplicit"/>
          <w:i/>
          <w:lang w:val="ro-RO"/>
        </w:rPr>
        <w:t xml:space="preserve">, </w:t>
      </w:r>
      <w:r w:rsidR="003A697B">
        <w:rPr>
          <w:rStyle w:val="Fontdeparagrafimplicit"/>
          <w:i/>
          <w:lang w:val="ro-RO"/>
        </w:rPr>
        <w:t>114</w:t>
      </w:r>
      <w:r w:rsidRPr="00261F2E">
        <w:rPr>
          <w:rStyle w:val="Fontdeparagrafimplicit"/>
          <w:i/>
          <w:lang w:val="ro-RO"/>
        </w:rPr>
        <w:t xml:space="preserve">, </w:t>
      </w:r>
      <w:r w:rsidR="00FA7DDC">
        <w:rPr>
          <w:rStyle w:val="Fontdeparagrafimplicit"/>
          <w:i/>
          <w:lang w:val="ro-RO"/>
        </w:rPr>
        <w:t>115</w:t>
      </w:r>
      <w:r w:rsidRPr="00261F2E">
        <w:rPr>
          <w:rStyle w:val="Fontdeparagrafimplicit"/>
          <w:i/>
          <w:lang w:val="ro-RO"/>
        </w:rPr>
        <w:t xml:space="preserve">, </w:t>
      </w:r>
      <w:r w:rsidR="00FA7DDC">
        <w:rPr>
          <w:rStyle w:val="Fontdeparagrafimplicit"/>
          <w:i/>
          <w:lang w:val="ro-RO"/>
        </w:rPr>
        <w:t>116</w:t>
      </w:r>
      <w:r w:rsidRPr="00261F2E">
        <w:rPr>
          <w:rStyle w:val="Fontdeparagrafimplicit"/>
          <w:i/>
          <w:lang w:val="ro-RO"/>
        </w:rPr>
        <w:t>,</w:t>
      </w:r>
      <w:r>
        <w:t xml:space="preserve"> solicitând anularea deciziei civile </w:t>
      </w:r>
      <w:r w:rsidR="00A8755B">
        <w:t>...........</w:t>
      </w:r>
      <w:r>
        <w:t>/</w:t>
      </w:r>
      <w:r w:rsidR="003A697B">
        <w:t>........</w:t>
      </w:r>
      <w:r>
        <w:t xml:space="preserve">pronunţată de Curtea de Apel </w:t>
      </w:r>
      <w:r w:rsidR="00261F2E">
        <w:t>...........</w:t>
      </w:r>
      <w:r>
        <w:t xml:space="preserve"> în dosarul </w:t>
      </w:r>
      <w:r w:rsidR="003A697B">
        <w:t>2.1</w:t>
      </w:r>
      <w:r>
        <w:t xml:space="preserve">*; soluţionarea cauzei în cadrul contestaţiei şi admiterea apelului împotriva încheierii din </w:t>
      </w:r>
      <w:r w:rsidR="00A8755B">
        <w:t xml:space="preserve">.....06.2020 </w:t>
      </w:r>
      <w:r>
        <w:t xml:space="preserve">prin care a fost respinsă cererea de decădere a pârâtului Tribunalul </w:t>
      </w:r>
      <w:r w:rsidR="00655A72">
        <w:t>S..........</w:t>
      </w:r>
      <w:r>
        <w:t xml:space="preserve"> de a invoca tardivitatea completării/precizării de acţiune şi a sentinţei civile nr. </w:t>
      </w:r>
      <w:r w:rsidR="00AB763A">
        <w:t>.......</w:t>
      </w:r>
      <w:r>
        <w:t>/</w:t>
      </w:r>
      <w:r w:rsidR="00FA7DDC">
        <w:t xml:space="preserve">.......... </w:t>
      </w:r>
      <w:r>
        <w:t xml:space="preserve">pronunţată de Tribunalul </w:t>
      </w:r>
      <w:r w:rsidR="00261F2E">
        <w:t>...........</w:t>
      </w:r>
      <w:r>
        <w:t xml:space="preserve"> în dosarul </w:t>
      </w:r>
      <w:r w:rsidR="003A697B">
        <w:t>2.1</w:t>
      </w:r>
      <w:r>
        <w:t>*, cu cheltuieli de judecată.</w:t>
      </w:r>
    </w:p>
    <w:p w:rsidR="008623E3" w14:paraId="098FFFD6" w14:textId="77777777">
      <w:pPr>
        <w:ind w:firstLine="720"/>
        <w:jc w:val="both"/>
      </w:pPr>
      <w:r>
        <w:t>În motivarea contestaţiei în anulare au arătat că hotărârea dată în apel a fost pronunţată cu încălcarea normelor referitoare la alcătuirea instanţei, compunerea instanţei fiind în complet de 2 judecători, în loc de 3 judecători, fiind astfel incident motivul de contestaţie în anulare prevăzut de dispoziţiile art. 503 alin. (2) pct 1 teza Ii-a din C. proc. civ.</w:t>
      </w:r>
    </w:p>
    <w:p w:rsidR="008623E3" w14:paraId="745667C4" w14:textId="77777777">
      <w:pPr>
        <w:ind w:firstLine="720"/>
        <w:jc w:val="both"/>
      </w:pPr>
      <w:r>
        <w:t>În susţinerea au invocat art. 54 alin. (2) din Legea nr. 304/2004 privind organizarea judiciară, astfel cum a fost modificat prin art. I, pct. 30 din Legea nr. 207/2018 în vigoare începând cu data de 23.07.2018, potrivit căruia– „(2) Apelurile şi recursurile se judecă, în complet format din 3 judecători, cu excepţia cazurilor în care legea prevede altfel”.</w:t>
      </w:r>
    </w:p>
    <w:p w:rsidR="008623E3" w14:paraId="31D7BECB" w14:textId="77777777">
      <w:pPr>
        <w:ind w:firstLine="720"/>
        <w:jc w:val="both"/>
      </w:pPr>
      <w:r>
        <w:t>Totodată, au invocat şi art. IV din acelaşi act normativ prin care se arată că: „Dispoziţiile prezentei legi privind judecarea apelurilor în complet de 3 judecători se aplică cauzelor înregistrate pe rolul instanţelor după intrarea în vigoare a prezentei legi”.</w:t>
      </w:r>
    </w:p>
    <w:p w:rsidR="008623E3" w14:paraId="3CBF3D80" w14:textId="77777777">
      <w:pPr>
        <w:ind w:firstLine="720"/>
        <w:jc w:val="both"/>
      </w:pPr>
      <w:r>
        <w:t xml:space="preserve">Au precizat că începând data de 16.10.2018, data publicării în MO a O.U.G. nr. 92/2018, s-a revenit la prevederile art. 54 alin. (2) privind alcătuirea instanţelor de apel şi de recurs. </w:t>
      </w:r>
    </w:p>
    <w:p w:rsidR="008623E3" w14:paraId="0FA7237B" w14:textId="77777777">
      <w:pPr>
        <w:ind w:firstLine="720"/>
        <w:jc w:val="both"/>
      </w:pPr>
      <w:r>
        <w:t>Plecând de la aceste menţiuni, a solicitat să se constate că în perioada 23.07-2018-15.10.2018 apelurile formulate în procesele pornite începând cu data de 23.07.2018 şi până la data de 15.10.2018 inclusiv, se judecă în complet format din 3 judecători.</w:t>
      </w:r>
    </w:p>
    <w:p w:rsidR="008623E3" w14:paraId="1A08E035" w14:textId="1E23D1DD">
      <w:pPr>
        <w:ind w:firstLine="720"/>
        <w:jc w:val="both"/>
      </w:pPr>
      <w:r>
        <w:t xml:space="preserve">Contestatorii au arătat că cererea de chemare în judecată a fost înregistrată pe rolul Tribunalul </w:t>
      </w:r>
      <w:r w:rsidR="00261F2E">
        <w:t>...........</w:t>
      </w:r>
      <w:r>
        <w:t xml:space="preserve"> la data de 23.07.2018, ceea ce înseamnă că se înscrie în perioada de activitate a Legii nr. 207/2018 intrată în vigoare la 23.07.2018 care prevedea alcătuirea completurilor de apel din 3 judecători.</w:t>
      </w:r>
    </w:p>
    <w:p w:rsidR="008623E3" w14:paraId="618DFF68" w14:textId="77777777">
      <w:pPr>
        <w:ind w:firstLine="720"/>
        <w:jc w:val="both"/>
      </w:pPr>
      <w:r>
        <w:t>Astfel, consideră că instanţa de control judiciar, care a judecat apelul în complet format din 2 judecători, a pronunţat o hotărâre cu încălcarea normelor imperative referitoare la alcătuirea instanţei, respectiv a dispoziţiilor care reglementează compunerea completului de judecată, iar încălcarea dispoziţiilor legale referitoare la compunerea sau constituirea instanţei atrage nulitatea hotărârii pronunţate.</w:t>
      </w:r>
    </w:p>
    <w:p w:rsidR="008623E3" w14:paraId="1F8C34CA" w14:textId="77777777">
      <w:pPr>
        <w:ind w:firstLine="708"/>
        <w:jc w:val="both"/>
      </w:pPr>
      <w:r>
        <w:t>În drept, s-au prevalat de dispoziţiile legale invocate în cuprinsul contestaţiei în anulare cât şi pe cele invocate în cererea de apel.</w:t>
      </w:r>
    </w:p>
    <w:p w:rsidR="008623E3" w14:paraId="60D1F476" w14:textId="77777777">
      <w:pPr>
        <w:ind w:firstLine="708"/>
        <w:jc w:val="both"/>
      </w:pPr>
    </w:p>
    <w:p w:rsidR="008623E3" w14:paraId="719C2CDA" w14:textId="77777777">
      <w:pPr>
        <w:ind w:firstLine="720"/>
        <w:jc w:val="both"/>
      </w:pPr>
      <w:r w:rsidRPr="00261F2E">
        <w:rPr>
          <w:rStyle w:val="Fontdeparagrafimplicit"/>
          <w:i/>
          <w:lang w:val="pt-PT"/>
        </w:rPr>
        <w:t>Intimatul Ministerul Justiţiei</w:t>
      </w:r>
      <w:r>
        <w:t xml:space="preserve"> </w:t>
      </w:r>
      <w:r w:rsidRPr="00261F2E">
        <w:rPr>
          <w:rStyle w:val="Fontdeparagrafimplicit"/>
          <w:i/>
          <w:lang w:val="pt-PT"/>
        </w:rPr>
        <w:t xml:space="preserve">a formulat întâmpinare, </w:t>
      </w:r>
      <w:r>
        <w:t>prin care a solicitat respingerea acesteia, ca neîntemeiată.</w:t>
      </w:r>
    </w:p>
    <w:p w:rsidR="008623E3" w14:paraId="0F71AD2C" w14:textId="77777777">
      <w:pPr>
        <w:ind w:firstLine="720"/>
        <w:jc w:val="both"/>
      </w:pPr>
      <w:r>
        <w:t>În susţinere, a arătat că art. 54 alin. 2 din Legea nr. 304/2004 privind organizarea judiciară modificată prin Legea nr. 207/2018 prevede că, potrivit articolului unic din Ordonanţa de Urgenţă a Guvernului nr. 215/2020 privind adoptarea unor măsuri în materia alcătuirii completurilor de judecată în apel, „Dispoziţiile art. 54 alin. (2) din Legea nr. 304/2004 privind organizarea judiciară, republicată, cu modificările şi completările ulterioare, privitoare la judecarea apelurilor în complet format din 3 judecători se aplică apelurilor formulate în procese pornite începând cu data de 1 ianuarie 2023. În procesele pornite începând cu data de 1 ianuarie 2021 şi până la data de 31 decembrie 2022 inclusiv, apelurile se judecă în complet format din 2 judecători (..)”</w:t>
      </w:r>
    </w:p>
    <w:p w:rsidR="008623E3" w14:paraId="170D1BC5" w14:textId="2C379FC0">
      <w:pPr>
        <w:ind w:firstLine="720"/>
        <w:jc w:val="both"/>
      </w:pPr>
      <w:r>
        <w:t xml:space="preserve">Faţă de textul legal citat mai sus, se poate observa că decizia atacată de contestatori a fost pronunţată în data de </w:t>
      </w:r>
      <w:r w:rsidR="00AB763A">
        <w:t>.......</w:t>
      </w:r>
      <w:r>
        <w:t>.2021, iar la acea dată, legea impunea ca apelurile să se judece în complet de 2 judecători, hotărârea atacată fiind pronunţată în mod corect de 2 judecători.</w:t>
      </w:r>
    </w:p>
    <w:p w:rsidR="008623E3" w14:paraId="6CEF238A" w14:textId="77777777">
      <w:pPr>
        <w:ind w:firstLine="720"/>
        <w:jc w:val="both"/>
      </w:pPr>
      <w:r>
        <w:t>Având în vedere argumentele invocate, a solicitat respingerea contestaţiei în anulare ca neîntemeiată, considerând că, în prezenta cauză nu sunt îndeplinite condiţiile impuse de art. 503 alin. 2 pct. 1 teza a II a Cod procedură civilă.</w:t>
      </w:r>
    </w:p>
    <w:p w:rsidR="008623E3" w14:paraId="2D335035" w14:textId="77777777">
      <w:pPr>
        <w:ind w:firstLine="720"/>
        <w:jc w:val="both"/>
      </w:pPr>
    </w:p>
    <w:p w:rsidR="008623E3" w14:paraId="2498CA76" w14:textId="41DEE914">
      <w:pPr>
        <w:ind w:firstLine="720"/>
        <w:jc w:val="both"/>
      </w:pPr>
      <w:r w:rsidRPr="00261F2E">
        <w:rPr>
          <w:rStyle w:val="Fontdeparagrafimplicit"/>
          <w:i/>
          <w:lang w:val="ro-RO"/>
        </w:rPr>
        <w:t xml:space="preserve">Intimata Curtea de Apel </w:t>
      </w:r>
      <w:r w:rsidR="003A697B">
        <w:rPr>
          <w:rStyle w:val="Fontdeparagrafimplicit"/>
          <w:i/>
          <w:lang w:val="ro-RO"/>
        </w:rPr>
        <w:t>.........</w:t>
      </w:r>
      <w:r>
        <w:t xml:space="preserve"> </w:t>
      </w:r>
      <w:r w:rsidRPr="00261F2E">
        <w:rPr>
          <w:rStyle w:val="Fontdeparagrafimplicit"/>
          <w:i/>
          <w:lang w:val="ro-RO"/>
        </w:rPr>
        <w:t xml:space="preserve">a depus întâmpinare, </w:t>
      </w:r>
      <w:r>
        <w:t>prin care a solicitat respingerea contestaţiei în anulare ca inadmisibilă, arătând că în cauză nu sunt incidente dispoziţiile art. 503 alin. (2) pct. 1 teza II-a din Codul de procedură civilă, potrivit cărora: „ (2) Hotărârile instanţelor de recurs mai pot fi atacate cu contestaţie în anulare atunci când:</w:t>
      </w:r>
    </w:p>
    <w:p w:rsidR="008623E3" w14:paraId="149BD61B" w14:textId="77777777">
      <w:pPr>
        <w:ind w:firstLine="720"/>
        <w:jc w:val="both"/>
      </w:pPr>
      <w:r>
        <w:t>1. hotărârea dată în recurs a fost pronunţată de o instanţă necompetentă absolut sau cu încălcarea normelor referitoare la alcătuirea instanţei şi, deşi se invocase excepţia corespunzătoare, instanţa de recurs a omis să se pronunţe asupra acesteia;”</w:t>
      </w:r>
    </w:p>
    <w:p w:rsidR="008623E3" w14:paraId="397176FE" w14:textId="542F7A44">
      <w:pPr>
        <w:ind w:firstLine="720"/>
        <w:jc w:val="both"/>
      </w:pPr>
      <w:r>
        <w:t xml:space="preserve">Potrivit dispoziţiilor legale mai sus citate rezultă cu puterea evidenţei că necompetenţa instanţei sau greşita alcătuire a instanţei trebuie invocate în faţa instanţei de apel/recurs şi doar în măsura în care instanţa de apel/recurs a omis să se pronunţe asupra excepţiei acest motiv de nelegalitate poate fi invocat pe calea contestaţiei în anulare. A solicitat să se observe că reclamanţii nu au invocat în calea de atac a apelului greşita compunere a instanţei, cu toate că dosarul a avut mai multe termene de judecată la Curtea de Apel </w:t>
      </w:r>
      <w:r w:rsidR="00261F2E">
        <w:t>...........</w:t>
      </w:r>
      <w:r>
        <w:t>, acest motiv de nelegalitate fiind invocat pentru prima dată pe calea contestaţiei în anulare, astfel încât contestaţia în anulare formulată de reclamanţi este inadmisibilă.</w:t>
      </w:r>
    </w:p>
    <w:p w:rsidR="008623E3" w14:paraId="50EEB60E" w14:textId="77777777">
      <w:pPr>
        <w:ind w:firstLine="720"/>
        <w:jc w:val="both"/>
      </w:pPr>
      <w:r>
        <w:t>În subsidiar, contestaţia în anulare formulată de reclamanţi este nefondată din perspectiva dispoziţiilor legale invocate de reclamanţi în susţinerea contestaţiei, respectiv art. I pct. 30 din Legea nr. 207/2018 prin care a fost modificat art. 54 alin. (2) din Legea nr. 304/2004 privind organizarea judiciară, dispoziţii care au intrat în vigoare la data de 23 iulie 2018.</w:t>
      </w:r>
    </w:p>
    <w:p w:rsidR="008623E3" w14:paraId="70CB115F" w14:textId="722CC7A2">
      <w:pPr>
        <w:ind w:firstLine="720"/>
        <w:jc w:val="both"/>
      </w:pPr>
      <w:r>
        <w:t xml:space="preserve">A solicitat instanţei să aibă în vedere că acţiunea ce a făcut obiectul dosarului nr. </w:t>
      </w:r>
      <w:r w:rsidR="003A697B">
        <w:t>2.1</w:t>
      </w:r>
      <w:r>
        <w:t xml:space="preserve"> al Tribunalului </w:t>
      </w:r>
      <w:r w:rsidR="00261F2E">
        <w:t>...........</w:t>
      </w:r>
      <w:r>
        <w:t xml:space="preserve"> a fost transmisă de către reclamanţi prin poştă la data de 16.07.2018, conform ştampilei poştei aplicată pe plicul de corespondenţă, astfel încât, cererea reclamanţilor a fost supusă regulilor de procedură din legea veche, anterioară datei de 23 iulie 2018, potrivit dispoziţiilor art. 3 alin. (2) din Legea nr. 76/2012 pentru punerea în aplicare a Legii nr. 134/2010 privind Codul de procedură civilă, potrivit cărora; „ (2) Procesele începute prin cereri depuse, în condiţiile legii, la poştă, unităţi militare sau locuri de deţinere înainte de data intrării în vigoare a Codului de procedură civilă rămân supuse legii vechi, chiar dacă sunt înregistrate la instanţă după această dată.”</w:t>
      </w:r>
    </w:p>
    <w:p w:rsidR="008623E3" w14:paraId="396664FF" w14:textId="2C1D4182">
      <w:pPr>
        <w:ind w:firstLine="720"/>
        <w:jc w:val="both"/>
      </w:pPr>
      <w:r>
        <w:t xml:space="preserve">A atătat că, la judecarea apelului declarat în dosarul nr. </w:t>
      </w:r>
      <w:r w:rsidR="003A697B">
        <w:t>2.1</w:t>
      </w:r>
      <w:r>
        <w:t>*, au fost aplicabile dispoziţiile legii vechi de procedură, completul de judecată fiind legal constituit din 2 judecători, neavând relevanţă data la care dosarul a fost înregistrat la instanţă ci data la care a fost depusă cererea reclamanţilor la oficiul poştal în vederea expedierii la instanţă, nefiind incidente aşadar dispoziţiile art. II din Legea nr. 207/2018.</w:t>
      </w:r>
    </w:p>
    <w:p w:rsidR="008623E3" w14:paraId="283D4B4D" w14:textId="490321B2">
      <w:pPr>
        <w:ind w:firstLine="720"/>
        <w:jc w:val="both"/>
      </w:pPr>
      <w:r>
        <w:t xml:space="preserve">Având în vedere motivele invocate, a apreciat că decizia civilă nr. </w:t>
      </w:r>
      <w:r w:rsidR="003A697B">
        <w:t>........</w:t>
      </w:r>
      <w:r>
        <w:t xml:space="preserve">pronunţată de Curtea de Apel </w:t>
      </w:r>
      <w:r w:rsidR="00261F2E">
        <w:t>...........</w:t>
      </w:r>
      <w:r>
        <w:t xml:space="preserve"> s-a făcut cu respectarea normelor legale în ceea ce priveşte compunerea completelor de judecată, motiv pentru care a solicitat respingerea contestaţiei în anulare ca inadmisibilă.</w:t>
      </w:r>
    </w:p>
    <w:p w:rsidR="008623E3" w14:paraId="527E9972" w14:textId="77777777">
      <w:pPr>
        <w:ind w:firstLine="720"/>
        <w:jc w:val="both"/>
      </w:pPr>
      <w:r>
        <w:t>În drept, a invocat  prevederile art. 205 din Codul de procedură civilă.</w:t>
      </w:r>
    </w:p>
    <w:p w:rsidR="008623E3" w14:paraId="5DD18766" w14:textId="77777777">
      <w:pPr>
        <w:ind w:firstLine="720"/>
        <w:jc w:val="both"/>
      </w:pPr>
    </w:p>
    <w:p w:rsidRPr="00261F2E" w:rsidR="008623E3" w14:paraId="4A443DDA" w14:textId="67FB93DC">
      <w:pPr>
        <w:ind w:firstLine="720"/>
        <w:jc w:val="both"/>
        <w:rPr>
          <w:rStyle w:val="Fontdeparagrafimplicit"/>
          <w:i/>
          <w:lang w:val="pt-PT"/>
        </w:rPr>
      </w:pPr>
      <w:r w:rsidRPr="00261F2E">
        <w:rPr>
          <w:rStyle w:val="Fontdeparagrafimplicit"/>
          <w:i/>
          <w:lang w:val="pt-PT"/>
        </w:rPr>
        <w:t xml:space="preserve">Prin notele scrise înregistrate la data de 14.09.2021, Tribunalul </w:t>
      </w:r>
      <w:r w:rsidR="00A8755B">
        <w:rPr>
          <w:rStyle w:val="Fontdeparagrafimplicit"/>
          <w:i/>
          <w:lang w:val="pt-PT"/>
        </w:rPr>
        <w:t xml:space="preserve">S......... </w:t>
      </w:r>
      <w:r w:rsidRPr="00261F2E">
        <w:rPr>
          <w:rStyle w:val="Fontdeparagrafimplicit"/>
          <w:i/>
          <w:lang w:val="pt-PT"/>
        </w:rPr>
        <w:t xml:space="preserve"> </w:t>
      </w:r>
      <w:r>
        <w:t>a invocat, de asemenea, inadmisibilitatea căii extraordinare de atac, pentru motivul neinvocării excepţiei nelegalei compuneri a completului în faţa instanţei de apel</w:t>
      </w:r>
    </w:p>
    <w:p w:rsidRPr="00261F2E" w:rsidR="008623E3" w14:paraId="3705C051" w14:textId="77777777">
      <w:pPr>
        <w:ind w:firstLine="720"/>
        <w:jc w:val="both"/>
        <w:rPr>
          <w:rStyle w:val="Fontdeparagrafimplicit"/>
          <w:lang w:val="pt-PT"/>
        </w:rPr>
      </w:pPr>
    </w:p>
    <w:p w:rsidRPr="00261F2E" w:rsidR="008623E3" w14:paraId="72AFC162" w14:textId="77777777">
      <w:pPr>
        <w:ind w:firstLine="720"/>
        <w:jc w:val="both"/>
        <w:rPr>
          <w:rStyle w:val="Fontdeparagrafimplicit"/>
          <w:lang w:val="pt-PT"/>
        </w:rPr>
      </w:pPr>
      <w:r w:rsidRPr="00261F2E">
        <w:rPr>
          <w:rStyle w:val="Fontdeparagrafimplicit"/>
          <w:i/>
          <w:lang w:val="pt-PT"/>
        </w:rPr>
        <w:t>Examinând contestaţia în anulare, Curtea reţine următoarele:</w:t>
      </w:r>
    </w:p>
    <w:p w:rsidR="008623E3" w14:paraId="5B9AC443" w14:textId="29F08789">
      <w:pPr>
        <w:ind w:firstLine="720"/>
        <w:jc w:val="both"/>
      </w:pPr>
      <w:r>
        <w:t xml:space="preserve">În primul rând, în ce priveşte chestiunea legalei compuneri a completului care trebuie să judece calea extraordinară de atac urmată (contestaţia în anulare), se constată că aceasta a fost ridicată în şedinţa publică din data de </w:t>
      </w:r>
      <w:r w:rsidR="00A06B5F">
        <w:t>...</w:t>
      </w:r>
      <w:r>
        <w:t>.06.2021 (fila 51 dosar), când s-a arătat de către contestatori, prin reprezentant, că „având în vedere criticile formulate în contestaţia în anulare, şi completul care ar soluţiona această contestaţie ar trebui să aibă în componenţă trei judecători”.</w:t>
      </w:r>
    </w:p>
    <w:p w:rsidR="008623E3" w14:paraId="5B681B53" w14:textId="77777777">
      <w:pPr>
        <w:ind w:firstLine="720"/>
        <w:jc w:val="both"/>
      </w:pPr>
      <w:r>
        <w:t>La acel moment, instanţa a constatat că „această chestiune vizează şi substanţa contestaţiei în anulare, urmând a se pronunţa pe această chestiune în urma deliberării, odată cu pronunţarea pe admisibilitatea contestaţiei în anulare”.</w:t>
      </w:r>
    </w:p>
    <w:p w:rsidR="008623E3" w14:paraId="43ED28F4" w14:textId="77777777">
      <w:pPr>
        <w:ind w:firstLine="720"/>
        <w:jc w:val="both"/>
      </w:pPr>
      <w:r>
        <w:t>Procedând aşadar la analiza şi dezlegarea chestiunii de drept astfel invocate, Curtea constată, în primul rând, că asupra acestei probleme de drept s-a insistat în mod repetat, prin notele de şedinţă din 15.11.2021 (fila 70 şi urm. dosar), prin notele din 13.12.2021 (filele 128 şi urm. dosar) şi în cadrul şedinţei publice din data de 31.01.2022.</w:t>
      </w:r>
    </w:p>
    <w:p w:rsidR="008623E3" w14:paraId="7C48DE65" w14:textId="77777777">
      <w:pPr>
        <w:ind w:firstLine="720"/>
        <w:jc w:val="both"/>
      </w:pPr>
      <w:r>
        <w:t>Problema în sine, astfel cum este pusă de către contestatori, se întemeiază pe o eroare logică de tipul argumentului circular: pentru că apelul în cauză trebuia soluţionat în complet de 3 judecători, şi contestaţia în anulare trebuie soluţionată în complet de 3 judecători, astfel încât se cere că se constate nelegala compunere a completului de 2 judecători, investit cu soluţionarea contestaţiei în anulare.</w:t>
      </w:r>
    </w:p>
    <w:p w:rsidR="008623E3" w14:paraId="1288CD05" w14:textId="77777777">
      <w:pPr>
        <w:ind w:firstLine="720"/>
        <w:jc w:val="both"/>
      </w:pPr>
      <w:r>
        <w:t>Or, pentru a se statua asupra legalităţii formării completului competent să soluţioneze apelul, trebuie să se pronunţe o instanţă în căi extraordinare de atac. Practic, trebuie să se soluţioneze contestaţia în anulare.</w:t>
      </w:r>
    </w:p>
    <w:p w:rsidR="008623E3" w14:paraId="252DE3E7" w14:textId="77777777">
      <w:pPr>
        <w:ind w:firstLine="720"/>
        <w:jc w:val="both"/>
      </w:pPr>
      <w:r>
        <w:t>Eroarea logică constă din faptul că una din premisele pe care se fundamentează contestatorii pentru a susţine nelegalitatea compunerii completului investit cu soluţionarea contestaţiei în anulare este falsă, în sensul că ea nu reprezintă o veritabilă premisă, nu este verificată, ci doar afirmată a fi adevărată.</w:t>
      </w:r>
    </w:p>
    <w:p w:rsidR="008623E3" w14:paraId="6C8CD966" w14:textId="77777777">
      <w:pPr>
        <w:ind w:firstLine="720"/>
        <w:jc w:val="both"/>
      </w:pPr>
      <w:r>
        <w:t>În acest punct, Curtea constată că potrivit dispoziţiilor din Codul de procedură civilă, nelegala compunere a completului poate fi invocată ca excepţie procesuală (art. 245). În cazul din speţă, deşi analiza acestei excepţii trebuie să premeargă soluţionării cauzei, această analiză nu se poate face în prealabil momentului soluţionării contestaţiei, ci concomitent. Specificul cauzei este dat de împrejurarea că tocmai aspectul invocat pe cale de excepţie în ce priveşte compunerea completului investit cu soluţionarea contestaţiei în anulare este invocat şi în cuprinsul contestaţiei în anulare, ca motiv al acesteia, suprapunere care a impus analizarea acestei excepţii la momentul deliberării, pentru a nu se crea situaţii de antepronunţare în cauză, şi în virtutea faptului că „unirea cu fondul” a excepţiei rezultă din chiar suprapunerea arătată.</w:t>
      </w:r>
    </w:p>
    <w:p w:rsidR="008623E3" w14:paraId="727D1F01" w14:textId="19542F2E">
      <w:pPr>
        <w:ind w:firstLine="720"/>
        <w:jc w:val="both"/>
      </w:pPr>
      <w:r>
        <w:t xml:space="preserve">Verificând, aşadar, compunerea completului ce trebuie să soluţioneze cauza, se constată că cererea de chemare în judecată a fost înregistrată pe rolul Tribunalului </w:t>
      </w:r>
      <w:r w:rsidR="00261F2E">
        <w:t>...........</w:t>
      </w:r>
      <w:r>
        <w:t xml:space="preserve"> la data de 23.07.2018, fiind însă trimisă pe poştă la data de 16.07.2018.</w:t>
      </w:r>
    </w:p>
    <w:p w:rsidR="008623E3" w14:paraId="451B5A6E" w14:textId="77777777">
      <w:pPr>
        <w:ind w:firstLine="720"/>
        <w:jc w:val="both"/>
      </w:pPr>
      <w:r>
        <w:t xml:space="preserve">Fiind publicată în Monitorul Oficial la data de 20.07.2018 şi deci intrând în vigoare la data de 23.07.2018, Legea nr. 207/2018, la art. I, pct. 30, statua: „(2) Apelurile şi recursurile se judecă în complet format din 3 judecători, cu excepţia cazurilor în care legea prevede altfel”. </w:t>
      </w:r>
    </w:p>
    <w:p w:rsidR="008623E3" w14:paraId="45690B8C" w14:textId="77777777">
      <w:pPr>
        <w:ind w:firstLine="720"/>
        <w:jc w:val="both"/>
      </w:pPr>
      <w:r>
        <w:t>Anterior intrării în vigoare a acestei legi, compunerea completelor de soluţionare a apelurilor era reglementată de art. 54 alin. 2 din Legea nr. 304/2004, în sensul că „(2) apelurile se judeca în complet format din 2 judecători, iar recursurile, în complet format din 3 judecători, cu excepţia cazurilor în care legea prevede altfel.”.</w:t>
      </w:r>
    </w:p>
    <w:p w:rsidR="008623E3" w14:paraId="69ECCEAD" w14:textId="77777777">
      <w:pPr>
        <w:ind w:firstLine="720"/>
        <w:jc w:val="both"/>
      </w:pPr>
      <w:r>
        <w:t>În speţă, aceasta este forma legii aplicabilă.</w:t>
      </w:r>
    </w:p>
    <w:p w:rsidR="008623E3" w14:paraId="3CC1B45D" w14:textId="77777777">
      <w:pPr>
        <w:ind w:firstLine="720"/>
        <w:jc w:val="both"/>
      </w:pPr>
      <w:r>
        <w:t xml:space="preserve">Faptul că prin dispoziţiile art. IV din Legea nr. 207/2018 se statuează că „dispoziţiile prezentei legi privind judecarea apelurilor în complet de 3 judecători se aplică </w:t>
      </w:r>
      <w:r w:rsidRPr="00261F2E">
        <w:rPr>
          <w:rStyle w:val="Fontdeparagrafimplicit"/>
          <w:i/>
          <w:lang w:val="ro-RO"/>
        </w:rPr>
        <w:t>cauzelor înregistrate pe rolul instanţelor după intrarea în vigoare a prezentei legi</w:t>
      </w:r>
      <w:r>
        <w:t>.”, nu semnifică o trimitere la momentul înregistrării în programul ecris, sau la cel al aplicării ştampilei de către instanţa care primeşte şi „înregistrează” dosarul. În mod evident, noţiunea de înregistrare se referă la un moment obiectiv, care este data poştei, iar nu la un moment subiectiv, ce poate fi influenţat de diverşi factori, cum este momentul operării înregistrării în programul ecris a dosarului format.</w:t>
      </w:r>
    </w:p>
    <w:p w:rsidR="008623E3" w14:paraId="6E3134BD" w14:textId="77777777">
      <w:pPr>
        <w:ind w:firstLine="720"/>
        <w:jc w:val="both"/>
      </w:pPr>
      <w:r>
        <w:t>Fiind trimisă prin poştă cererea de chemare în judecată, data semnificativă pentru stabilirea legii aplicabile este cea a poştei, deci cea a trimiterii poştale, nicidecum cea de la momentul primirii corespondenţei de către instanţă, respectiv cea la care s-a aplicat ştampila instanţei pe înscris, sau cea în care acesta a fost înregistrat în mod efectiv în programul ecris.</w:t>
      </w:r>
    </w:p>
    <w:p w:rsidR="008623E3" w14:paraId="70C13882" w14:textId="77777777">
      <w:pPr>
        <w:ind w:firstLine="720"/>
        <w:jc w:val="both"/>
      </w:pPr>
      <w:r>
        <w:t xml:space="preserve">Dispoziţiile art. 3 alin. (2) din Legea nr. 76/2012 pentru punerea în aplicare a Legii nr. 134/2010 privind Codul de procedură civilă, conform cărora „(2) procesele începute prin cereri depuse, în condiţiile legii, la poştă, unităţi militare sau locuri de deţinere înainte de data intrării în vigoare a Codului de procedură civilă rămân supuse legii vechi, chiar dacă sunt înregistrate la instanţă după această dată.”, dispoziţii invocate de către contestatori, sunt aplicabile în ce priveşte situaţia de la momentul intrării în vigoare a Noului  Cod de procedură civilă, fiind totodată aplicabile prin asimilare şi situaţiei din prezentul dosar. Se constată însă că aceste dispoziţii nu </w:t>
      </w:r>
      <w:r>
        <w:t>susţin teza contestatorilor, ci pe cea contrară, textul făcând trimitere la data depunerii la poştă, ca semnificativă pentru stabilirea legii aplicabile, şi subliniind în mod expres că nu data înregistrării la instanţă (ca dată a realizării operaţiunilor administrative specifice de înregistrare, prin aplicarea ştampilei, operarea în sistemul ecris) este cea care atrage legea aplicabilă. Or, acest text de lege nu face decât să reitereze optica constantă a legiuitorului în materie, fiind fără dubiu, în cadrul unei practici constante şi a unei interpretări unanime a legii, că din punctul de vedere al stabilirii legii aplicabile în timp, data obiectivă care serveşte ca punct de reper temporal pentru o atare decelare este cea a trimiterii poştale.</w:t>
      </w:r>
    </w:p>
    <w:p w:rsidR="008623E3" w14:paraId="3FA1CB30" w14:textId="77777777">
      <w:pPr>
        <w:ind w:firstLine="720"/>
        <w:jc w:val="both"/>
      </w:pPr>
      <w:r>
        <w:t>În acest sens, chestiunea generală a stabilirii legii aplicabile din punct de vedere temporal este reglementată de art. 24 din Codul de procedură civilă, conform cărora „dispoziţiile legii noi de procedură se aplică numai proceselor şi executărilor silite începute după intrarea acesteia în vigoare.”.</w:t>
      </w:r>
    </w:p>
    <w:p w:rsidR="008623E3" w14:paraId="3CFCC2EF" w14:textId="77777777">
      <w:pPr>
        <w:ind w:firstLine="708"/>
        <w:jc w:val="both"/>
      </w:pPr>
      <w:r>
        <w:t>Este deci evident că legea nouă, recte Legea nr. 207/2018, se aplică doar proceselor începute după intrarea acesteia în vigoare.</w:t>
      </w:r>
    </w:p>
    <w:p w:rsidR="008623E3" w14:paraId="47CF2423" w14:textId="77777777">
      <w:pPr>
        <w:ind w:firstLine="708"/>
        <w:jc w:val="both"/>
      </w:pPr>
      <w:r>
        <w:t>Se pune problema, care este înţelesul sintagmei „proces (...) început după data”, practic, care este data începerii procesului.</w:t>
      </w:r>
    </w:p>
    <w:p w:rsidR="008623E3" w14:paraId="70AA4055" w14:textId="77777777">
      <w:pPr>
        <w:ind w:firstLine="708"/>
        <w:jc w:val="both"/>
      </w:pPr>
      <w:r>
        <w:t>Chiar dacă Codul de procedură civilă nu defineşte această sintagmă, răspunsul se regăseşte în definiţiile date noţiunilor cu care se operează în acest text. Practic, prin proces, trebuie înţeles un act de procedură, care este cererea de chemare în judecată, conform dispoziţiilor art. 148, ce se subîntind capitolului I (forma cererilor) din titlul IV (actele de procedură).</w:t>
      </w:r>
    </w:p>
    <w:p w:rsidR="008623E3" w14:paraId="4E72F31D" w14:textId="77777777">
      <w:pPr>
        <w:ind w:firstLine="708"/>
        <w:jc w:val="both"/>
      </w:pPr>
      <w:r>
        <w:t>Or, potrivit dispoziţiilor art. 183 din Codul de procedură civilă, „actul de procedură, depus înăuntrul termenului prevăzut de lege prin scrisoare recomandată la oficiul poştal sau depus la un serviciu de curierat rapid ori la un serviciu specializat de comunicare ori trimis prin fax sau e-mail, este socotit a fi făcut în termen. (...) (3) În cazurile prevăzute la alin. (1) şi (2), recipisa oficiului poştal, precum şi înregistrarea ori atestarea făcută, după caz, de serviciul de curierat rapid, de serviciul specializat de comunicare, de unitatea militară sau de administraţia locului de deţinere, pe actul depus, precum şi menţiunea datei şi orei primirii faxului sau a e-mail-ului, astfel cum acestea sunt atestate de către calculatorul sau faxul de primire al instanţei, servesc ca dovadă a datei depunerii actului de către partea interesată.”.</w:t>
      </w:r>
    </w:p>
    <w:p w:rsidR="008623E3" w14:paraId="2AE591A7" w14:textId="77777777">
      <w:pPr>
        <w:ind w:firstLine="708"/>
        <w:jc w:val="both"/>
      </w:pPr>
      <w:r>
        <w:t>Prin urmare, data actului este data depunerii acestuia la poştă – data poştei.</w:t>
      </w:r>
    </w:p>
    <w:p w:rsidR="008623E3" w14:paraId="44117FA5" w14:textId="77777777">
      <w:pPr>
        <w:ind w:firstLine="708"/>
        <w:jc w:val="both"/>
      </w:pPr>
      <w:r>
        <w:t>Or, întrucât data poştei în cauză, în ce priveşte cererea de chemare în judecată, este data de 16.07.2018, deci anterioară intrării în vigoare a Legii nr. 207/2018, compunerea completului de apel în cauză trebuie să fie cea de 2 judecători, conform Legii nr. 304/2004, în forma în vigoare la acea dată.</w:t>
      </w:r>
    </w:p>
    <w:p w:rsidR="008623E3" w14:paraId="6E5ABDD2" w14:textId="77777777">
      <w:pPr>
        <w:ind w:firstLine="708"/>
        <w:jc w:val="both"/>
      </w:pPr>
      <w:r>
        <w:t>Consecinţa este că şi în cadrul judecării contestaţiei în anulare, compunerea trebuie să fie tot cea de 2 judecători, regulile de procedură rămânând cele din cuprinsul legii în vigoare, sub acest aspect, la data investirii instanţei. În acest sens, se reţine că aceasta este o cale extraordinară de atac de retractare care se judecă „potrivit dispoziţiilor procedurale aplicabile judecăţii finalizate cu hotărârea atacată” (art. 508 alin. 1 din Codul de procedură civilă).</w:t>
      </w:r>
    </w:p>
    <w:p w:rsidR="008623E3" w14:paraId="2A311C2C" w14:textId="77777777">
      <w:pPr>
        <w:ind w:firstLine="708"/>
        <w:jc w:val="both"/>
      </w:pPr>
      <w:r>
        <w:t>Aşa fiind, Curtea urmează a respinge excepţia nelegalei compuneri a completului.</w:t>
      </w:r>
    </w:p>
    <w:p w:rsidR="008623E3" w14:paraId="391299A1" w14:textId="77777777">
      <w:pPr>
        <w:ind w:firstLine="708"/>
        <w:jc w:val="both"/>
      </w:pPr>
    </w:p>
    <w:p w:rsidRPr="00261F2E" w:rsidR="008623E3" w14:paraId="199C8092" w14:textId="1FA069F4">
      <w:pPr>
        <w:ind w:firstLine="708"/>
        <w:jc w:val="both"/>
        <w:rPr>
          <w:rStyle w:val="Fontdeparagrafimplicit"/>
          <w:i/>
          <w:lang w:val="pt-PT"/>
        </w:rPr>
      </w:pPr>
      <w:r w:rsidRPr="00261F2E">
        <w:rPr>
          <w:rStyle w:val="Fontdeparagrafimplicit"/>
          <w:i/>
          <w:lang w:val="pt-PT"/>
        </w:rPr>
        <w:t xml:space="preserve">Contestaţia în anulare urmează a fi respinsă ca inadmisibilă – excepţie invocată de intimaţii Curtea de Apel </w:t>
      </w:r>
      <w:r w:rsidR="003A697B">
        <w:rPr>
          <w:rStyle w:val="Fontdeparagrafimplicit"/>
          <w:i/>
          <w:lang w:val="pt-PT"/>
        </w:rPr>
        <w:t>.........</w:t>
      </w:r>
      <w:r w:rsidRPr="00261F2E">
        <w:rPr>
          <w:rStyle w:val="Fontdeparagrafimplicit"/>
          <w:i/>
          <w:lang w:val="pt-PT"/>
        </w:rPr>
        <w:t xml:space="preserve"> şi Tribunalul </w:t>
      </w:r>
      <w:r w:rsidR="00655A72">
        <w:rPr>
          <w:rStyle w:val="Fontdeparagrafimplicit"/>
          <w:i/>
          <w:lang w:val="pt-PT"/>
        </w:rPr>
        <w:t>S..........</w:t>
      </w:r>
      <w:r w:rsidRPr="00261F2E">
        <w:rPr>
          <w:rStyle w:val="Fontdeparagrafimplicit"/>
          <w:i/>
          <w:lang w:val="pt-PT"/>
        </w:rPr>
        <w:t>.</w:t>
      </w:r>
    </w:p>
    <w:p w:rsidR="008623E3" w14:paraId="23FD14AB" w14:textId="77777777">
      <w:pPr>
        <w:ind w:firstLine="720"/>
        <w:jc w:val="both"/>
      </w:pPr>
      <w:r>
        <w:t>Legea procesual civilă reglementează cazurile pentru care se poate solicita reexaminarea dosarului.</w:t>
      </w:r>
    </w:p>
    <w:p w:rsidRPr="00261F2E" w:rsidR="008623E3" w14:paraId="3F0E9D5E" w14:textId="77777777">
      <w:pPr>
        <w:ind w:firstLine="720"/>
        <w:jc w:val="both"/>
        <w:rPr>
          <w:rStyle w:val="Fontdeparagrafimplicit"/>
          <w:color w:val="0000FF"/>
          <w:lang w:val="ro-RO"/>
        </w:rPr>
      </w:pPr>
      <w:r>
        <w:t>Astfel, art. 503 alin. 2 şi 3 din Codul de procedură civilă prevede ca motiv de contestaţie în anulare situaţia în care hotărârea dată în recurs a fost pronunţată de o instanţă necompetentă absolut sau cu încălcarea normelor referitoare la alcătuirea instanţei şi, deşi se invocase excepţia corespunzătoare, instanţa de recurs a omis să se pronunţe asupra acesteia, pentru a se preciza că aceste dispoziţii se aplică în mod corespunzător hotărârilor instanţelor de apel care, potrivit legii, nu pot fi atacate cu recurs.</w:t>
      </w:r>
    </w:p>
    <w:p w:rsidR="008623E3" w14:paraId="2EB7F04C" w14:textId="7BA3BBE4">
      <w:pPr>
        <w:ind w:firstLine="720"/>
        <w:jc w:val="both"/>
      </w:pPr>
      <w:r>
        <w:t xml:space="preserve">În speţă, contestatorii invocă faptul că decizia civilă nr. </w:t>
      </w:r>
      <w:r w:rsidR="003A697B">
        <w:t>........</w:t>
      </w:r>
      <w:r>
        <w:t xml:space="preserve">pronunţată la data de </w:t>
      </w:r>
      <w:r w:rsidR="003A697B">
        <w:t>........</w:t>
      </w:r>
      <w:r>
        <w:t xml:space="preserve">de Curtea de Apel </w:t>
      </w:r>
      <w:r w:rsidR="00261F2E">
        <w:t>...........</w:t>
      </w:r>
      <w:r>
        <w:t xml:space="preserve"> în dosarul </w:t>
      </w:r>
      <w:r w:rsidR="003A697B">
        <w:t>2.1</w:t>
      </w:r>
      <w:r>
        <w:t xml:space="preserve">* a fost pronunţată cu încălcarea normelor referitoare la </w:t>
      </w:r>
      <w:r>
        <w:t>alcătuirea instanţei, compunerea instanţei fiind în complet de 2 judecători, în loc de 3 judecători, motiv ce se încadrează în punctul 1 al art. 503 alin. 2 din Codul de procedură civilă.</w:t>
      </w:r>
    </w:p>
    <w:p w:rsidR="008623E3" w14:paraId="618A6295" w14:textId="77777777">
      <w:pPr>
        <w:ind w:firstLine="720"/>
        <w:jc w:val="both"/>
      </w:pPr>
      <w:r>
        <w:t>Prin urmare, pentru a fi aplicabil acest text de lege, este necesară, ca o primă condiţie de admisibilitate, verificarea şi constatarea că excepţia corespunzătoare (în cauză nelegala compunere a completului) să fi fost invocată în faţa respectivei instanţe, iar aceasta să fi omis să se pronunţe asupra ei.</w:t>
      </w:r>
    </w:p>
    <w:p w:rsidR="008623E3" w14:paraId="14F4D934" w14:textId="77777777">
      <w:pPr>
        <w:ind w:firstLine="720"/>
        <w:jc w:val="both"/>
      </w:pPr>
      <w:r>
        <w:t>Or, analizând dosarul de apel rezultă că motivele invocate nu au fost puse în discuţie în faţa instanţei de control judiciar – în apel, ci doar prin contestaţia în anulare.</w:t>
      </w:r>
    </w:p>
    <w:p w:rsidR="008623E3" w14:paraId="103D6906" w14:textId="77777777">
      <w:pPr>
        <w:ind w:firstLine="720"/>
        <w:jc w:val="both"/>
      </w:pPr>
      <w:r>
        <w:t>În aceste condiţii, Curtea constată că nu se poate trece la verificarea celor invocate cu referire la alcătuirea instanţei de apel, în soluţionarea contestaţiei.</w:t>
      </w:r>
    </w:p>
    <w:p w:rsidR="008623E3" w14:paraId="1EF2C973" w14:textId="77777777">
      <w:pPr>
        <w:ind w:firstLine="720"/>
        <w:jc w:val="both"/>
      </w:pPr>
      <w:r>
        <w:t>Faţă de toate aceste considerente, întrucât contestaţia în anulare este o cale extraordinară de atac prin care se poate ajunge la rejudecarea fondului numai în măsura în care se constată incidenţa uneia dintre ipotezele strict reglementate de art.503 Cod proc.civ, ceea ce nu este cazul în speţa de faţă, Curtea urmează a respinge cererea ca inadmisibilă.</w:t>
      </w:r>
    </w:p>
    <w:p w:rsidR="008623E3" w14:paraId="6326F214" w14:textId="77777777">
      <w:pPr>
        <w:ind w:firstLine="720"/>
        <w:jc w:val="center"/>
      </w:pPr>
    </w:p>
    <w:p w:rsidRPr="00261F2E" w:rsidR="008623E3" w14:paraId="6821D709" w14:textId="77777777">
      <w:pPr>
        <w:ind w:firstLine="720"/>
        <w:jc w:val="center"/>
        <w:rPr>
          <w:rStyle w:val="Fontdeparagrafimplicit"/>
          <w:b/>
          <w:lang w:val="pt-PT"/>
        </w:rPr>
      </w:pPr>
      <w:r w:rsidRPr="00261F2E">
        <w:rPr>
          <w:rStyle w:val="Fontdeparagrafimplicit"/>
          <w:b/>
          <w:lang w:val="pt-PT"/>
        </w:rPr>
        <w:t>PENTRU ACESTE MOTIVE,</w:t>
      </w:r>
    </w:p>
    <w:p w:rsidRPr="00261F2E" w:rsidR="008623E3" w14:paraId="75435214" w14:textId="77777777">
      <w:pPr>
        <w:ind w:firstLine="720"/>
        <w:jc w:val="center"/>
        <w:rPr>
          <w:rStyle w:val="Fontdeparagrafimplicit"/>
          <w:b/>
          <w:lang w:val="pt-PT"/>
        </w:rPr>
      </w:pPr>
      <w:r w:rsidRPr="00261F2E">
        <w:rPr>
          <w:rStyle w:val="Fontdeparagrafimplicit"/>
          <w:b/>
          <w:lang w:val="pt-PT"/>
        </w:rPr>
        <w:t>ÎN NUMELE LEGII,</w:t>
      </w:r>
    </w:p>
    <w:p w:rsidRPr="00261F2E" w:rsidR="008623E3" w14:paraId="32B0B2FE" w14:textId="77777777">
      <w:pPr>
        <w:ind w:firstLine="720"/>
        <w:jc w:val="center"/>
        <w:rPr>
          <w:rStyle w:val="Fontdeparagrafimplicit"/>
          <w:b/>
          <w:lang w:val="pt-PT"/>
        </w:rPr>
      </w:pPr>
      <w:r w:rsidRPr="00261F2E">
        <w:rPr>
          <w:rStyle w:val="Fontdeparagrafimplicit"/>
          <w:b/>
          <w:lang w:val="pt-PT"/>
        </w:rPr>
        <w:t>D E C I D E:</w:t>
      </w:r>
    </w:p>
    <w:p w:rsidRPr="00261F2E" w:rsidR="008623E3" w14:paraId="3FCF7923" w14:textId="77777777">
      <w:pPr>
        <w:ind w:firstLine="720"/>
        <w:jc w:val="both"/>
        <w:rPr>
          <w:rStyle w:val="Fontdeparagrafimplicit"/>
          <w:lang w:val="pt-PT"/>
        </w:rPr>
      </w:pPr>
    </w:p>
    <w:p w:rsidR="008623E3" w14:paraId="15671CC4" w14:textId="77777777">
      <w:pPr>
        <w:ind w:firstLine="720"/>
        <w:jc w:val="both"/>
      </w:pPr>
      <w:r>
        <w:t>Respinge excepţia nelegalei compuneri a completului.</w:t>
      </w:r>
    </w:p>
    <w:p w:rsidR="008623E3" w14:paraId="2FC75802" w14:textId="0FDD0EB6">
      <w:pPr>
        <w:ind w:firstLine="720"/>
        <w:jc w:val="both"/>
      </w:pPr>
      <w:r>
        <w:t xml:space="preserve">Admite excepţia inadmisibilităţii contestaţiei în anulare, invocată de intimaţii Curtea de Apel </w:t>
      </w:r>
      <w:r w:rsidR="003A697B">
        <w:t>.........</w:t>
      </w:r>
      <w:r>
        <w:t xml:space="preserve">, cu sediul în </w:t>
      </w:r>
      <w:r w:rsidR="003A697B">
        <w:t>.........</w:t>
      </w:r>
      <w:r>
        <w:t xml:space="preserve">, </w:t>
      </w:r>
      <w:r w:rsidR="0016296A">
        <w:t>........</w:t>
      </w:r>
      <w:r>
        <w:t xml:space="preserve"> nr. </w:t>
      </w:r>
      <w:r w:rsidR="0016296A">
        <w:t>..........</w:t>
      </w:r>
      <w:r>
        <w:t xml:space="preserve">, jud. </w:t>
      </w:r>
      <w:r w:rsidR="0016296A">
        <w:t>B........</w:t>
      </w:r>
      <w:r>
        <w:t xml:space="preserve"> şi Tribunalul </w:t>
      </w:r>
      <w:r w:rsidR="00655A72">
        <w:t>S..........</w:t>
      </w:r>
      <w:r>
        <w:t xml:space="preserve">, cu sediul în </w:t>
      </w:r>
      <w:r w:rsidR="00655A72">
        <w:t>S..........</w:t>
      </w:r>
      <w:r>
        <w:t xml:space="preserve">, str. </w:t>
      </w:r>
      <w:r w:rsidR="0016296A">
        <w:t>.........</w:t>
      </w:r>
      <w:r>
        <w:t xml:space="preserve"> nr. </w:t>
      </w:r>
      <w:r w:rsidR="003A3E11">
        <w:t>.......</w:t>
      </w:r>
      <w:r>
        <w:t xml:space="preserve">, jud. </w:t>
      </w:r>
      <w:r w:rsidR="00655A72">
        <w:t>S..........</w:t>
      </w:r>
      <w:r>
        <w:t xml:space="preserve"> şi în consecinţă respinge ca inadmisibilă contestaţia în anulare formulate de contestatorii </w:t>
      </w:r>
      <w:r w:rsidR="0016296A">
        <w:t>1</w:t>
      </w:r>
      <w:r>
        <w:t xml:space="preserve">, </w:t>
      </w:r>
      <w:r w:rsidR="0016296A">
        <w:t>2</w:t>
      </w:r>
      <w:r>
        <w:t xml:space="preserve">, </w:t>
      </w:r>
      <w:r w:rsidR="0016296A">
        <w:t>3</w:t>
      </w:r>
      <w:r>
        <w:t xml:space="preserve">, </w:t>
      </w:r>
      <w:r w:rsidR="00261F2E">
        <w:t>4</w:t>
      </w:r>
      <w:r>
        <w:t xml:space="preserve">, </w:t>
      </w:r>
      <w:r w:rsidR="0016296A">
        <w:t>5</w:t>
      </w:r>
      <w:r>
        <w:t xml:space="preserve">, </w:t>
      </w:r>
      <w:r w:rsidR="0016296A">
        <w:t>6</w:t>
      </w:r>
      <w:r>
        <w:t xml:space="preserve">, </w:t>
      </w:r>
      <w:r w:rsidR="0016296A">
        <w:t>7</w:t>
      </w:r>
      <w:r>
        <w:t xml:space="preserve">, </w:t>
      </w:r>
      <w:r w:rsidR="00C224B8">
        <w:t>8</w:t>
      </w:r>
      <w:r>
        <w:t xml:space="preserve">, </w:t>
      </w:r>
      <w:r w:rsidR="00FA7DDC">
        <w:t>118</w:t>
      </w:r>
      <w:r>
        <w:t xml:space="preserve">, </w:t>
      </w:r>
      <w:r w:rsidR="00C224B8">
        <w:t>9</w:t>
      </w:r>
      <w:r>
        <w:t xml:space="preserve">, </w:t>
      </w:r>
      <w:r w:rsidR="00C224B8">
        <w:t>10</w:t>
      </w:r>
      <w:r>
        <w:t xml:space="preserve">, </w:t>
      </w:r>
      <w:r w:rsidR="00A8755B">
        <w:t>11</w:t>
      </w:r>
      <w:r>
        <w:t xml:space="preserve">, </w:t>
      </w:r>
      <w:r w:rsidR="00A8755B">
        <w:t>12</w:t>
      </w:r>
      <w:r>
        <w:t xml:space="preserve">, </w:t>
      </w:r>
      <w:r w:rsidR="00FA7DDC">
        <w:t>119</w:t>
      </w:r>
      <w:r>
        <w:t xml:space="preserve">, </w:t>
      </w:r>
      <w:r w:rsidR="00A8755B">
        <w:t>19</w:t>
      </w:r>
      <w:r>
        <w:t xml:space="preserve">, </w:t>
      </w:r>
      <w:r w:rsidR="00C224B8">
        <w:t>13</w:t>
      </w:r>
      <w:r>
        <w:t xml:space="preserve">, </w:t>
      </w:r>
      <w:r w:rsidR="00FA7DDC">
        <w:t>120</w:t>
      </w:r>
      <w:r>
        <w:t xml:space="preserve">, </w:t>
      </w:r>
      <w:r w:rsidR="00C224B8">
        <w:t>14</w:t>
      </w:r>
      <w:r>
        <w:t xml:space="preserve">, </w:t>
      </w:r>
      <w:r w:rsidR="00FA7DDC">
        <w:t>121</w:t>
      </w:r>
      <w:r>
        <w:t xml:space="preserve">, </w:t>
      </w:r>
      <w:r w:rsidR="00C224B8">
        <w:t>15</w:t>
      </w:r>
      <w:r>
        <w:t xml:space="preserve">, </w:t>
      </w:r>
      <w:r w:rsidR="00A8755B">
        <w:t>16</w:t>
      </w:r>
      <w:r>
        <w:t xml:space="preserve">, </w:t>
      </w:r>
      <w:r w:rsidR="00A8755B">
        <w:t>17</w:t>
      </w:r>
      <w:r>
        <w:t xml:space="preserve">, </w:t>
      </w:r>
      <w:r w:rsidR="00C224B8">
        <w:t>18</w:t>
      </w:r>
      <w:r>
        <w:t xml:space="preserve">, </w:t>
      </w:r>
      <w:r w:rsidR="00A8755B">
        <w:t>20</w:t>
      </w:r>
      <w:r>
        <w:t xml:space="preserve">, </w:t>
      </w:r>
      <w:r w:rsidR="00FA7DDC">
        <w:t>122</w:t>
      </w:r>
      <w:r>
        <w:t xml:space="preserve">, </w:t>
      </w:r>
      <w:r w:rsidR="00A8755B">
        <w:t>21</w:t>
      </w:r>
      <w:r>
        <w:t xml:space="preserve">, </w:t>
      </w:r>
      <w:r w:rsidR="00FA7DDC">
        <w:t>123</w:t>
      </w:r>
      <w:r>
        <w:t xml:space="preserve">, </w:t>
      </w:r>
      <w:r w:rsidR="00FA7DDC">
        <w:t>124</w:t>
      </w:r>
      <w:r>
        <w:t xml:space="preserve">, </w:t>
      </w:r>
      <w:r w:rsidR="00FA7DDC">
        <w:t>125</w:t>
      </w:r>
      <w:r>
        <w:t xml:space="preserve">, </w:t>
      </w:r>
      <w:r w:rsidR="00A8755B">
        <w:t>23</w:t>
      </w:r>
      <w:r>
        <w:t xml:space="preserve">, </w:t>
      </w:r>
      <w:r w:rsidR="00C224B8">
        <w:t>24</w:t>
      </w:r>
      <w:r>
        <w:t xml:space="preserve">, </w:t>
      </w:r>
      <w:r w:rsidR="00071141">
        <w:t>25</w:t>
      </w:r>
      <w:r>
        <w:t xml:space="preserve">, </w:t>
      </w:r>
      <w:r w:rsidR="00FA7DDC">
        <w:t>126</w:t>
      </w:r>
      <w:r>
        <w:t xml:space="preserve">, </w:t>
      </w:r>
      <w:r w:rsidR="00655A72">
        <w:t>26</w:t>
      </w:r>
      <w:r>
        <w:t xml:space="preserve">, </w:t>
      </w:r>
      <w:r w:rsidR="00655A72">
        <w:t>27</w:t>
      </w:r>
      <w:r>
        <w:t xml:space="preserve">, </w:t>
      </w:r>
      <w:r w:rsidR="00655A72">
        <w:t>28</w:t>
      </w:r>
      <w:r>
        <w:t xml:space="preserve">, </w:t>
      </w:r>
      <w:r w:rsidR="00655A72">
        <w:t>29</w:t>
      </w:r>
      <w:r>
        <w:t xml:space="preserve">, </w:t>
      </w:r>
      <w:r w:rsidR="00FA7DDC">
        <w:t>127</w:t>
      </w:r>
      <w:r>
        <w:t xml:space="preserve">, </w:t>
      </w:r>
      <w:r w:rsidR="00655A72">
        <w:t>31</w:t>
      </w:r>
      <w:r>
        <w:t xml:space="preserve">, </w:t>
      </w:r>
      <w:r w:rsidR="00655A72">
        <w:t>32</w:t>
      </w:r>
      <w:r>
        <w:t xml:space="preserve">, </w:t>
      </w:r>
      <w:r w:rsidR="00655A72">
        <w:t>33</w:t>
      </w:r>
      <w:r>
        <w:t xml:space="preserve">, </w:t>
      </w:r>
      <w:r w:rsidR="00FA7DDC">
        <w:t>128</w:t>
      </w:r>
      <w:r>
        <w:t xml:space="preserve">, </w:t>
      </w:r>
      <w:r w:rsidR="00655A72">
        <w:t>34</w:t>
      </w:r>
      <w:r>
        <w:t xml:space="preserve">, </w:t>
      </w:r>
      <w:r w:rsidR="00655A72">
        <w:t>35</w:t>
      </w:r>
      <w:r>
        <w:t xml:space="preserve">, </w:t>
      </w:r>
      <w:r w:rsidR="00655A72">
        <w:t>36</w:t>
      </w:r>
      <w:r>
        <w:t xml:space="preserve">, </w:t>
      </w:r>
      <w:r w:rsidR="00655A72">
        <w:t>37</w:t>
      </w:r>
      <w:r>
        <w:t xml:space="preserve">na, </w:t>
      </w:r>
      <w:r w:rsidR="00655A72">
        <w:t>38</w:t>
      </w:r>
      <w:r>
        <w:t xml:space="preserve">, </w:t>
      </w:r>
      <w:r w:rsidR="00FA7DDC">
        <w:t>39</w:t>
      </w:r>
      <w:r>
        <w:t xml:space="preserve">, </w:t>
      </w:r>
      <w:r w:rsidR="00655A72">
        <w:t>40</w:t>
      </w:r>
      <w:r>
        <w:t xml:space="preserve">, </w:t>
      </w:r>
      <w:r w:rsidR="00FA7DDC">
        <w:t>41</w:t>
      </w:r>
      <w:r w:rsidR="0016296A">
        <w:t xml:space="preserve"> </w:t>
      </w:r>
      <w:r>
        <w:t xml:space="preserve">şi intervenienţii în nume propriu </w:t>
      </w:r>
      <w:r w:rsidR="00655A72">
        <w:t>42</w:t>
      </w:r>
      <w:r>
        <w:t xml:space="preserve">, </w:t>
      </w:r>
      <w:r w:rsidR="00655A72">
        <w:t>43</w:t>
      </w:r>
      <w:r>
        <w:t xml:space="preserve">, </w:t>
      </w:r>
      <w:r w:rsidR="00655A72">
        <w:t>44</w:t>
      </w:r>
      <w:r>
        <w:t xml:space="preserve">, </w:t>
      </w:r>
      <w:r w:rsidR="00FA7DDC">
        <w:t>45</w:t>
      </w:r>
      <w:r>
        <w:t xml:space="preserve">, </w:t>
      </w:r>
      <w:r w:rsidR="00FA7DDC">
        <w:t>46</w:t>
      </w:r>
      <w:r>
        <w:t xml:space="preserve">, </w:t>
      </w:r>
      <w:r w:rsidR="00FA7DDC">
        <w:t>47</w:t>
      </w:r>
      <w:r>
        <w:t xml:space="preserve">, </w:t>
      </w:r>
      <w:r w:rsidR="00655A72">
        <w:t>48</w:t>
      </w:r>
      <w:r>
        <w:t xml:space="preserve">, </w:t>
      </w:r>
      <w:r w:rsidR="00655A72">
        <w:t>49</w:t>
      </w:r>
      <w:r>
        <w:t xml:space="preserve">, </w:t>
      </w:r>
      <w:r w:rsidR="005E3EBF">
        <w:t>50</w:t>
      </w:r>
      <w:r>
        <w:t xml:space="preserve">, </w:t>
      </w:r>
      <w:r w:rsidR="005E3EBF">
        <w:t>51</w:t>
      </w:r>
      <w:r>
        <w:t xml:space="preserve">, </w:t>
      </w:r>
      <w:r w:rsidR="00FA7DDC">
        <w:t>52</w:t>
      </w:r>
      <w:r>
        <w:t xml:space="preserve">, </w:t>
      </w:r>
      <w:r w:rsidR="005E3EBF">
        <w:t>53</w:t>
      </w:r>
      <w:r>
        <w:t xml:space="preserve">, </w:t>
      </w:r>
      <w:r w:rsidR="005E3EBF">
        <w:t>54</w:t>
      </w:r>
      <w:r>
        <w:t xml:space="preserve">, </w:t>
      </w:r>
      <w:r w:rsidR="00FA7DDC">
        <w:t>55</w:t>
      </w:r>
      <w:r>
        <w:t xml:space="preserve">, </w:t>
      </w:r>
      <w:r w:rsidR="005E3EBF">
        <w:t>56</w:t>
      </w:r>
      <w:r>
        <w:t xml:space="preserve">, </w:t>
      </w:r>
      <w:r w:rsidR="005E3EBF">
        <w:t>57</w:t>
      </w:r>
      <w:r>
        <w:t xml:space="preserve">, </w:t>
      </w:r>
      <w:r w:rsidR="005E3EBF">
        <w:t>58</w:t>
      </w:r>
      <w:r>
        <w:t xml:space="preserve">, </w:t>
      </w:r>
      <w:r w:rsidR="005E3EBF">
        <w:t>59</w:t>
      </w:r>
      <w:r w:rsidR="0016296A">
        <w:t>,</w:t>
      </w:r>
      <w:r w:rsidR="00FA7DDC">
        <w:t>60</w:t>
      </w:r>
      <w:r>
        <w:t xml:space="preserve">, </w:t>
      </w:r>
      <w:r w:rsidR="005E3EBF">
        <w:t>61</w:t>
      </w:r>
      <w:r>
        <w:t xml:space="preserve">, </w:t>
      </w:r>
      <w:r w:rsidR="005E3EBF">
        <w:t>62</w:t>
      </w:r>
      <w:r>
        <w:t xml:space="preserve">, </w:t>
      </w:r>
      <w:r w:rsidR="005E3EBF">
        <w:t>63</w:t>
      </w:r>
      <w:r>
        <w:t xml:space="preserve">, </w:t>
      </w:r>
      <w:r w:rsidR="005E3EBF">
        <w:t>64</w:t>
      </w:r>
      <w:r>
        <w:t xml:space="preserve">, </w:t>
      </w:r>
      <w:r w:rsidR="005E3EBF">
        <w:t>65</w:t>
      </w:r>
      <w:r>
        <w:t xml:space="preserve">, </w:t>
      </w:r>
      <w:r w:rsidR="005E3EBF">
        <w:t>66</w:t>
      </w:r>
      <w:r>
        <w:t xml:space="preserve">, </w:t>
      </w:r>
      <w:r w:rsidR="005E3EBF">
        <w:t>67</w:t>
      </w:r>
      <w:r>
        <w:t xml:space="preserve">, </w:t>
      </w:r>
      <w:r w:rsidR="005E3EBF">
        <w:t>68</w:t>
      </w:r>
      <w:r>
        <w:t xml:space="preserve">, </w:t>
      </w:r>
      <w:r w:rsidR="00FA7DDC">
        <w:t>69</w:t>
      </w:r>
      <w:r>
        <w:t xml:space="preserve">, </w:t>
      </w:r>
      <w:r w:rsidR="00FA7DDC">
        <w:t>70</w:t>
      </w:r>
      <w:r>
        <w:t xml:space="preserve">, </w:t>
      </w:r>
      <w:r w:rsidR="005E3EBF">
        <w:t>71</w:t>
      </w:r>
      <w:r>
        <w:t xml:space="preserve">, </w:t>
      </w:r>
      <w:r w:rsidR="005E3EBF">
        <w:t>72</w:t>
      </w:r>
      <w:r>
        <w:t xml:space="preserve">, </w:t>
      </w:r>
      <w:r w:rsidR="005E3EBF">
        <w:t>73</w:t>
      </w:r>
      <w:r>
        <w:t xml:space="preserve">, </w:t>
      </w:r>
      <w:r w:rsidR="00FA7DDC">
        <w:t>74</w:t>
      </w:r>
      <w:r>
        <w:t xml:space="preserve">, </w:t>
      </w:r>
      <w:r w:rsidR="005E3EBF">
        <w:t>75</w:t>
      </w:r>
      <w:r>
        <w:t xml:space="preserve">, </w:t>
      </w:r>
      <w:r w:rsidR="005E3EBF">
        <w:t>76</w:t>
      </w:r>
      <w:r>
        <w:t xml:space="preserve">, </w:t>
      </w:r>
      <w:r w:rsidR="0016296A">
        <w:t>129</w:t>
      </w:r>
      <w:r>
        <w:t xml:space="preserve">, </w:t>
      </w:r>
      <w:r w:rsidR="005E3EBF">
        <w:t>78</w:t>
      </w:r>
      <w:r>
        <w:t xml:space="preserve">, </w:t>
      </w:r>
      <w:r w:rsidR="00FA7DDC">
        <w:t>79</w:t>
      </w:r>
      <w:r>
        <w:t xml:space="preserve">, </w:t>
      </w:r>
      <w:r w:rsidR="00FA7DDC">
        <w:t>80</w:t>
      </w:r>
      <w:r>
        <w:t xml:space="preserve">, </w:t>
      </w:r>
      <w:r w:rsidR="00FA7DDC">
        <w:t>81</w:t>
      </w:r>
      <w:r>
        <w:t xml:space="preserve">, </w:t>
      </w:r>
      <w:r w:rsidR="005E3EBF">
        <w:t>82</w:t>
      </w:r>
      <w:r>
        <w:t xml:space="preserve">, </w:t>
      </w:r>
      <w:r w:rsidR="005E3EBF">
        <w:t>83</w:t>
      </w:r>
      <w:r>
        <w:t xml:space="preserve">, </w:t>
      </w:r>
      <w:r w:rsidR="005E3EBF">
        <w:t>84</w:t>
      </w:r>
      <w:r>
        <w:t xml:space="preserve">, </w:t>
      </w:r>
      <w:r w:rsidR="005E3EBF">
        <w:t>85</w:t>
      </w:r>
      <w:r>
        <w:t xml:space="preserve">, </w:t>
      </w:r>
      <w:r w:rsidR="005E3EBF">
        <w:t>86</w:t>
      </w:r>
      <w:r>
        <w:t xml:space="preserve">, </w:t>
      </w:r>
      <w:r w:rsidR="005E3EBF">
        <w:t>87</w:t>
      </w:r>
      <w:r>
        <w:t xml:space="preserve">, </w:t>
      </w:r>
      <w:r w:rsidR="00FA7DDC">
        <w:t>88</w:t>
      </w:r>
      <w:r>
        <w:t xml:space="preserve">, </w:t>
      </w:r>
      <w:r w:rsidR="005E3EBF">
        <w:t>89</w:t>
      </w:r>
      <w:r>
        <w:t xml:space="preserve">, </w:t>
      </w:r>
      <w:r w:rsidR="005E3EBF">
        <w:t>90</w:t>
      </w:r>
      <w:r>
        <w:t xml:space="preserve">, </w:t>
      </w:r>
      <w:r w:rsidR="005E3EBF">
        <w:t>91</w:t>
      </w:r>
      <w:r>
        <w:t xml:space="preserve">, </w:t>
      </w:r>
      <w:r w:rsidR="005E3EBF">
        <w:t>92</w:t>
      </w:r>
      <w:r>
        <w:t xml:space="preserve">, </w:t>
      </w:r>
      <w:r w:rsidR="00FA7DDC">
        <w:t>93</w:t>
      </w:r>
      <w:r>
        <w:t xml:space="preserve">, </w:t>
      </w:r>
      <w:r w:rsidR="005E3EBF">
        <w:t>77</w:t>
      </w:r>
      <w:r>
        <w:t xml:space="preserve">, </w:t>
      </w:r>
      <w:r w:rsidR="00FA7DDC">
        <w:t>94</w:t>
      </w:r>
      <w:r>
        <w:t xml:space="preserve">, </w:t>
      </w:r>
      <w:r w:rsidR="003A697B">
        <w:t>95</w:t>
      </w:r>
      <w:r>
        <w:t xml:space="preserve">, </w:t>
      </w:r>
      <w:r w:rsidR="003A697B">
        <w:t>96</w:t>
      </w:r>
      <w:r>
        <w:t xml:space="preserve">, </w:t>
      </w:r>
      <w:r w:rsidR="00FA7DDC">
        <w:t>97</w:t>
      </w:r>
      <w:r>
        <w:t xml:space="preserve">, </w:t>
      </w:r>
      <w:r w:rsidR="003A697B">
        <w:t>98</w:t>
      </w:r>
      <w:r>
        <w:t xml:space="preserve">, </w:t>
      </w:r>
      <w:r w:rsidR="003A697B">
        <w:t>99</w:t>
      </w:r>
      <w:r>
        <w:t xml:space="preserve">, </w:t>
      </w:r>
      <w:r w:rsidR="003A697B">
        <w:t>100</w:t>
      </w:r>
      <w:r>
        <w:t xml:space="preserve">, </w:t>
      </w:r>
      <w:r w:rsidR="003A697B">
        <w:t>101</w:t>
      </w:r>
      <w:r>
        <w:t xml:space="preserve">, </w:t>
      </w:r>
      <w:r w:rsidR="00FA7DDC">
        <w:t>102</w:t>
      </w:r>
      <w:r>
        <w:t xml:space="preserve">, </w:t>
      </w:r>
      <w:r w:rsidR="003A697B">
        <w:t>103</w:t>
      </w:r>
      <w:r>
        <w:t xml:space="preserve">, </w:t>
      </w:r>
      <w:r w:rsidR="00FA7DDC">
        <w:t>104</w:t>
      </w:r>
      <w:r>
        <w:t xml:space="preserve">, </w:t>
      </w:r>
      <w:r w:rsidR="003A697B">
        <w:t>105</w:t>
      </w:r>
      <w:r>
        <w:t xml:space="preserve">, </w:t>
      </w:r>
      <w:r w:rsidR="003A697B">
        <w:t>106</w:t>
      </w:r>
      <w:r>
        <w:t xml:space="preserve">, </w:t>
      </w:r>
      <w:r w:rsidR="003A697B">
        <w:t>107</w:t>
      </w:r>
      <w:r>
        <w:t xml:space="preserve">, </w:t>
      </w:r>
      <w:r w:rsidR="003A697B">
        <w:t>108</w:t>
      </w:r>
      <w:r>
        <w:t xml:space="preserve">, </w:t>
      </w:r>
      <w:r w:rsidR="00FA7DDC">
        <w:t>109</w:t>
      </w:r>
      <w:r>
        <w:t xml:space="preserve">, </w:t>
      </w:r>
      <w:r w:rsidR="003A697B">
        <w:t>110</w:t>
      </w:r>
      <w:r>
        <w:t xml:space="preserve">, </w:t>
      </w:r>
      <w:r w:rsidR="003A697B">
        <w:t>111</w:t>
      </w:r>
      <w:r>
        <w:t xml:space="preserve">, </w:t>
      </w:r>
      <w:r w:rsidR="00FA7DDC">
        <w:t>112</w:t>
      </w:r>
      <w:r>
        <w:t xml:space="preserve">, </w:t>
      </w:r>
      <w:r w:rsidR="003A697B">
        <w:t>113</w:t>
      </w:r>
      <w:r>
        <w:t xml:space="preserve">, </w:t>
      </w:r>
      <w:r w:rsidR="003A697B">
        <w:t>114</w:t>
      </w:r>
      <w:r>
        <w:t xml:space="preserve">, </w:t>
      </w:r>
      <w:r w:rsidR="00FA7DDC">
        <w:t>115</w:t>
      </w:r>
      <w:r>
        <w:t xml:space="preserve">, </w:t>
      </w:r>
      <w:r w:rsidR="00FA7DDC">
        <w:t>116</w:t>
      </w:r>
      <w:r>
        <w:t xml:space="preserve">, toţi cu domiciliul procesual ales în </w:t>
      </w:r>
      <w:r w:rsidR="00655A72">
        <w:t>S..........</w:t>
      </w:r>
      <w:r>
        <w:t xml:space="preserve">, str. </w:t>
      </w:r>
      <w:r w:rsidR="0016296A">
        <w:t>.......</w:t>
      </w:r>
      <w:r>
        <w:t xml:space="preserve">, nr. </w:t>
      </w:r>
      <w:r w:rsidR="0016296A">
        <w:t>......</w:t>
      </w:r>
      <w:r>
        <w:t>, sc.</w:t>
      </w:r>
      <w:r w:rsidR="0016296A">
        <w:t>.....,</w:t>
      </w:r>
      <w:r>
        <w:t xml:space="preserve"> ap. </w:t>
      </w:r>
      <w:r w:rsidR="00262B98">
        <w:t>.........</w:t>
      </w:r>
      <w:r>
        <w:t xml:space="preserve"> judeţul </w:t>
      </w:r>
      <w:r w:rsidR="00655A72">
        <w:t>S..........</w:t>
      </w:r>
      <w:r>
        <w:t xml:space="preserve">, împotriva deciziei civile nr. </w:t>
      </w:r>
      <w:r w:rsidR="00A8755B">
        <w:t>...........</w:t>
      </w:r>
      <w:r>
        <w:t xml:space="preserve"> din </w:t>
      </w:r>
      <w:r w:rsidR="003A697B">
        <w:t>........</w:t>
      </w:r>
      <w:r>
        <w:t xml:space="preserve">pronunţată de Curtea de Apel </w:t>
      </w:r>
      <w:r w:rsidR="00261F2E">
        <w:t>...........</w:t>
      </w:r>
      <w:r>
        <w:t xml:space="preserve"> în dosarul nr. </w:t>
      </w:r>
      <w:r w:rsidR="003A697B">
        <w:t>2.1</w:t>
      </w:r>
      <w:r>
        <w:t>*, pe care o păstrează în tot.</w:t>
      </w:r>
    </w:p>
    <w:p w:rsidR="008623E3" w14:paraId="0D87FF2D" w14:textId="77777777">
      <w:pPr>
        <w:ind w:firstLine="720"/>
        <w:jc w:val="both"/>
      </w:pPr>
      <w:r>
        <w:t>Definitivă.</w:t>
      </w:r>
    </w:p>
    <w:p w:rsidR="008623E3" w14:paraId="35550889" w14:textId="29946A93">
      <w:pPr>
        <w:ind w:firstLine="720"/>
        <w:jc w:val="both"/>
      </w:pPr>
      <w:r>
        <w:t xml:space="preserve">Pronunţată prin punerea soluţiei la dispoziţia părţilor prin intermediul grefei instanţei azi, </w:t>
      </w:r>
      <w:r w:rsidR="000E7ED5">
        <w:t>..........</w:t>
      </w:r>
      <w:r>
        <w:t>.</w:t>
      </w:r>
    </w:p>
    <w:p w:rsidR="008623E3" w14:paraId="1A354989" w14:textId="77777777">
      <w:pPr>
        <w:ind w:firstLine="720"/>
        <w:jc w:val="both"/>
      </w:pPr>
    </w:p>
    <w:p w:rsidRPr="00AB763A" w:rsidR="008623E3" w14:paraId="0952D77A" w14:textId="77777777">
      <w:pPr>
        <w:ind w:left="-180" w:firstLine="720"/>
        <w:rPr>
          <w:rStyle w:val="Fontdeparagrafimplicit"/>
          <w:b/>
          <w:lang w:val="en-US"/>
        </w:rPr>
      </w:pPr>
      <w:r w:rsidRPr="00261F2E">
        <w:rPr>
          <w:rStyle w:val="Fontdeparagrafimplicit"/>
          <w:b/>
          <w:lang w:val="pt-PT"/>
        </w:rPr>
        <w:t xml:space="preserve">   </w:t>
      </w:r>
      <w:r w:rsidRPr="00261F2E">
        <w:rPr>
          <w:rStyle w:val="Fontdeparagrafimplicit"/>
          <w:b/>
          <w:lang w:val="pt-PT"/>
        </w:rPr>
        <w:tab/>
        <w:t xml:space="preserve">  </w:t>
      </w:r>
      <w:r w:rsidRPr="00AB763A">
        <w:rPr>
          <w:rStyle w:val="Fontdeparagrafimplicit"/>
          <w:b/>
          <w:lang w:val="en-US"/>
        </w:rPr>
        <w:t>PREŞEDINTE</w:t>
      </w:r>
      <w:r w:rsidRPr="00AB763A">
        <w:rPr>
          <w:rStyle w:val="Fontdeparagrafimplicit"/>
          <w:b/>
          <w:lang w:val="en-US"/>
        </w:rPr>
        <w:tab/>
      </w:r>
      <w:r w:rsidRPr="00AB763A">
        <w:rPr>
          <w:rStyle w:val="Fontdeparagrafimplicit"/>
          <w:b/>
          <w:lang w:val="en-US"/>
        </w:rPr>
        <w:tab/>
      </w:r>
      <w:r w:rsidRPr="00AB763A">
        <w:rPr>
          <w:rStyle w:val="Fontdeparagrafimplicit"/>
          <w:b/>
          <w:lang w:val="en-US"/>
        </w:rPr>
        <w:tab/>
        <w:t xml:space="preserve">            </w:t>
      </w:r>
      <w:r w:rsidRPr="00AB763A">
        <w:rPr>
          <w:rStyle w:val="Fontdeparagrafimplicit"/>
          <w:b/>
          <w:lang w:val="en-US"/>
        </w:rPr>
        <w:tab/>
        <w:t xml:space="preserve">        JUDECĂTOR</w:t>
      </w:r>
      <w:r w:rsidRPr="00AB763A">
        <w:rPr>
          <w:rStyle w:val="Fontdeparagrafimplicit"/>
          <w:b/>
          <w:lang w:val="en-US"/>
        </w:rPr>
        <w:tab/>
      </w:r>
    </w:p>
    <w:p w:rsidRPr="00AB763A" w:rsidR="008623E3" w14:paraId="4A211A78" w14:textId="0DF68C02">
      <w:pPr>
        <w:ind w:left="-180" w:firstLine="720"/>
        <w:rPr>
          <w:rStyle w:val="Fontdeparagrafimplicit"/>
          <w:b/>
          <w:lang w:val="en-US"/>
        </w:rPr>
      </w:pPr>
      <w:r w:rsidRPr="00AB763A">
        <w:rPr>
          <w:rStyle w:val="Fontdeparagrafimplicit"/>
          <w:b/>
          <w:lang w:val="en-US"/>
        </w:rPr>
        <w:tab/>
      </w:r>
      <w:r w:rsidRPr="00AB763A">
        <w:rPr>
          <w:rStyle w:val="Fontdeparagrafimplicit"/>
          <w:b/>
          <w:lang w:val="en-US"/>
        </w:rPr>
        <w:tab/>
      </w:r>
      <w:r w:rsidRPr="00AB763A" w:rsidR="0016296A">
        <w:rPr>
          <w:rStyle w:val="Fontdeparagrafimplicit"/>
          <w:b/>
          <w:lang w:val="en-US"/>
        </w:rPr>
        <w:t xml:space="preserve">     </w:t>
      </w:r>
      <w:r w:rsidRPr="00AB763A" w:rsidR="00261F2E">
        <w:rPr>
          <w:rStyle w:val="Fontdeparagrafimplicit"/>
          <w:b/>
          <w:lang w:val="en-US"/>
        </w:rPr>
        <w:t>..........</w:t>
      </w:r>
      <w:r w:rsidRPr="00AB763A">
        <w:rPr>
          <w:rStyle w:val="Fontdeparagrafimplicit"/>
          <w:b/>
          <w:lang w:val="en-US"/>
        </w:rPr>
        <w:tab/>
      </w:r>
      <w:r w:rsidRPr="00AB763A">
        <w:rPr>
          <w:rStyle w:val="Fontdeparagrafimplicit"/>
          <w:b/>
          <w:lang w:val="en-US"/>
        </w:rPr>
        <w:tab/>
      </w:r>
      <w:r w:rsidRPr="00AB763A">
        <w:rPr>
          <w:rStyle w:val="Fontdeparagrafimplicit"/>
          <w:b/>
          <w:lang w:val="en-US"/>
        </w:rPr>
        <w:tab/>
        <w:t xml:space="preserve">             </w:t>
      </w:r>
      <w:r w:rsidRPr="00AB763A" w:rsidR="0016296A">
        <w:rPr>
          <w:rStyle w:val="Fontdeparagrafimplicit"/>
          <w:b/>
          <w:lang w:val="en-US"/>
        </w:rPr>
        <w:t xml:space="preserve">                              </w:t>
      </w:r>
      <w:r w:rsidRPr="00AB763A">
        <w:rPr>
          <w:rStyle w:val="Fontdeparagrafimplicit"/>
          <w:b/>
          <w:lang w:val="en-US"/>
        </w:rPr>
        <w:t xml:space="preserve">     </w:t>
      </w:r>
      <w:r w:rsidRPr="00AB763A" w:rsidR="00261F2E">
        <w:rPr>
          <w:rStyle w:val="Fontdeparagrafimplicit"/>
          <w:b/>
          <w:lang w:val="en-US"/>
        </w:rPr>
        <w:t>A0019</w:t>
      </w:r>
      <w:r w:rsidRPr="00AB763A">
        <w:rPr>
          <w:rStyle w:val="Fontdeparagrafimplicit"/>
          <w:b/>
          <w:lang w:val="en-US"/>
        </w:rPr>
        <w:tab/>
      </w:r>
      <w:r w:rsidRPr="00AB763A">
        <w:rPr>
          <w:rStyle w:val="Fontdeparagrafimplicit"/>
          <w:b/>
          <w:lang w:val="en-US"/>
        </w:rPr>
        <w:tab/>
      </w:r>
      <w:r w:rsidRPr="00AB763A">
        <w:rPr>
          <w:rStyle w:val="Fontdeparagrafimplicit"/>
          <w:b/>
          <w:lang w:val="en-US"/>
        </w:rPr>
        <w:tab/>
      </w:r>
      <w:r w:rsidRPr="00AB763A">
        <w:rPr>
          <w:rStyle w:val="Fontdeparagrafimplicit"/>
          <w:b/>
          <w:lang w:val="en-US"/>
        </w:rPr>
        <w:tab/>
      </w:r>
    </w:p>
    <w:p w:rsidRPr="00AB763A" w:rsidR="008623E3" w14:paraId="73013B71" w14:textId="77777777">
      <w:pPr>
        <w:ind w:left="-180" w:firstLine="720"/>
        <w:rPr>
          <w:rStyle w:val="Fontdeparagrafimplicit"/>
          <w:b/>
          <w:lang w:val="en-US"/>
        </w:rPr>
      </w:pPr>
    </w:p>
    <w:p w:rsidRPr="00AB763A" w:rsidR="008623E3" w14:paraId="115253B1" w14:textId="77777777">
      <w:pPr>
        <w:ind w:left="-180" w:firstLine="720"/>
        <w:rPr>
          <w:rStyle w:val="Fontdeparagrafimplicit"/>
          <w:b/>
          <w:lang w:val="en-US"/>
        </w:rPr>
      </w:pPr>
    </w:p>
    <w:p w:rsidRPr="00AB763A" w:rsidR="008623E3" w14:paraId="1E6167AC" w14:textId="77777777">
      <w:pPr>
        <w:ind w:left="-180" w:firstLine="720"/>
        <w:rPr>
          <w:rStyle w:val="Fontdeparagrafimplicit"/>
          <w:b/>
          <w:lang w:val="en-US"/>
        </w:rPr>
      </w:pPr>
    </w:p>
    <w:p w:rsidRPr="00AB763A" w:rsidR="008623E3" w14:paraId="19D2F812" w14:textId="77777777">
      <w:pPr>
        <w:ind w:left="-180" w:firstLine="720"/>
        <w:rPr>
          <w:rStyle w:val="Fontdeparagrafimplicit"/>
          <w:b/>
          <w:lang w:val="en-US"/>
        </w:rPr>
      </w:pPr>
      <w:r w:rsidRPr="00AB763A">
        <w:rPr>
          <w:rStyle w:val="Fontdeparagrafimplicit"/>
          <w:b/>
          <w:lang w:val="en-US"/>
        </w:rPr>
        <w:tab/>
      </w:r>
      <w:r w:rsidRPr="00AB763A">
        <w:rPr>
          <w:rStyle w:val="Fontdeparagrafimplicit"/>
          <w:b/>
          <w:lang w:val="en-US"/>
        </w:rPr>
        <w:tab/>
      </w:r>
      <w:r w:rsidRPr="00AB763A">
        <w:rPr>
          <w:rStyle w:val="Fontdeparagrafimplicit"/>
          <w:b/>
          <w:lang w:val="en-US"/>
        </w:rPr>
        <w:tab/>
      </w:r>
      <w:r w:rsidRPr="00AB763A">
        <w:rPr>
          <w:rStyle w:val="Fontdeparagrafimplicit"/>
          <w:b/>
          <w:lang w:val="en-US"/>
        </w:rPr>
        <w:tab/>
      </w:r>
      <w:r w:rsidRPr="00AB763A">
        <w:rPr>
          <w:rStyle w:val="Fontdeparagrafimplicit"/>
          <w:b/>
          <w:lang w:val="en-US"/>
        </w:rPr>
        <w:tab/>
        <w:t xml:space="preserve">      </w:t>
      </w:r>
      <w:r w:rsidRPr="00AB763A">
        <w:rPr>
          <w:rStyle w:val="Fontdeparagrafimplicit"/>
          <w:b/>
          <w:lang w:val="en-US"/>
        </w:rPr>
        <w:tab/>
        <w:t>GREFIER</w:t>
      </w:r>
    </w:p>
    <w:p w:rsidRPr="0016296A" w:rsidR="008623E3" w14:paraId="4D83820F" w14:textId="4665D77B">
      <w:pPr>
        <w:ind w:left="-180" w:firstLine="720"/>
        <w:rPr>
          <w:rStyle w:val="Fontdeparagrafimplicit"/>
          <w:b/>
          <w:lang w:val="en-US"/>
        </w:rPr>
      </w:pPr>
      <w:r w:rsidRPr="00AB763A">
        <w:rPr>
          <w:rStyle w:val="Fontdeparagrafimplicit"/>
          <w:b/>
          <w:lang w:val="en-US"/>
        </w:rPr>
        <w:t xml:space="preserve">                                                </w:t>
      </w:r>
      <w:r w:rsidRPr="00AB763A">
        <w:rPr>
          <w:rStyle w:val="Fontdeparagrafimplicit"/>
          <w:b/>
          <w:lang w:val="en-US"/>
        </w:rPr>
        <w:tab/>
      </w:r>
      <w:r w:rsidRPr="00AB763A" w:rsidR="0016296A">
        <w:rPr>
          <w:rStyle w:val="Fontdeparagrafimplicit"/>
          <w:b/>
          <w:lang w:val="en-US"/>
        </w:rPr>
        <w:tab/>
      </w:r>
      <w:r w:rsidRPr="0016296A" w:rsidR="00261F2E">
        <w:rPr>
          <w:rStyle w:val="Fontdeparagrafimplicit"/>
          <w:b/>
          <w:lang w:val="en-US"/>
        </w:rPr>
        <w:t xml:space="preserve">............. </w:t>
      </w:r>
    </w:p>
    <w:p w:rsidRPr="0016296A" w:rsidR="008623E3" w14:paraId="49216A24" w14:textId="77777777">
      <w:pPr>
        <w:ind w:firstLine="720"/>
        <w:jc w:val="center"/>
        <w:rPr>
          <w:rStyle w:val="Fontdeparagrafimplicit"/>
          <w:lang w:val="en-US"/>
        </w:rPr>
      </w:pPr>
    </w:p>
    <w:p w:rsidRPr="0016296A" w:rsidR="008623E3" w14:paraId="21F1C81D" w14:textId="45C008BD">
      <w:pPr>
        <w:ind w:firstLine="720"/>
        <w:rPr>
          <w:rStyle w:val="Fontdeparagrafimplicit"/>
          <w:sz w:val="16"/>
          <w:lang w:val="en-US"/>
        </w:rPr>
      </w:pPr>
      <w:r w:rsidRPr="0016296A">
        <w:rPr>
          <w:rStyle w:val="Fontdeparagrafimplicit"/>
          <w:sz w:val="16"/>
          <w:lang w:val="en-US"/>
        </w:rPr>
        <w:t xml:space="preserve">Red. </w:t>
      </w:r>
      <w:r w:rsidRPr="0016296A" w:rsidR="0016296A">
        <w:rPr>
          <w:rStyle w:val="Fontdeparagrafimplicit"/>
          <w:sz w:val="16"/>
          <w:lang w:val="en-US"/>
        </w:rPr>
        <w:t>.....</w:t>
      </w:r>
      <w:r w:rsidRPr="0016296A">
        <w:rPr>
          <w:rStyle w:val="Fontdeparagrafimplicit"/>
          <w:sz w:val="16"/>
          <w:lang w:val="en-US"/>
        </w:rPr>
        <w:t>./</w:t>
      </w:r>
      <w:r w:rsidRPr="0016296A">
        <w:rPr>
          <w:rStyle w:val="Fontdeparagrafimplicit"/>
          <w:sz w:val="16"/>
          <w:lang w:val="en-US"/>
        </w:rPr>
        <w:t>Tehn</w:t>
      </w:r>
      <w:r w:rsidRPr="0016296A">
        <w:rPr>
          <w:rStyle w:val="Fontdeparagrafimplicit"/>
          <w:sz w:val="16"/>
          <w:lang w:val="en-US"/>
        </w:rPr>
        <w:t xml:space="preserve">. </w:t>
      </w:r>
      <w:r w:rsidRPr="0016296A" w:rsidR="0016296A">
        <w:rPr>
          <w:rStyle w:val="Fontdeparagrafimplicit"/>
          <w:sz w:val="16"/>
          <w:lang w:val="en-US"/>
        </w:rPr>
        <w:t>......</w:t>
      </w:r>
      <w:r w:rsidRPr="0016296A">
        <w:rPr>
          <w:rStyle w:val="Fontdeparagrafimplicit"/>
          <w:sz w:val="16"/>
          <w:lang w:val="en-US"/>
        </w:rPr>
        <w:t>./</w:t>
      </w:r>
      <w:r w:rsidRPr="0016296A" w:rsidR="0016296A">
        <w:rPr>
          <w:rStyle w:val="Fontdeparagrafimplicit"/>
          <w:sz w:val="16"/>
          <w:lang w:val="en-US"/>
        </w:rPr>
        <w:t>.....</w:t>
      </w:r>
    </w:p>
    <w:p w:rsidRPr="00AB763A" w:rsidR="008623E3" w14:paraId="5396BCA0" w14:textId="4EE78D65">
      <w:pPr>
        <w:ind w:firstLine="720"/>
        <w:rPr>
          <w:rStyle w:val="Fontdeparagrafimplicit"/>
          <w:sz w:val="16"/>
          <w:lang w:val="pt-PT"/>
        </w:rPr>
      </w:pPr>
      <w:r w:rsidRPr="00AB763A">
        <w:rPr>
          <w:rStyle w:val="Fontdeparagrafimplicit"/>
          <w:sz w:val="16"/>
          <w:lang w:val="pt-PT"/>
        </w:rPr>
        <w:t xml:space="preserve">Jud. fond: </w:t>
      </w:r>
      <w:r w:rsidRPr="00AB763A" w:rsidR="0016296A">
        <w:rPr>
          <w:rStyle w:val="Fontdeparagrafimplicit"/>
          <w:sz w:val="16"/>
          <w:lang w:val="pt-PT"/>
        </w:rPr>
        <w:t>............</w:t>
      </w:r>
    </w:p>
    <w:p w:rsidRPr="0016296A" w:rsidR="008623E3" w14:paraId="58CF39E3" w14:textId="3599B734">
      <w:pPr>
        <w:ind w:firstLine="720"/>
        <w:rPr>
          <w:rStyle w:val="Fontdeparagrafimplicit"/>
          <w:sz w:val="16"/>
          <w:lang w:val="pt-PT"/>
        </w:rPr>
      </w:pPr>
      <w:r w:rsidRPr="0016296A">
        <w:rPr>
          <w:rStyle w:val="Fontdeparagrafimplicit"/>
          <w:sz w:val="16"/>
          <w:lang w:val="pt-PT"/>
        </w:rPr>
        <w:t xml:space="preserve">Jud. apel: </w:t>
      </w:r>
      <w:r w:rsidRPr="0016296A" w:rsidR="0016296A">
        <w:rPr>
          <w:rStyle w:val="Fontdeparagrafimplicit"/>
          <w:sz w:val="16"/>
          <w:lang w:val="pt-PT"/>
        </w:rPr>
        <w:t>…..</w:t>
      </w:r>
      <w:r w:rsidR="0016296A">
        <w:rPr>
          <w:rStyle w:val="Fontdeparagrafimplicit"/>
          <w:sz w:val="16"/>
          <w:lang w:val="pt-PT"/>
        </w:rPr>
        <w:t>..</w:t>
      </w:r>
      <w:r w:rsidRPr="0016296A">
        <w:rPr>
          <w:rStyle w:val="Fontdeparagrafimplicit"/>
          <w:sz w:val="16"/>
          <w:lang w:val="pt-PT"/>
        </w:rPr>
        <w:t xml:space="preserve">, </w:t>
      </w:r>
      <w:r w:rsidR="0016296A">
        <w:rPr>
          <w:rStyle w:val="Fontdeparagrafimplicit"/>
          <w:sz w:val="16"/>
          <w:lang w:val="pt-PT"/>
        </w:rPr>
        <w:t>......</w:t>
      </w:r>
    </w:p>
    <w:p w:rsidRPr="0016296A" w:rsidR="008623E3" w14:paraId="20ECABA8" w14:textId="3437D2EE">
      <w:pPr>
        <w:ind w:firstLine="720"/>
        <w:rPr>
          <w:rStyle w:val="Fontdeparagrafimplicit"/>
          <w:sz w:val="16"/>
          <w:lang w:val="pt-PT"/>
        </w:rPr>
      </w:pPr>
      <w:r w:rsidRPr="0016296A">
        <w:rPr>
          <w:rStyle w:val="Fontdeparagrafimplicit"/>
          <w:sz w:val="16"/>
          <w:lang w:val="pt-PT"/>
        </w:rPr>
        <w:t>4 ex./</w:t>
      </w:r>
      <w:r w:rsidR="003A3E11">
        <w:rPr>
          <w:rStyle w:val="Fontdeparagrafimplicit"/>
          <w:sz w:val="16"/>
          <w:lang w:val="pt-PT"/>
        </w:rPr>
        <w:t>...........</w:t>
      </w:r>
    </w:p>
    <w:sectPr>
      <w:footerReference w:type="even" r:id="rId4"/>
      <w:footerReference w:type="default" r:id="rId5"/>
      <w:pgSz w:w="11906" w:h="16838"/>
      <w:pgMar w:top="851" w:right="851"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623E3" w14:paraId="73F1A623"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8623E3" w14:paraId="187F71CC"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623E3" w14:paraId="07C9D3D7"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8623E3" w14:paraId="64D094AD"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3E3"/>
    <w:rsid w:val="000400CF"/>
    <w:rsid w:val="0006495A"/>
    <w:rsid w:val="00071141"/>
    <w:rsid w:val="000D0E6E"/>
    <w:rsid w:val="000E7ED5"/>
    <w:rsid w:val="0011089E"/>
    <w:rsid w:val="0016296A"/>
    <w:rsid w:val="00261F2E"/>
    <w:rsid w:val="00262B98"/>
    <w:rsid w:val="0027449C"/>
    <w:rsid w:val="003A3E11"/>
    <w:rsid w:val="003A697B"/>
    <w:rsid w:val="004341D4"/>
    <w:rsid w:val="005460F6"/>
    <w:rsid w:val="005E3EBF"/>
    <w:rsid w:val="00655A72"/>
    <w:rsid w:val="00810166"/>
    <w:rsid w:val="008623E3"/>
    <w:rsid w:val="00995521"/>
    <w:rsid w:val="00A06B5F"/>
    <w:rsid w:val="00A8755B"/>
    <w:rsid w:val="00AB763A"/>
    <w:rsid w:val="00C224B8"/>
    <w:rsid w:val="00FA7DDC"/>
  </w:rsids>
  <w:docVars>
    <w:docVar w:name="url" w:val="http://bd-cjca:80/ecris_cdms/document_upload.aspx?id_document=3300000001554516&amp;id_departament=14&amp;id_sesiune=1940451&amp;id_user=136&amp;id_institutie=33&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284D7BAD"/>
  <w15:docId w15:val="{27B954B5-BC3E-4B75-80F9-DB56CE90B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536"/>
        <w:tab w:val="right" w:pos="9072"/>
      </w:tabs>
    </w:pPr>
  </w:style>
  <w:style w:type="paragraph" w:customStyle="1" w:styleId="CaracterCaracter1CaracterCaracter">
    <w:name w:val="Caracter Caracter1 Caracter Caracter"/>
    <w:basedOn w:val="Normal"/>
    <w:link w:val="Fontdeparagrafimplicit"/>
    <w:pPr>
      <w:widowControl w:val="0"/>
      <w:suppressAutoHyphens/>
    </w:pPr>
    <w:rPr>
      <w:lang w:val="pl-PL"/>
    </w:rPr>
  </w:style>
  <w:style w:type="paragraph" w:customStyle="1" w:styleId="CaracterCaracter1">
    <w:name w:val="Caracter Caracter1"/>
    <w:basedOn w:val="Normal"/>
    <w:pPr>
      <w:widowControl w:val="0"/>
      <w:suppressAutoHyphens/>
    </w:pPr>
    <w:rPr>
      <w:lang w:val="pl-PL"/>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aliases w:val=" Caracter Caracter1 Caracter Caracter Caracter Caracter"/>
    <w:link w:val="CaracterCaracter1CaracterCaracter"/>
    <w:rPr>
      <w:lang w:val="pl-PL"/>
    </w:rPr>
  </w:style>
  <w:style w:type="character" w:customStyle="1" w:styleId="Numrdepagin">
    <w:name w:val="Număr de pagină"/>
    <w:basedOn w:val="Fontdeparagrafimplicit"/>
    <w:rPr>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134</ap:TotalTime>
  <ap:Pages>7</ap:Pages>
  <ap:Words>4484</ap:Words>
  <ap:Characters>25563</ap:Characters>
  <ap:Application>Microsoft Office Word</ap:Application>
  <ap:DocSecurity>0</ap:DocSecurity>
  <ap:Lines>213</ap:Lines>
  <ap:Paragraphs>59</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29988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2022-05-13T05:53:00.0000000Z</lastPrinted>
  <dc:subject/>
  <dc:description/>
  <keywords/>
  <category/>
  <contentStatus/>
  <dc:identifier/>
  <dc:language/>
  <version/>
</coreProperties>
</file>