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53B29" w:rsidP="00E53B29" w14:paraId="2E62740C" w14:textId="77777777">
      <w:pPr>
        <w:ind w:firstLine="993"/>
      </w:pPr>
    </w:p>
    <w:p w:rsidRPr="00E53B29" w:rsidR="00E53B29" w:rsidP="00E53B29" w14:paraId="120ACA47" w14:textId="0424DB26">
      <w:pPr>
        <w:ind w:firstLine="993"/>
        <w:rPr>
          <w:b/>
          <w:bCs/>
        </w:rPr>
      </w:pPr>
      <w:r w:rsidRPr="00E53B29">
        <w:rPr>
          <w:b/>
          <w:bCs/>
        </w:rPr>
        <w:t xml:space="preserve">Hot. </w:t>
      </w:r>
      <w:r>
        <w:rPr>
          <w:b/>
          <w:bCs/>
        </w:rPr>
        <w:t>3</w:t>
      </w:r>
    </w:p>
    <w:p w:rsidR="00E53B29" w:rsidP="00E53B29" w14:paraId="40E85FCF" w14:textId="16B04A73">
      <w:pPr>
        <w:ind w:firstLine="993"/>
      </w:pPr>
      <w:r>
        <w:t>Cod ECLI    ECLI:RO:</w:t>
      </w:r>
    </w:p>
    <w:p w:rsidR="00E53B29" w:rsidP="00E53B29" w14:paraId="2DB056CD" w14:textId="77777777">
      <w:pPr>
        <w:ind w:firstLine="993"/>
      </w:pPr>
      <w:r>
        <w:t>Dosar nr. .../.../...</w:t>
      </w:r>
    </w:p>
    <w:p w:rsidR="00E53B29" w:rsidP="00E53B29" w14:paraId="27E6DD21" w14:textId="77777777">
      <w:pPr>
        <w:ind w:firstLine="993"/>
      </w:pPr>
    </w:p>
    <w:p w:rsidR="00E53B29" w:rsidP="00E53B29" w14:paraId="5EBDF761" w14:textId="77777777">
      <w:pPr>
        <w:ind w:firstLine="993"/>
        <w:jc w:val="center"/>
      </w:pPr>
      <w:r>
        <w:t>R O M Â N I A</w:t>
      </w:r>
    </w:p>
    <w:p w:rsidR="00E53B29" w:rsidP="00E53B29" w14:paraId="38C82D83" w14:textId="77777777">
      <w:pPr>
        <w:ind w:firstLine="993"/>
        <w:jc w:val="center"/>
      </w:pPr>
      <w:r>
        <w:t>CURTEA DE APEL ...</w:t>
      </w:r>
    </w:p>
    <w:p w:rsidR="00E53B29" w:rsidP="00E53B29" w14:paraId="7286DC4B" w14:textId="77777777">
      <w:pPr>
        <w:ind w:firstLine="993"/>
        <w:jc w:val="center"/>
        <w:rPr>
          <w:lang w:val="en-US"/>
        </w:rPr>
      </w:pPr>
      <w:r>
        <w:t>SECŢIA CONTENCIOS ADMINISTRATIV ŞI FISCAL</w:t>
      </w:r>
    </w:p>
    <w:p w:rsidR="00E53B29" w:rsidP="00E53B29" w14:paraId="3ABE240E" w14:textId="77777777">
      <w:pPr>
        <w:ind w:firstLine="993"/>
        <w:jc w:val="center"/>
        <w:rPr>
          <w:b/>
        </w:rPr>
      </w:pPr>
      <w:r>
        <w:rPr>
          <w:b/>
        </w:rPr>
        <w:t>SENTINŢA CIVILĂ Nr. .../...</w:t>
      </w:r>
    </w:p>
    <w:p w:rsidR="00E53B29" w:rsidP="00E53B29" w14:paraId="2B79FBD6" w14:textId="77777777">
      <w:pPr>
        <w:ind w:firstLine="993"/>
        <w:jc w:val="center"/>
        <w:rPr>
          <w:b/>
        </w:rPr>
      </w:pPr>
      <w:r>
        <w:rPr>
          <w:b/>
        </w:rPr>
        <w:t>Şedinţa</w:t>
      </w:r>
      <w:r>
        <w:rPr>
          <w:b/>
        </w:rPr>
        <w:t> </w:t>
      </w:r>
      <w:r>
        <w:rPr>
          <w:b/>
        </w:rPr>
      </w:r>
      <w:bookmarkStart w:name="tip_sedinta" w:id="0"/>
      <w:r>
        <w:rPr>
          <w:b/>
        </w:rPr>
      </w:r>
      <w:r>
        <w:rPr>
          <w:b/>
        </w:rPr>
      </w:r>
      <w:r>
        <w:rPr>
          <w:b/>
        </w:rPr>
        <w:t>publică</w:t>
      </w:r>
      <w:r>
        <w:rPr>
          <w:b/>
        </w:rPr>
      </w:r>
      <w:bookmarkEnd w:id="0"/>
      <w:r>
        <w:rPr>
          <w:b/>
        </w:rPr>
        <w:t xml:space="preserve"> de la ... </w:t>
      </w:r>
    </w:p>
    <w:p w:rsidR="00E53B29" w:rsidP="00E53B29" w14:paraId="01BF16EA" w14:textId="77777777">
      <w:pPr>
        <w:ind w:firstLine="993"/>
        <w:jc w:val="center"/>
      </w:pPr>
      <w:r>
        <w:t>Completul constituit din:</w:t>
      </w:r>
    </w:p>
    <w:p w:rsidR="00E53B29" w:rsidP="00E53B29" w14:paraId="1ADEBE24" w14:textId="76E85BFB">
      <w:pPr>
        <w:ind w:firstLine="993"/>
        <w:jc w:val="center"/>
      </w:pPr>
      <w:r>
        <w:t xml:space="preserve">PREŞEDINTE </w:t>
      </w:r>
      <w:r>
        <w:t>A0014</w:t>
      </w:r>
    </w:p>
    <w:p w:rsidR="00E53B29" w:rsidP="00E53B29" w14:paraId="6E312838" w14:textId="77777777">
      <w:pPr>
        <w:ind w:firstLine="993"/>
        <w:jc w:val="center"/>
      </w:pPr>
      <w:r>
        <w:t>Grefier ...</w:t>
      </w:r>
    </w:p>
    <w:p w:rsidR="00E53B29" w:rsidP="00E53B29" w14:paraId="6EE0E593" w14:textId="77777777">
      <w:pPr>
        <w:ind w:firstLine="993"/>
        <w:jc w:val="both"/>
      </w:pPr>
    </w:p>
    <w:p w:rsidR="00E53B29" w:rsidP="00E53B29" w14:paraId="44D434B5" w14:textId="77777777">
      <w:pPr>
        <w:ind w:firstLine="993"/>
        <w:jc w:val="both"/>
      </w:pPr>
    </w:p>
    <w:p w:rsidR="00E53B29" w:rsidP="00E53B29" w14:paraId="1BF6EAC8" w14:textId="77777777">
      <w:pPr>
        <w:ind w:firstLine="993"/>
        <w:jc w:val="both"/>
      </w:pPr>
      <w:r>
        <w:t xml:space="preserve">Pe rol se află judecarea </w:t>
      </w:r>
      <w:r>
        <w:t>acţiunii</w:t>
      </w:r>
      <w:r>
        <w:t xml:space="preserve"> în contencios administrativ, formulată de  reclamantul X în contradictoriu cu pârâtul PREŞEDINTELE CONSILIULUI SUPERIOR AL MAGISTRATURII,  având ca obiect obligare emitere act administrativ. </w:t>
      </w:r>
    </w:p>
    <w:p w:rsidR="00E53B29" w:rsidP="00E53B29" w14:paraId="6A99CB21" w14:textId="77777777">
      <w:pPr>
        <w:ind w:firstLine="993"/>
        <w:jc w:val="both"/>
      </w:pPr>
      <w:r>
        <w:t xml:space="preserve">Dezbaterile în cauză </w:t>
      </w:r>
      <w:r>
        <w:t>şi</w:t>
      </w:r>
      <w:r>
        <w:t xml:space="preserve"> </w:t>
      </w:r>
      <w:r>
        <w:t>susţinerile</w:t>
      </w:r>
      <w:r>
        <w:t xml:space="preserve"> </w:t>
      </w:r>
      <w:r>
        <w:t>părţilor</w:t>
      </w:r>
      <w:r>
        <w:t xml:space="preserve"> au avut loc în </w:t>
      </w:r>
      <w:r>
        <w:t>şedinţa</w:t>
      </w:r>
      <w:r>
        <w:t xml:space="preserve"> publică din ..., fiind consemnate în încheierea de </w:t>
      </w:r>
      <w:r>
        <w:t>şedinţă</w:t>
      </w:r>
      <w:r>
        <w:t xml:space="preserve"> de la acea dată, parte integrantă din prezenta hotărâre, când Curtea, având nevoie de timp pentru a delibera, a amânat </w:t>
      </w:r>
      <w:r>
        <w:t>pronunţarea</w:t>
      </w:r>
      <w:r>
        <w:t xml:space="preserve"> la data de azi, ... când, în </w:t>
      </w:r>
      <w:r>
        <w:t>aceeaşi</w:t>
      </w:r>
      <w:r>
        <w:t xml:space="preserve"> compunere, a </w:t>
      </w:r>
      <w:r>
        <w:t>pronunţat</w:t>
      </w:r>
      <w:r>
        <w:t xml:space="preserve"> următoarea hotărâre:</w:t>
      </w:r>
    </w:p>
    <w:p w:rsidR="00E53B29" w:rsidP="00E53B29" w14:paraId="29128DFA" w14:textId="77777777">
      <w:pPr>
        <w:ind w:firstLine="993"/>
        <w:jc w:val="both"/>
      </w:pPr>
    </w:p>
    <w:p w:rsidR="00E53B29" w:rsidP="00E53B29" w14:paraId="47DD7341" w14:textId="77777777">
      <w:pPr>
        <w:ind w:firstLine="993"/>
        <w:jc w:val="both"/>
      </w:pPr>
    </w:p>
    <w:p w:rsidR="00E53B29" w:rsidP="00E53B29" w14:paraId="159B70BD" w14:textId="77777777">
      <w:pPr>
        <w:ind w:firstLine="993"/>
        <w:jc w:val="center"/>
        <w:rPr>
          <w:b/>
        </w:rPr>
      </w:pPr>
      <w:r>
        <w:rPr>
          <w:b/>
        </w:rPr>
        <w:t>C U R T E A</w:t>
      </w:r>
    </w:p>
    <w:p w:rsidR="00E53B29" w:rsidP="00E53B29" w14:paraId="0740BA43" w14:textId="77777777">
      <w:pPr>
        <w:ind w:firstLine="993"/>
        <w:jc w:val="center"/>
        <w:rPr>
          <w:b/>
        </w:rPr>
      </w:pPr>
    </w:p>
    <w:p w:rsidR="00E53B29" w:rsidP="00E53B29" w14:paraId="59364746" w14:textId="77777777">
      <w:pPr>
        <w:ind w:firstLine="993"/>
        <w:jc w:val="both"/>
        <w:rPr>
          <w:b/>
        </w:rPr>
      </w:pPr>
    </w:p>
    <w:p w:rsidR="00E53B29" w:rsidP="00E53B29" w14:paraId="12592558" w14:textId="77777777">
      <w:pPr>
        <w:tabs>
          <w:tab w:val="left" w:pos="567"/>
        </w:tabs>
        <w:ind w:firstLine="993"/>
        <w:jc w:val="both"/>
      </w:pPr>
      <w:r>
        <w:t xml:space="preserve">Deliberând asupra cauzei de contencios administrativ de </w:t>
      </w:r>
      <w:r>
        <w:t>faţă</w:t>
      </w:r>
      <w:r>
        <w:t xml:space="preserve">, constată: </w:t>
      </w:r>
    </w:p>
    <w:p w:rsidR="00E53B29" w:rsidP="00E53B29" w14:paraId="00FA5D71" w14:textId="77777777">
      <w:pPr>
        <w:tabs>
          <w:tab w:val="left" w:pos="567"/>
        </w:tabs>
        <w:ind w:firstLine="993"/>
        <w:jc w:val="both"/>
        <w:rPr>
          <w:b/>
        </w:rPr>
      </w:pPr>
      <w:r>
        <w:rPr>
          <w:b/>
        </w:rPr>
        <w:t>I. Circumstanțele cauzei</w:t>
      </w:r>
    </w:p>
    <w:p w:rsidR="00E53B29" w:rsidP="00E53B29" w14:paraId="1FDF5B92" w14:textId="77777777">
      <w:pPr>
        <w:tabs>
          <w:tab w:val="left" w:pos="567"/>
        </w:tabs>
        <w:ind w:firstLine="993"/>
        <w:jc w:val="both"/>
        <w:rPr>
          <w:b/>
          <w:i/>
        </w:rPr>
      </w:pPr>
      <w:r>
        <w:rPr>
          <w:b/>
          <w:i/>
        </w:rPr>
        <w:t>1. Cererea de chemare în judecată</w:t>
      </w:r>
    </w:p>
    <w:p w:rsidR="00E53B29" w:rsidP="00E53B29" w14:paraId="56C8A743" w14:textId="77777777">
      <w:pPr>
        <w:ind w:firstLine="993"/>
        <w:jc w:val="both"/>
      </w:pPr>
      <w:r>
        <w:t xml:space="preserve">Prin cererea înregistrată pe rolul acestei </w:t>
      </w:r>
      <w:r>
        <w:t>instanţe</w:t>
      </w:r>
      <w:r>
        <w:t xml:space="preserve">, la data de 24.11.2022, sub nr. .../.../..., reclamantul X a solicitat obligarea pârâtului </w:t>
      </w:r>
      <w:r>
        <w:t>preşedintele</w:t>
      </w:r>
      <w:r>
        <w:t xml:space="preserve"> Consiliului Superior al Magistraturii la comunicarea unui răspuns la cererea adresată la data de 08.08.2022, înregistrată sub nr. .../08.08.2022, </w:t>
      </w:r>
      <w:r>
        <w:t>şi</w:t>
      </w:r>
      <w:r>
        <w:t xml:space="preserve"> anularea deciziei nr. .../24.02.2021 a </w:t>
      </w:r>
      <w:r>
        <w:t>preşedintelui</w:t>
      </w:r>
      <w:r>
        <w:t xml:space="preserve"> Consiliului Superior al Magistraturii. </w:t>
      </w:r>
    </w:p>
    <w:p w:rsidR="00E53B29" w:rsidP="00E53B29" w14:paraId="6AC595A8" w14:textId="77777777">
      <w:pPr>
        <w:ind w:firstLine="993"/>
        <w:jc w:val="both"/>
      </w:pPr>
      <w:r>
        <w:t xml:space="preserve">Referitor la primul petit,  reclamantul, în calitate de procuror în cadrul Parchetului de pe lângă Judecătoria ..., </w:t>
      </w:r>
      <w:r>
        <w:t>detaşat</w:t>
      </w:r>
      <w:r>
        <w:t xml:space="preserve">, în perioada ............, în cadrul Consiliului Superior al Magistraturii, a arătat că propunerea directorului adjunct al </w:t>
      </w:r>
      <w:r>
        <w:t>Direcţiei</w:t>
      </w:r>
      <w:r>
        <w:t xml:space="preserve"> resurse umane </w:t>
      </w:r>
      <w:r>
        <w:t>şi</w:t>
      </w:r>
      <w:r>
        <w:t xml:space="preserve"> organizare de prelungire a </w:t>
      </w:r>
      <w:r>
        <w:t>detaşării</w:t>
      </w:r>
      <w:r>
        <w:t xml:space="preserve"> sale a fost respinsă nemotivat de </w:t>
      </w:r>
      <w:r>
        <w:t>preşedintele</w:t>
      </w:r>
      <w:r>
        <w:t xml:space="preserve"> Consiliului.</w:t>
      </w:r>
    </w:p>
    <w:p w:rsidR="00E53B29" w:rsidP="00E53B29" w14:paraId="390B4E29" w14:textId="77777777">
      <w:pPr>
        <w:ind w:firstLine="993"/>
        <w:jc w:val="both"/>
      </w:pPr>
      <w:r>
        <w:t xml:space="preserve">La data de 08.08.2022, reclamantul a transmis o adresă către </w:t>
      </w:r>
      <w:r>
        <w:t>preşedintele</w:t>
      </w:r>
      <w:r>
        <w:t xml:space="preserve"> Consiliului Superior al Magistraturii, prin care a solicitat să îi comunice motivele care au stat la baza deciziei sale din data de 13.07.2022, fără a primi însă vreun răspuns, considerent pentru care a apreciat că a fost lezat în dreptul său de a </w:t>
      </w:r>
      <w:r>
        <w:t>cunoaşte</w:t>
      </w:r>
      <w:r>
        <w:t xml:space="preserve"> motivele deciziei </w:t>
      </w:r>
      <w:r>
        <w:t>preşedintelui</w:t>
      </w:r>
      <w:r>
        <w:t xml:space="preserve"> Consiliului.</w:t>
      </w:r>
    </w:p>
    <w:p w:rsidR="00E53B29" w:rsidP="00E53B29" w14:paraId="01C245C1" w14:textId="77777777">
      <w:pPr>
        <w:ind w:firstLine="993"/>
        <w:jc w:val="both"/>
      </w:pPr>
      <w:r>
        <w:t xml:space="preserve">A arătat reclamantul că activitatea sa a fost </w:t>
      </w:r>
      <w:r>
        <w:t>desfăşurată</w:t>
      </w:r>
      <w:r>
        <w:t xml:space="preserve"> în conformitate cu </w:t>
      </w:r>
      <w:r>
        <w:t>dispoziţiile</w:t>
      </w:r>
      <w:r>
        <w:t xml:space="preserve"> legale, că și-a îndeplinit sarcinile de serviciu, fiind apreciat de </w:t>
      </w:r>
      <w:r>
        <w:t>şefii</w:t>
      </w:r>
      <w:r>
        <w:t xml:space="preserve"> săi ierarhici - director adjunct </w:t>
      </w:r>
      <w:r>
        <w:t>şi</w:t>
      </w:r>
      <w:r>
        <w:t xml:space="preserve"> director DRUO, secretar general adjunct, precum </w:t>
      </w:r>
      <w:r>
        <w:t>şi</w:t>
      </w:r>
      <w:r>
        <w:t xml:space="preserve"> de membrii </w:t>
      </w:r>
      <w:r>
        <w:t>Secţiei</w:t>
      </w:r>
      <w:r>
        <w:t xml:space="preserve"> pentru procurori. </w:t>
      </w:r>
    </w:p>
    <w:p w:rsidR="00E53B29" w:rsidP="00E53B29" w14:paraId="14FA9BD6" w14:textId="77777777">
      <w:pPr>
        <w:ind w:firstLine="993"/>
        <w:jc w:val="both"/>
      </w:pPr>
      <w:r>
        <w:t xml:space="preserve">A mai precizat că în aceeași perioadă a mai fost întocmit un referat de necesitate pentru un alt procuror, doamna Y, referat semnat de președintele Consiliului a doua zi de la înregistrarea raportului. </w:t>
      </w:r>
    </w:p>
    <w:p w:rsidR="00E53B29" w:rsidP="00E53B29" w14:paraId="6D39265A" w14:textId="77777777">
      <w:pPr>
        <w:ind w:firstLine="993"/>
        <w:jc w:val="both"/>
      </w:pPr>
      <w:r>
        <w:t>De asemenea, a semnalat că Secția pentru procurori nu a acordat în cuprinsul anului 2022 nicio detașare, dispunând prelungirea detașării pentru doi procurori, în timp ce Secția pentru judecători a dispus detașarea a opt judecători și nouă prelungiri de detașări a unor judecători din cadrul Consiliului.</w:t>
      </w:r>
    </w:p>
    <w:p w:rsidR="00E53B29" w:rsidP="00E53B29" w14:paraId="448131B9" w14:textId="77777777">
      <w:pPr>
        <w:ind w:firstLine="993"/>
        <w:jc w:val="both"/>
      </w:pPr>
      <w:r>
        <w:t xml:space="preserve">A mai precizat reclamantul că nu a avut nicio </w:t>
      </w:r>
      <w:r>
        <w:t>discuţie</w:t>
      </w:r>
      <w:r>
        <w:t xml:space="preserve"> cu </w:t>
      </w:r>
      <w:r>
        <w:t>preşedintele</w:t>
      </w:r>
      <w:r>
        <w:t xml:space="preserve"> Consiliului referitor la activitatea sa </w:t>
      </w:r>
      <w:r>
        <w:t>şi</w:t>
      </w:r>
      <w:r>
        <w:t xml:space="preserve"> nu i s-au solicitat până la data încetării </w:t>
      </w:r>
      <w:r>
        <w:t>detaşării</w:t>
      </w:r>
      <w:r>
        <w:t xml:space="preserve"> sale niciun fel de </w:t>
      </w:r>
      <w:r>
        <w:t>informaţii</w:t>
      </w:r>
      <w:r>
        <w:t xml:space="preserve"> cu privire la activitatea pe care a </w:t>
      </w:r>
      <w:r>
        <w:t>desfăşurat</w:t>
      </w:r>
      <w:r>
        <w:t>-o în cadrul Consiliului.</w:t>
      </w:r>
    </w:p>
    <w:p w:rsidR="00E53B29" w:rsidP="00E53B29" w14:paraId="2B5D56C2" w14:textId="77777777">
      <w:pPr>
        <w:ind w:firstLine="993"/>
        <w:jc w:val="both"/>
      </w:pPr>
      <w:r>
        <w:t xml:space="preserve">În drept, a invocat </w:t>
      </w:r>
      <w:r>
        <w:t>dispoziţiile</w:t>
      </w:r>
      <w:r>
        <w:t xml:space="preserve"> art. 1 alin. (1), art. 8 alin. (1), art. 10 alin. (1) ipoteza a II-a, art. 11 alin. (1) lit. c) din Legea nr. 554/2004 privind contenciosul administrativ.</w:t>
      </w:r>
    </w:p>
    <w:p w:rsidR="00E53B29" w:rsidP="00E53B29" w14:paraId="36D60E12" w14:textId="77777777">
      <w:pPr>
        <w:ind w:firstLine="993"/>
        <w:jc w:val="both"/>
      </w:pPr>
      <w:r>
        <w:t xml:space="preserve">În ceea ce </w:t>
      </w:r>
      <w:r>
        <w:t>priveşte</w:t>
      </w:r>
      <w:r>
        <w:t xml:space="preserve"> al doilea petit, a arătat că prin decizia nr. ... din 24.02.2021, practica anterioară în ceea ce </w:t>
      </w:r>
      <w:r>
        <w:t>priveşte</w:t>
      </w:r>
      <w:r>
        <w:t xml:space="preserve"> </w:t>
      </w:r>
      <w:r>
        <w:t>detaşările</w:t>
      </w:r>
      <w:r>
        <w:t xml:space="preserve"> în cadrul aparatului tehnic al Consiliului a fost schimbată, în sensul că referatele de necesitate privind atât </w:t>
      </w:r>
      <w:r>
        <w:t>detaşările</w:t>
      </w:r>
      <w:r>
        <w:t xml:space="preserve"> judecătorilor, cât </w:t>
      </w:r>
      <w:r>
        <w:t>şi</w:t>
      </w:r>
      <w:r>
        <w:t xml:space="preserve"> cele ale procurorilor urmează a fi aprobate de </w:t>
      </w:r>
      <w:r>
        <w:t>preşedintele</w:t>
      </w:r>
      <w:r>
        <w:t xml:space="preserve"> Consiliului.</w:t>
      </w:r>
    </w:p>
    <w:p w:rsidR="00E53B29" w:rsidP="00E53B29" w14:paraId="4CE687DA" w14:textId="77777777">
      <w:pPr>
        <w:ind w:firstLine="993"/>
        <w:jc w:val="both"/>
      </w:pPr>
      <w:r>
        <w:t xml:space="preserve">Este adevărat că, potrivit Legii nr. 317/2004, </w:t>
      </w:r>
      <w:r>
        <w:t>preşedintele</w:t>
      </w:r>
      <w:r>
        <w:t xml:space="preserve"> Consiliului este ordonatorul principal de credite al acestei </w:t>
      </w:r>
      <w:r>
        <w:t>instituţii</w:t>
      </w:r>
      <w:r>
        <w:t xml:space="preserve">, dar raportat la prevederile art. 1 alin. (2) din Legea nr. 303/2004, cariera judecătorului este separată de cariera procurorului, judecătorii neputând interfera în cariera procurorilor </w:t>
      </w:r>
      <w:r>
        <w:t>şi</w:t>
      </w:r>
      <w:r>
        <w:t xml:space="preserve"> nici procurorii în cea a judecătorilor.</w:t>
      </w:r>
    </w:p>
    <w:p w:rsidR="00E53B29" w:rsidP="00E53B29" w14:paraId="42F6A2B1" w14:textId="77777777">
      <w:pPr>
        <w:ind w:firstLine="993"/>
        <w:jc w:val="both"/>
      </w:pPr>
      <w:r>
        <w:t>Acţiunea</w:t>
      </w:r>
      <w:r>
        <w:t xml:space="preserve"> </w:t>
      </w:r>
      <w:r>
        <w:t>preşedintelui</w:t>
      </w:r>
      <w:r>
        <w:t xml:space="preserve"> Consiliului Superior al Magistraturii de a nu fi de acord cu prelungirea </w:t>
      </w:r>
      <w:r>
        <w:t>detaşării</w:t>
      </w:r>
      <w:r>
        <w:t xml:space="preserve"> sale în cadrul Consiliul fără nicio motivare plauzibilă justifică interesul de a ataca decizia. Prin decizia contestată, </w:t>
      </w:r>
      <w:r>
        <w:t>preşedintele</w:t>
      </w:r>
      <w:r>
        <w:t xml:space="preserve"> Consiliului poate să decidă care persoane să fie </w:t>
      </w:r>
      <w:r>
        <w:t>detaşate</w:t>
      </w:r>
      <w:r>
        <w:t xml:space="preserve"> sau nu în cadrul Consiliului, inclusiv în ceea ce îi </w:t>
      </w:r>
      <w:r>
        <w:t>priveşte</w:t>
      </w:r>
      <w:r>
        <w:t xml:space="preserve"> pe procurori, chiar dacă </w:t>
      </w:r>
      <w:r>
        <w:t>vicepreşedintele</w:t>
      </w:r>
      <w:r>
        <w:t xml:space="preserve"> Consiliului </w:t>
      </w:r>
      <w:r>
        <w:t>şi</w:t>
      </w:r>
      <w:r>
        <w:t xml:space="preserve"> </w:t>
      </w:r>
      <w:r>
        <w:t>ceilalţi</w:t>
      </w:r>
      <w:r>
        <w:t xml:space="preserve"> membrii ai </w:t>
      </w:r>
      <w:r>
        <w:t>Secţiei</w:t>
      </w:r>
      <w:r>
        <w:t xml:space="preserve"> pentru procurori sunt de acord cu </w:t>
      </w:r>
      <w:r>
        <w:t>detaşarea</w:t>
      </w:r>
      <w:r>
        <w:t xml:space="preserve"> acestora în </w:t>
      </w:r>
      <w:r>
        <w:t>condiţiile</w:t>
      </w:r>
      <w:r>
        <w:t xml:space="preserve"> prevăzute de legea organică, respectiv de </w:t>
      </w:r>
      <w:r>
        <w:t>dispoziţiile</w:t>
      </w:r>
      <w:r>
        <w:t xml:space="preserve"> art. 58 din Legea nr. 303/2004. Prin această decizie practic este anulată puterea de decizie stabilită de legiuitor, în cuprinsul </w:t>
      </w:r>
      <w:r>
        <w:t>dispoziţiilor</w:t>
      </w:r>
      <w:r>
        <w:t xml:space="preserve"> art. 58 din Legea nr. 303/2004, a membrilor </w:t>
      </w:r>
      <w:r>
        <w:t>Secţiei</w:t>
      </w:r>
      <w:r>
        <w:t xml:space="preserve"> pentru procurori.</w:t>
      </w:r>
    </w:p>
    <w:p w:rsidR="00E53B29" w:rsidP="00E53B29" w14:paraId="0ACC3ABE" w14:textId="77777777">
      <w:pPr>
        <w:ind w:firstLine="993"/>
        <w:jc w:val="both"/>
      </w:pPr>
      <w:r>
        <w:t xml:space="preserve">Anularea deciziei nr. ... din 24.02.2021 </w:t>
      </w:r>
      <w:r>
        <w:t>şi</w:t>
      </w:r>
      <w:r>
        <w:t xml:space="preserve"> obligarea la emiterea unei noi decizii prin care referatele de necesitate privind </w:t>
      </w:r>
      <w:r>
        <w:t>detaşarea</w:t>
      </w:r>
      <w:r>
        <w:t xml:space="preserve"> judecătorilor </w:t>
      </w:r>
      <w:r>
        <w:t>şi</w:t>
      </w:r>
      <w:r>
        <w:t xml:space="preserve"> procurorilor în cadrul Consiliului să fie aprobate de </w:t>
      </w:r>
      <w:r>
        <w:t>preşedinte</w:t>
      </w:r>
      <w:r>
        <w:t xml:space="preserve">, respectiv </w:t>
      </w:r>
      <w:r>
        <w:t>vicepreşedinte</w:t>
      </w:r>
      <w:r>
        <w:t xml:space="preserve">, raportat la </w:t>
      </w:r>
      <w:r>
        <w:t>dispoziţiile</w:t>
      </w:r>
      <w:r>
        <w:t xml:space="preserve"> art. 1 alin. (2) din Legea nr. 303/2004, este o măsură justă </w:t>
      </w:r>
      <w:r>
        <w:t>şi</w:t>
      </w:r>
      <w:r>
        <w:t xml:space="preserve"> care creează un echilibru între cele două </w:t>
      </w:r>
      <w:r>
        <w:t>secţii</w:t>
      </w:r>
      <w:r>
        <w:t xml:space="preserve"> componente ale Consiliului din punctul de vedere al resurselor umane, pe componenta </w:t>
      </w:r>
      <w:r>
        <w:t>detaşărilor</w:t>
      </w:r>
      <w:r>
        <w:t xml:space="preserve"> judecătorilor/procurorilor din aparatul tehnic al Consiliului.</w:t>
      </w:r>
    </w:p>
    <w:p w:rsidR="00E53B29" w:rsidP="00E53B29" w14:paraId="57F647B7" w14:textId="77777777">
      <w:pPr>
        <w:ind w:firstLine="993"/>
        <w:jc w:val="both"/>
      </w:pPr>
      <w:r>
        <w:t xml:space="preserve">În cursul lunii august 2022, </w:t>
      </w:r>
      <w:r>
        <w:t>preşedintele</w:t>
      </w:r>
      <w:r>
        <w:t xml:space="preserve"> Consiliului a aprobat referatul de necesitate în ceea ce </w:t>
      </w:r>
      <w:r>
        <w:t>priveşte</w:t>
      </w:r>
      <w:r>
        <w:t xml:space="preserve"> </w:t>
      </w:r>
      <w:r>
        <w:t>detaşarea</w:t>
      </w:r>
      <w:r>
        <w:t xml:space="preserve"> în cadrul Consiliului a doamnei Z, procuror în cadrul Parchetului de pe lângă Tribunalul ..., iar prin Hotărârea </w:t>
      </w:r>
      <w:r>
        <w:t>Secţiei</w:t>
      </w:r>
      <w:r>
        <w:t xml:space="preserve"> pentru procurori nr. ... din .......... doamna procuror a fost </w:t>
      </w:r>
      <w:r>
        <w:t>detaşată</w:t>
      </w:r>
      <w:r>
        <w:t xml:space="preserve"> în cadrul Consiliului, începând cu data de 01.10.2022, referatul fiind întocmit la nivelul </w:t>
      </w:r>
      <w:r>
        <w:t>Direcţiei</w:t>
      </w:r>
      <w:r>
        <w:t xml:space="preserve"> resurse umane </w:t>
      </w:r>
      <w:r>
        <w:t>şi</w:t>
      </w:r>
      <w:r>
        <w:t xml:space="preserve"> organizare, pentru ocuparea prin </w:t>
      </w:r>
      <w:r>
        <w:t>detaşare</w:t>
      </w:r>
      <w:r>
        <w:t xml:space="preserve"> a unui post din cadrul Serviciului resurse umane pentru parchete.</w:t>
      </w:r>
    </w:p>
    <w:p w:rsidR="00E53B29" w:rsidP="00E53B29" w14:paraId="1E2A1644" w14:textId="77777777">
      <w:pPr>
        <w:ind w:firstLine="993"/>
        <w:jc w:val="both"/>
      </w:pPr>
      <w:r>
        <w:t xml:space="preserve">În drept, a invocat </w:t>
      </w:r>
      <w:r>
        <w:t>dispoziţiile</w:t>
      </w:r>
      <w:r>
        <w:t xml:space="preserve"> art. 1 alin. (1), art. 8 alin. (1), art. 10 alin. (1) ipoteza a II-a, art. 11 alin. (1) lit. c) din Legea nr. 554/2004 privind contenciosul administrativ.</w:t>
      </w:r>
    </w:p>
    <w:p w:rsidR="00E53B29" w:rsidP="00E53B29" w14:paraId="4FA4FFED" w14:textId="77777777">
      <w:pPr>
        <w:ind w:firstLine="993"/>
        <w:jc w:val="both"/>
        <w:rPr>
          <w:b/>
          <w:i/>
        </w:rPr>
      </w:pPr>
      <w:r>
        <w:rPr>
          <w:b/>
          <w:i/>
        </w:rPr>
        <w:t>2. Întâmpinarea pârâtei</w:t>
      </w:r>
    </w:p>
    <w:p w:rsidR="00E53B29" w:rsidP="00E53B29" w14:paraId="07FAFD0B" w14:textId="77777777">
      <w:pPr>
        <w:ind w:firstLine="993"/>
        <w:jc w:val="both"/>
        <w:rPr>
          <w:rStyle w:val="FontStyle39"/>
          <w:i w:val="0"/>
        </w:rPr>
      </w:pPr>
      <w:r>
        <w:t xml:space="preserve">Prin întâmpinarea formulată </w:t>
      </w:r>
      <w:r>
        <w:rPr>
          <w:rStyle w:val="FontStyle39"/>
        </w:rPr>
        <w:t xml:space="preserve">Consiliul Superior al Magistraturii – reprezentat legal prin </w:t>
      </w:r>
      <w:r>
        <w:rPr>
          <w:rStyle w:val="FontStyle39"/>
        </w:rPr>
        <w:t>preşedinte</w:t>
      </w:r>
      <w:r>
        <w:rPr>
          <w:rStyle w:val="FontStyle39"/>
        </w:rPr>
        <w:t xml:space="preserve"> a invocat </w:t>
      </w:r>
      <w:r>
        <w:rPr>
          <w:rStyle w:val="FontStyle39"/>
        </w:rPr>
        <w:t>excepţia</w:t>
      </w:r>
      <w:r>
        <w:rPr>
          <w:rStyle w:val="FontStyle39"/>
        </w:rPr>
        <w:t xml:space="preserve"> </w:t>
      </w:r>
      <w:r>
        <w:rPr>
          <w:rStyle w:val="FontStyle39"/>
        </w:rPr>
        <w:t>inadmisibilităţii</w:t>
      </w:r>
      <w:r>
        <w:rPr>
          <w:rStyle w:val="FontStyle39"/>
        </w:rPr>
        <w:t xml:space="preserve"> și excepția lipsei de interes în ce privește cererea în anularea deciziei nr. .../25.02.2021, iar pe fond, a solicitat respingerea ca neîntemeiată a cererii de chemare în judecată.</w:t>
      </w:r>
    </w:p>
    <w:p w:rsidR="00E53B29" w:rsidP="00E53B29" w14:paraId="42CA4F96" w14:textId="77777777">
      <w:pPr>
        <w:ind w:firstLine="993"/>
        <w:jc w:val="both"/>
        <w:rPr>
          <w:rStyle w:val="FontStyle39"/>
          <w:i w:val="0"/>
        </w:rPr>
      </w:pPr>
      <w:r>
        <w:rPr>
          <w:rStyle w:val="FontStyle39"/>
        </w:rPr>
        <w:t xml:space="preserve">Referitor la </w:t>
      </w:r>
      <w:r>
        <w:rPr>
          <w:rStyle w:val="FontStyle39"/>
        </w:rPr>
        <w:t>excepţia</w:t>
      </w:r>
      <w:r>
        <w:rPr>
          <w:rStyle w:val="FontStyle39"/>
        </w:rPr>
        <w:t xml:space="preserve"> </w:t>
      </w:r>
      <w:r>
        <w:rPr>
          <w:rStyle w:val="FontStyle39"/>
        </w:rPr>
        <w:t>inadmisibilităţii</w:t>
      </w:r>
      <w:r>
        <w:rPr>
          <w:rStyle w:val="FontStyle39"/>
        </w:rPr>
        <w:t>, a arătat că aceasta este justificată de lipsa parcurgerii procedurii prealabile.</w:t>
      </w:r>
    </w:p>
    <w:p w:rsidR="00E53B29" w:rsidP="00E53B29" w14:paraId="665BF6FF" w14:textId="77777777">
      <w:pPr>
        <w:ind w:firstLine="993"/>
        <w:jc w:val="both"/>
        <w:rPr>
          <w:rStyle w:val="FontStyle21"/>
        </w:rPr>
      </w:pPr>
      <w:r>
        <w:rPr>
          <w:rStyle w:val="FontStyle39"/>
        </w:rPr>
        <w:t>Textele art. 7 alin. (1),</w:t>
      </w:r>
      <w:r>
        <w:rPr>
          <w:rStyle w:val="FontStyle21"/>
        </w:rPr>
        <w:t xml:space="preserve"> art. 8 alin. (1) </w:t>
      </w:r>
      <w:r>
        <w:rPr>
          <w:rStyle w:val="FontStyle39"/>
        </w:rPr>
        <w:t>din Legea contenciosului administrativ nr. 554/2004 și cele ale</w:t>
      </w:r>
      <w:r>
        <w:rPr>
          <w:rStyle w:val="FontStyle21"/>
        </w:rPr>
        <w:t xml:space="preserve"> art. 193 alin. (1) </w:t>
      </w:r>
      <w:r>
        <w:rPr>
          <w:rStyle w:val="FontStyle21"/>
        </w:rPr>
        <w:t>C.pr.civ</w:t>
      </w:r>
      <w:r>
        <w:rPr>
          <w:rStyle w:val="FontStyle21"/>
        </w:rPr>
        <w:t xml:space="preserve">. instituie o procedură prealabilă obligatorie anterior sesizării </w:t>
      </w:r>
      <w:r>
        <w:rPr>
          <w:rStyle w:val="FontStyle21"/>
        </w:rPr>
        <w:t>instanţei</w:t>
      </w:r>
      <w:r>
        <w:rPr>
          <w:rStyle w:val="FontStyle21"/>
        </w:rPr>
        <w:t xml:space="preserve"> de judecată, procedură care nu a fost urmată de către reclamant.</w:t>
      </w:r>
    </w:p>
    <w:p w:rsidR="00E53B29" w:rsidP="00E53B29" w14:paraId="711F75BE" w14:textId="77777777">
      <w:pPr>
        <w:pStyle w:val="Style9"/>
        <w:spacing w:line="240" w:lineRule="auto"/>
        <w:ind w:firstLine="993"/>
        <w:rPr>
          <w:rStyle w:val="FontStyle21"/>
        </w:rPr>
      </w:pPr>
      <w:r>
        <w:rPr>
          <w:rStyle w:val="FontStyle21"/>
        </w:rPr>
        <w:t xml:space="preserve">Referitor la </w:t>
      </w:r>
      <w:r>
        <w:rPr>
          <w:rStyle w:val="FontStyle21"/>
        </w:rPr>
        <w:t>excepţia</w:t>
      </w:r>
      <w:r>
        <w:rPr>
          <w:rStyle w:val="FontStyle21"/>
        </w:rPr>
        <w:t xml:space="preserve"> lipsei de interes, a invocat dispozițiile art. 1 alin. (1) </w:t>
      </w:r>
      <w:r>
        <w:rPr>
          <w:rStyle w:val="FontStyle21"/>
        </w:rPr>
        <w:t>şi</w:t>
      </w:r>
      <w:r>
        <w:rPr>
          <w:rStyle w:val="FontStyle21"/>
        </w:rPr>
        <w:t xml:space="preserve"> (2), art. 2 alin. (1) lit. a) din Legea nr. 554/2004, dar și cele ale art. 32 alin. (1) lit. d) </w:t>
      </w:r>
      <w:r>
        <w:rPr>
          <w:rStyle w:val="FontStyle21"/>
        </w:rPr>
        <w:t>şi</w:t>
      </w:r>
      <w:r>
        <w:rPr>
          <w:rStyle w:val="FontStyle21"/>
        </w:rPr>
        <w:t xml:space="preserve"> art. 33 </w:t>
      </w:r>
      <w:r>
        <w:rPr>
          <w:rStyle w:val="FontStyle21"/>
        </w:rPr>
        <w:t>C.pr.civ</w:t>
      </w:r>
      <w:r>
        <w:rPr>
          <w:rStyle w:val="FontStyle21"/>
        </w:rPr>
        <w:t xml:space="preserve">., învederând că reclamantul nu justifică niciun interes în a solicita anularea deciziei nr. .../25.02.2021 atâta vreme cât o eventuală </w:t>
      </w:r>
      <w:r>
        <w:rPr>
          <w:rStyle w:val="FontStyle21"/>
        </w:rPr>
        <w:t>soluţie</w:t>
      </w:r>
      <w:r>
        <w:rPr>
          <w:rStyle w:val="FontStyle21"/>
        </w:rPr>
        <w:t xml:space="preserve"> de admitere a </w:t>
      </w:r>
      <w:r>
        <w:rPr>
          <w:rStyle w:val="FontStyle21"/>
        </w:rPr>
        <w:t>contestaţiei</w:t>
      </w:r>
      <w:r>
        <w:rPr>
          <w:rStyle w:val="FontStyle21"/>
        </w:rPr>
        <w:t xml:space="preserve"> nu ar putea fi urmată de emiterea unei noi decizii prin care referatele de necesitate să fie aprobate </w:t>
      </w:r>
      <w:r>
        <w:rPr>
          <w:rStyle w:val="FontStyle21"/>
        </w:rPr>
        <w:t>şi</w:t>
      </w:r>
      <w:r>
        <w:rPr>
          <w:rStyle w:val="FontStyle21"/>
        </w:rPr>
        <w:t xml:space="preserve"> de </w:t>
      </w:r>
      <w:r>
        <w:rPr>
          <w:rStyle w:val="FontStyle21"/>
        </w:rPr>
        <w:t>vicepreşedintele</w:t>
      </w:r>
      <w:r>
        <w:rPr>
          <w:rStyle w:val="FontStyle21"/>
        </w:rPr>
        <w:t xml:space="preserve"> Consiliului, în acord cu prevederile art. 1 alin. (2) din Legea nr. 303/2004.</w:t>
      </w:r>
    </w:p>
    <w:p w:rsidR="00E53B29" w:rsidP="00E53B29" w14:paraId="5EF4E372" w14:textId="77777777">
      <w:pPr>
        <w:pStyle w:val="Style9"/>
        <w:spacing w:line="240" w:lineRule="auto"/>
        <w:ind w:firstLine="993"/>
        <w:rPr>
          <w:rStyle w:val="FontStyle21"/>
        </w:rPr>
      </w:pPr>
      <w:r>
        <w:rPr>
          <w:rStyle w:val="FontStyle21"/>
        </w:rPr>
        <w:t xml:space="preserve">Cu privire la fondul cererii de chemare în judecată, referitor la primul petit, pârâtul </w:t>
      </w:r>
      <w:r>
        <w:rPr>
          <w:rStyle w:val="FontStyle21"/>
        </w:rPr>
        <w:t xml:space="preserve">a solicitat a se constata că necomunicarea unui răspuns la solicitarea reclamantului nu se circumscrie unui refuz nejustificat de </w:t>
      </w:r>
      <w:r>
        <w:rPr>
          <w:rStyle w:val="FontStyle21"/>
        </w:rPr>
        <w:t>soluţionare</w:t>
      </w:r>
      <w:r>
        <w:rPr>
          <w:rStyle w:val="FontStyle21"/>
        </w:rPr>
        <w:t xml:space="preserve"> a unei cereri.</w:t>
      </w:r>
    </w:p>
    <w:p w:rsidR="00E53B29" w:rsidP="00E53B29" w14:paraId="73C67C21" w14:textId="77777777">
      <w:pPr>
        <w:pStyle w:val="Style9"/>
        <w:spacing w:line="240" w:lineRule="auto"/>
        <w:ind w:firstLine="993"/>
        <w:rPr>
          <w:rStyle w:val="FontStyle21"/>
        </w:rPr>
      </w:pPr>
      <w:r>
        <w:rPr>
          <w:rStyle w:val="FontStyle21"/>
        </w:rPr>
        <w:t xml:space="preserve">Nu orice conduită pasivă a </w:t>
      </w:r>
      <w:r>
        <w:rPr>
          <w:rStyle w:val="FontStyle21"/>
        </w:rPr>
        <w:t>autorităţii</w:t>
      </w:r>
      <w:r>
        <w:rPr>
          <w:rStyle w:val="FontStyle21"/>
        </w:rPr>
        <w:t xml:space="preserve"> se circumscrie unui refuz nejustificat de rezolvare a unei cereri, ci numai aceea care vizează un drept sau un interes legitim al reclamantului. Or, în sarcina </w:t>
      </w:r>
      <w:r>
        <w:rPr>
          <w:rStyle w:val="FontStyle21"/>
        </w:rPr>
        <w:t>preşedintelui</w:t>
      </w:r>
      <w:r>
        <w:rPr>
          <w:rStyle w:val="FontStyle21"/>
        </w:rPr>
        <w:t xml:space="preserve"> Consiliului Superior al Magistraturii nu exista </w:t>
      </w:r>
      <w:r>
        <w:rPr>
          <w:rStyle w:val="FontStyle21"/>
        </w:rPr>
        <w:t>obligaţia</w:t>
      </w:r>
      <w:r>
        <w:rPr>
          <w:rStyle w:val="FontStyle21"/>
        </w:rPr>
        <w:t xml:space="preserve"> de a motiva refuzul avizării referatului de necesitate. Astfel, referatul de necesitate efectuat de </w:t>
      </w:r>
      <w:r>
        <w:rPr>
          <w:rStyle w:val="FontStyle21"/>
        </w:rPr>
        <w:t>direcţia</w:t>
      </w:r>
      <w:r>
        <w:rPr>
          <w:rStyle w:val="FontStyle21"/>
        </w:rPr>
        <w:t xml:space="preserve"> de specialitate prezintă caracter consultativ, </w:t>
      </w:r>
      <w:r>
        <w:rPr>
          <w:rStyle w:val="FontStyle21"/>
        </w:rPr>
        <w:t>preşedintele</w:t>
      </w:r>
      <w:r>
        <w:rPr>
          <w:rStyle w:val="FontStyle21"/>
        </w:rPr>
        <w:t xml:space="preserve"> Consiliului Superior al Magistraturii nefiind obligat să </w:t>
      </w:r>
      <w:r>
        <w:rPr>
          <w:rStyle w:val="FontStyle21"/>
        </w:rPr>
        <w:t>îşi</w:t>
      </w:r>
      <w:r>
        <w:rPr>
          <w:rStyle w:val="FontStyle21"/>
        </w:rPr>
        <w:t xml:space="preserve"> </w:t>
      </w:r>
      <w:r>
        <w:rPr>
          <w:rStyle w:val="FontStyle21"/>
        </w:rPr>
        <w:t>însuşească</w:t>
      </w:r>
      <w:r>
        <w:rPr>
          <w:rStyle w:val="FontStyle21"/>
        </w:rPr>
        <w:t xml:space="preserve"> propunerea </w:t>
      </w:r>
      <w:r>
        <w:rPr>
          <w:rStyle w:val="FontStyle21"/>
        </w:rPr>
        <w:t>direcţiei</w:t>
      </w:r>
      <w:r>
        <w:rPr>
          <w:rStyle w:val="FontStyle21"/>
        </w:rPr>
        <w:t xml:space="preserve">. </w:t>
      </w:r>
    </w:p>
    <w:p w:rsidR="00E53B29" w:rsidP="00E53B29" w14:paraId="2094F786" w14:textId="77777777">
      <w:pPr>
        <w:pStyle w:val="Style9"/>
        <w:spacing w:line="240" w:lineRule="auto"/>
        <w:ind w:firstLine="993"/>
        <w:rPr>
          <w:rStyle w:val="FontStyle21"/>
        </w:rPr>
      </w:pPr>
      <w:r>
        <w:rPr>
          <w:rStyle w:val="FontStyle21"/>
        </w:rPr>
        <w:t xml:space="preserve">Spre deosebire de hotărârile </w:t>
      </w:r>
      <w:r>
        <w:rPr>
          <w:rStyle w:val="FontStyle21"/>
        </w:rPr>
        <w:t>Secţiilor</w:t>
      </w:r>
      <w:r>
        <w:rPr>
          <w:rStyle w:val="FontStyle21"/>
        </w:rPr>
        <w:t xml:space="preserve"> prin care se dispune </w:t>
      </w:r>
      <w:r>
        <w:rPr>
          <w:rStyle w:val="FontStyle21"/>
        </w:rPr>
        <w:t>detaşarea</w:t>
      </w:r>
      <w:r>
        <w:rPr>
          <w:rStyle w:val="FontStyle21"/>
        </w:rPr>
        <w:t xml:space="preserve"> sau încetarea </w:t>
      </w:r>
      <w:r>
        <w:rPr>
          <w:rStyle w:val="FontStyle21"/>
        </w:rPr>
        <w:t>detaşării</w:t>
      </w:r>
      <w:r>
        <w:rPr>
          <w:rStyle w:val="FontStyle21"/>
        </w:rPr>
        <w:t xml:space="preserve"> unui magistrat </w:t>
      </w:r>
      <w:r>
        <w:rPr>
          <w:rStyle w:val="FontStyle21"/>
        </w:rPr>
        <w:t>şi</w:t>
      </w:r>
      <w:r>
        <w:rPr>
          <w:rStyle w:val="FontStyle21"/>
        </w:rPr>
        <w:t xml:space="preserve"> care constituie veritabile acte de putere deoarece modifică raportul de serviciu al magistratului, </w:t>
      </w:r>
      <w:r>
        <w:rPr>
          <w:rStyle w:val="FontStyle21"/>
        </w:rPr>
        <w:t>însuşirea</w:t>
      </w:r>
      <w:r>
        <w:rPr>
          <w:rStyle w:val="FontStyle21"/>
        </w:rPr>
        <w:t xml:space="preserve"> sau </w:t>
      </w:r>
      <w:r>
        <w:rPr>
          <w:rStyle w:val="FontStyle21"/>
        </w:rPr>
        <w:t>neînsuşirea</w:t>
      </w:r>
      <w:r>
        <w:rPr>
          <w:rStyle w:val="FontStyle21"/>
        </w:rPr>
        <w:t xml:space="preserve"> referatului de necesitate emis de </w:t>
      </w:r>
      <w:r>
        <w:rPr>
          <w:rStyle w:val="FontStyle21"/>
        </w:rPr>
        <w:t>direcţia</w:t>
      </w:r>
      <w:r>
        <w:rPr>
          <w:rStyle w:val="FontStyle21"/>
        </w:rPr>
        <w:t xml:space="preserve"> de specialitate din cadrul </w:t>
      </w:r>
      <w:r>
        <w:rPr>
          <w:rStyle w:val="FontStyle21"/>
        </w:rPr>
        <w:t>instituţiei</w:t>
      </w:r>
      <w:r>
        <w:rPr>
          <w:rStyle w:val="FontStyle21"/>
        </w:rPr>
        <w:t xml:space="preserve"> nu prezintă acest caracter, fiind o simplă </w:t>
      </w:r>
      <w:r>
        <w:rPr>
          <w:rStyle w:val="FontStyle21"/>
        </w:rPr>
        <w:t>operaţiune</w:t>
      </w:r>
      <w:r>
        <w:rPr>
          <w:rStyle w:val="FontStyle21"/>
        </w:rPr>
        <w:t xml:space="preserve"> prealabilă ce intră în marja de apreciere a </w:t>
      </w:r>
      <w:r>
        <w:rPr>
          <w:rStyle w:val="FontStyle21"/>
        </w:rPr>
        <w:t>preşedintelui</w:t>
      </w:r>
      <w:r>
        <w:rPr>
          <w:rStyle w:val="FontStyle21"/>
        </w:rPr>
        <w:t xml:space="preserve"> Consiliului.</w:t>
      </w:r>
    </w:p>
    <w:p w:rsidR="00E53B29" w:rsidP="00E53B29" w14:paraId="0DE89B23" w14:textId="77777777">
      <w:pPr>
        <w:pStyle w:val="Style9"/>
        <w:spacing w:line="240" w:lineRule="auto"/>
        <w:ind w:firstLine="993"/>
        <w:rPr>
          <w:rStyle w:val="FontStyle21"/>
        </w:rPr>
      </w:pPr>
      <w:r>
        <w:rPr>
          <w:rStyle w:val="FontStyle21"/>
        </w:rPr>
        <w:t xml:space="preserve">Pârâtul a susținut că sunt nefondate </w:t>
      </w:r>
      <w:r>
        <w:rPr>
          <w:rStyle w:val="FontStyle21"/>
        </w:rPr>
        <w:t>şi</w:t>
      </w:r>
      <w:r>
        <w:rPr>
          <w:rStyle w:val="FontStyle21"/>
        </w:rPr>
        <w:t xml:space="preserve"> </w:t>
      </w:r>
      <w:r>
        <w:rPr>
          <w:rStyle w:val="FontStyle21"/>
        </w:rPr>
        <w:t>susţinerile</w:t>
      </w:r>
      <w:r>
        <w:rPr>
          <w:rStyle w:val="FontStyle21"/>
        </w:rPr>
        <w:t xml:space="preserve"> privind pretinsa vătămare rezultând din neprelungirea </w:t>
      </w:r>
      <w:r>
        <w:rPr>
          <w:rStyle w:val="FontStyle21"/>
        </w:rPr>
        <w:t>detaşării</w:t>
      </w:r>
      <w:r>
        <w:rPr>
          <w:rStyle w:val="FontStyle21"/>
        </w:rPr>
        <w:t xml:space="preserve"> sale în cadrul Consiliului.</w:t>
      </w:r>
    </w:p>
    <w:p w:rsidR="00E53B29" w:rsidP="00E53B29" w14:paraId="2F943DD2" w14:textId="77777777">
      <w:pPr>
        <w:pStyle w:val="Style9"/>
        <w:spacing w:line="240" w:lineRule="auto"/>
        <w:ind w:firstLine="993"/>
        <w:rPr>
          <w:rStyle w:val="FontStyle21"/>
        </w:rPr>
      </w:pPr>
      <w:r>
        <w:rPr>
          <w:rStyle w:val="FontStyle21"/>
        </w:rPr>
        <w:t xml:space="preserve">Astfel, din interpretarea prevederilor legale în vigoare la momentul emiterii deciziei nr. .../25.02.2021, reiese că </w:t>
      </w:r>
      <w:r>
        <w:rPr>
          <w:rStyle w:val="FontStyle21"/>
        </w:rPr>
        <w:t>detaşarea</w:t>
      </w:r>
      <w:r>
        <w:rPr>
          <w:rStyle w:val="FontStyle21"/>
        </w:rPr>
        <w:t xml:space="preserve"> </w:t>
      </w:r>
      <w:r>
        <w:rPr>
          <w:rStyle w:val="FontStyle21"/>
        </w:rPr>
        <w:t>magistraţilor</w:t>
      </w:r>
      <w:r>
        <w:rPr>
          <w:rStyle w:val="FontStyle21"/>
        </w:rPr>
        <w:t xml:space="preserve"> constituie o măsură cu caracter </w:t>
      </w:r>
      <w:r>
        <w:rPr>
          <w:rStyle w:val="FontStyle21"/>
        </w:rPr>
        <w:t>esenţialmente</w:t>
      </w:r>
      <w:r>
        <w:rPr>
          <w:rStyle w:val="FontStyle21"/>
        </w:rPr>
        <w:t xml:space="preserve"> temporar, care se dispune numai în interesul </w:t>
      </w:r>
      <w:r>
        <w:rPr>
          <w:rStyle w:val="FontStyle21"/>
        </w:rPr>
        <w:t>instituţiei</w:t>
      </w:r>
      <w:r>
        <w:rPr>
          <w:rStyle w:val="FontStyle21"/>
        </w:rPr>
        <w:t xml:space="preserve"> care o solicită. Nici </w:t>
      </w:r>
      <w:r>
        <w:rPr>
          <w:rStyle w:val="FontStyle21"/>
        </w:rPr>
        <w:t>detaşarea</w:t>
      </w:r>
      <w:r>
        <w:rPr>
          <w:rStyle w:val="FontStyle21"/>
        </w:rPr>
        <w:t xml:space="preserve"> </w:t>
      </w:r>
      <w:r>
        <w:rPr>
          <w:rStyle w:val="FontStyle21"/>
        </w:rPr>
        <w:t>şi</w:t>
      </w:r>
      <w:r>
        <w:rPr>
          <w:rStyle w:val="FontStyle21"/>
        </w:rPr>
        <w:t xml:space="preserve"> nici prelungirea acesteia nu constituie un drept sau o </w:t>
      </w:r>
      <w:r>
        <w:rPr>
          <w:rStyle w:val="FontStyle21"/>
        </w:rPr>
        <w:t>vocaţie</w:t>
      </w:r>
      <w:r>
        <w:rPr>
          <w:rStyle w:val="FontStyle21"/>
        </w:rPr>
        <w:t xml:space="preserve"> în favoarea judecătorilor </w:t>
      </w:r>
      <w:r>
        <w:rPr>
          <w:rStyle w:val="FontStyle21"/>
        </w:rPr>
        <w:t>şi</w:t>
      </w:r>
      <w:r>
        <w:rPr>
          <w:rStyle w:val="FontStyle21"/>
        </w:rPr>
        <w:t xml:space="preserve"> a procurorilor, întrucât beneficiarii acestor măsuri sunt </w:t>
      </w:r>
      <w:r>
        <w:rPr>
          <w:rStyle w:val="FontStyle21"/>
        </w:rPr>
        <w:t>instituţiile</w:t>
      </w:r>
      <w:r>
        <w:rPr>
          <w:rStyle w:val="FontStyle21"/>
        </w:rPr>
        <w:t xml:space="preserve"> prevăzute de </w:t>
      </w:r>
      <w:r>
        <w:rPr>
          <w:rStyle w:val="FontStyle21"/>
        </w:rPr>
        <w:t>dispoziţiile</w:t>
      </w:r>
      <w:r>
        <w:rPr>
          <w:rStyle w:val="FontStyle21"/>
        </w:rPr>
        <w:t xml:space="preserve"> legale, iar nu </w:t>
      </w:r>
      <w:r>
        <w:rPr>
          <w:rStyle w:val="FontStyle21"/>
        </w:rPr>
        <w:t>magistraţii</w:t>
      </w:r>
      <w:r>
        <w:rPr>
          <w:rStyle w:val="FontStyle21"/>
        </w:rPr>
        <w:t>.</w:t>
      </w:r>
    </w:p>
    <w:p w:rsidR="00E53B29" w:rsidP="00E53B29" w14:paraId="65146C4A" w14:textId="77777777">
      <w:pPr>
        <w:pStyle w:val="Style9"/>
        <w:spacing w:line="240" w:lineRule="auto"/>
        <w:ind w:firstLine="993"/>
        <w:rPr>
          <w:rStyle w:val="FontStyle21"/>
        </w:rPr>
      </w:pPr>
      <w:r>
        <w:rPr>
          <w:rStyle w:val="FontStyle21"/>
        </w:rPr>
        <w:t xml:space="preserve">Pârâtul a mai arătat că gestionarea resurselor umane în sistemul judiciar reprezintă atributul Consiliului Superior al Magistraturii, astfel încât </w:t>
      </w:r>
      <w:r>
        <w:rPr>
          <w:rStyle w:val="FontStyle21"/>
        </w:rPr>
        <w:t>detaşarea</w:t>
      </w:r>
      <w:r>
        <w:rPr>
          <w:rStyle w:val="FontStyle21"/>
        </w:rPr>
        <w:t xml:space="preserve"> unui procuror în cadrul </w:t>
      </w:r>
      <w:r>
        <w:rPr>
          <w:rStyle w:val="FontStyle21"/>
        </w:rPr>
        <w:t>instituţiilor</w:t>
      </w:r>
      <w:r>
        <w:rPr>
          <w:rStyle w:val="FontStyle21"/>
        </w:rPr>
        <w:t xml:space="preserve"> prevăzute de art. 58 alin. (1) din Legea nr. 303/2004 trebuie să se raporteze </w:t>
      </w:r>
      <w:r>
        <w:rPr>
          <w:rStyle w:val="FontStyle21"/>
        </w:rPr>
        <w:t>şi</w:t>
      </w:r>
      <w:r>
        <w:rPr>
          <w:rStyle w:val="FontStyle21"/>
        </w:rPr>
        <w:t xml:space="preserve"> la </w:t>
      </w:r>
      <w:r>
        <w:rPr>
          <w:rStyle w:val="FontStyle21"/>
        </w:rPr>
        <w:t>raţiunile</w:t>
      </w:r>
      <w:r>
        <w:rPr>
          <w:rStyle w:val="FontStyle21"/>
        </w:rPr>
        <w:t xml:space="preserve"> </w:t>
      </w:r>
      <w:r>
        <w:rPr>
          <w:rStyle w:val="FontStyle21"/>
        </w:rPr>
        <w:t>şi</w:t>
      </w:r>
      <w:r>
        <w:rPr>
          <w:rStyle w:val="FontStyle21"/>
        </w:rPr>
        <w:t xml:space="preserve"> </w:t>
      </w:r>
      <w:r>
        <w:rPr>
          <w:rStyle w:val="FontStyle21"/>
        </w:rPr>
        <w:t>necesităţile</w:t>
      </w:r>
      <w:r>
        <w:rPr>
          <w:rStyle w:val="FontStyle21"/>
        </w:rPr>
        <w:t xml:space="preserve"> sistemului judiciar, pentru evitarea provocării unor grave </w:t>
      </w:r>
      <w:r>
        <w:rPr>
          <w:rStyle w:val="FontStyle21"/>
        </w:rPr>
        <w:t>disfuncţionalităţi</w:t>
      </w:r>
      <w:r>
        <w:rPr>
          <w:rStyle w:val="FontStyle21"/>
        </w:rPr>
        <w:t xml:space="preserve"> în activitatea parchetelor. </w:t>
      </w:r>
    </w:p>
    <w:p w:rsidR="00E53B29" w:rsidP="00E53B29" w14:paraId="5B8B4C44" w14:textId="77777777">
      <w:pPr>
        <w:pStyle w:val="Style9"/>
        <w:spacing w:line="240" w:lineRule="auto"/>
        <w:ind w:firstLine="993"/>
        <w:rPr>
          <w:rStyle w:val="FontStyle21"/>
        </w:rPr>
      </w:pPr>
      <w:r>
        <w:rPr>
          <w:rStyle w:val="FontStyle21"/>
        </w:rPr>
        <w:t>Detaşarea</w:t>
      </w:r>
      <w:r>
        <w:rPr>
          <w:rStyle w:val="FontStyle21"/>
        </w:rPr>
        <w:t xml:space="preserve"> sau prelungirea </w:t>
      </w:r>
      <w:r>
        <w:rPr>
          <w:rStyle w:val="FontStyle21"/>
        </w:rPr>
        <w:t>detaşării</w:t>
      </w:r>
      <w:r>
        <w:rPr>
          <w:rStyle w:val="FontStyle21"/>
        </w:rPr>
        <w:t xml:space="preserve"> unei persoanei în cadrul Consiliului Superior al Magistraturii reprezintă un aspect de oportunitate ce intră exclusiv în marja de apreciere a Consiliului. De altfel, raportul juridic de drept administrativ este supus principiului </w:t>
      </w:r>
      <w:r>
        <w:rPr>
          <w:rStyle w:val="FontStyle21"/>
        </w:rPr>
        <w:t>proporţionalităţii</w:t>
      </w:r>
      <w:r>
        <w:rPr>
          <w:rStyle w:val="FontStyle21"/>
        </w:rPr>
        <w:t xml:space="preserve"> între interesul public pe care autoritatea publică are misiunea de a-l aduce la îndeplinire </w:t>
      </w:r>
      <w:r>
        <w:rPr>
          <w:rStyle w:val="FontStyle21"/>
        </w:rPr>
        <w:t>şi</w:t>
      </w:r>
      <w:r>
        <w:rPr>
          <w:rStyle w:val="FontStyle21"/>
        </w:rPr>
        <w:t xml:space="preserve"> măsurile individuale dispuse în exercitarea </w:t>
      </w:r>
      <w:r>
        <w:rPr>
          <w:rStyle w:val="FontStyle21"/>
        </w:rPr>
        <w:t>competenţei</w:t>
      </w:r>
      <w:r>
        <w:rPr>
          <w:rStyle w:val="FontStyle21"/>
        </w:rPr>
        <w:t xml:space="preserve"> ce îi este conferită tocmai în scopul satisfacerii interesului public. </w:t>
      </w:r>
    </w:p>
    <w:p w:rsidR="00E53B29" w:rsidP="00E53B29" w14:paraId="09F9B070" w14:textId="77777777">
      <w:pPr>
        <w:pStyle w:val="Style9"/>
        <w:spacing w:line="240" w:lineRule="auto"/>
        <w:ind w:firstLine="993"/>
        <w:rPr>
          <w:rStyle w:val="FontStyle21"/>
        </w:rPr>
      </w:pPr>
      <w:r>
        <w:rPr>
          <w:rStyle w:val="FontStyle21"/>
        </w:rPr>
        <w:t xml:space="preserve">Cu privire la celelalte hotărâri prin care s-a dispus </w:t>
      </w:r>
      <w:r>
        <w:rPr>
          <w:rStyle w:val="FontStyle21"/>
        </w:rPr>
        <w:t>detaşarea</w:t>
      </w:r>
      <w:r>
        <w:rPr>
          <w:rStyle w:val="FontStyle21"/>
        </w:rPr>
        <w:t xml:space="preserve"> sau prelungirea </w:t>
      </w:r>
      <w:r>
        <w:rPr>
          <w:rStyle w:val="FontStyle21"/>
        </w:rPr>
        <w:t>detaşării</w:t>
      </w:r>
      <w:r>
        <w:rPr>
          <w:rStyle w:val="FontStyle21"/>
        </w:rPr>
        <w:t xml:space="preserve"> altor </w:t>
      </w:r>
      <w:r>
        <w:rPr>
          <w:rStyle w:val="FontStyle21"/>
        </w:rPr>
        <w:t>magistraţi</w:t>
      </w:r>
      <w:r>
        <w:rPr>
          <w:rStyle w:val="FontStyle21"/>
        </w:rPr>
        <w:t xml:space="preserve"> în cadrul Consiliului Superior al Magistraturii, </w:t>
      </w:r>
      <w:r>
        <w:rPr>
          <w:rStyle w:val="FontStyle21"/>
        </w:rPr>
        <w:t>instanţa</w:t>
      </w:r>
      <w:r>
        <w:rPr>
          <w:rStyle w:val="FontStyle21"/>
        </w:rPr>
        <w:t xml:space="preserve"> nu a fost învestită cu analiza de legalitate a acestora, iar, pe de altă parte, fiecare cerere se analizează de la caz la caz, în </w:t>
      </w:r>
      <w:r>
        <w:rPr>
          <w:rStyle w:val="FontStyle21"/>
        </w:rPr>
        <w:t>funcţie</w:t>
      </w:r>
      <w:r>
        <w:rPr>
          <w:rStyle w:val="FontStyle21"/>
        </w:rPr>
        <w:t xml:space="preserve"> de </w:t>
      </w:r>
      <w:r>
        <w:rPr>
          <w:rStyle w:val="FontStyle21"/>
        </w:rPr>
        <w:t>circumstanţele</w:t>
      </w:r>
      <w:r>
        <w:rPr>
          <w:rStyle w:val="FontStyle21"/>
        </w:rPr>
        <w:t xml:space="preserve"> existente la momentul la care se dispune </w:t>
      </w:r>
      <w:r>
        <w:rPr>
          <w:rStyle w:val="FontStyle21"/>
        </w:rPr>
        <w:t>detaşarea</w:t>
      </w:r>
      <w:r>
        <w:rPr>
          <w:rStyle w:val="FontStyle21"/>
        </w:rPr>
        <w:t xml:space="preserve"> sau prelungirea </w:t>
      </w:r>
      <w:r>
        <w:rPr>
          <w:rStyle w:val="FontStyle21"/>
        </w:rPr>
        <w:t>detaşării</w:t>
      </w:r>
      <w:r>
        <w:rPr>
          <w:rStyle w:val="FontStyle21"/>
        </w:rPr>
        <w:t>.</w:t>
      </w:r>
    </w:p>
    <w:p w:rsidR="00E53B29" w:rsidP="00E53B29" w14:paraId="4AF26319" w14:textId="77777777">
      <w:pPr>
        <w:pStyle w:val="Style9"/>
        <w:spacing w:line="240" w:lineRule="auto"/>
        <w:ind w:firstLine="993"/>
        <w:rPr>
          <w:rStyle w:val="FontStyle21"/>
        </w:rPr>
      </w:pPr>
      <w:r>
        <w:rPr>
          <w:rStyle w:val="FontStyle21"/>
        </w:rPr>
        <w:t xml:space="preserve">De altfel, oportunitatea reprezintă tocmai capacitatea pe care o are organul care emite un act administrativ de a alege, dintre mai multe </w:t>
      </w:r>
      <w:r>
        <w:rPr>
          <w:rStyle w:val="FontStyle21"/>
        </w:rPr>
        <w:t>soluţii</w:t>
      </w:r>
      <w:r>
        <w:rPr>
          <w:rStyle w:val="FontStyle21"/>
        </w:rPr>
        <w:t xml:space="preserve"> posibile </w:t>
      </w:r>
      <w:r>
        <w:rPr>
          <w:rStyle w:val="FontStyle21"/>
        </w:rPr>
        <w:t>şi</w:t>
      </w:r>
      <w:r>
        <w:rPr>
          <w:rStyle w:val="FontStyle21"/>
        </w:rPr>
        <w:t xml:space="preserve"> egale în </w:t>
      </w:r>
      <w:r>
        <w:rPr>
          <w:rStyle w:val="FontStyle21"/>
        </w:rPr>
        <w:t>aceeaşi</w:t>
      </w:r>
      <w:r>
        <w:rPr>
          <w:rStyle w:val="FontStyle21"/>
        </w:rPr>
        <w:t xml:space="preserve"> măsură, pe cea care corespunde cel mai bine interesului public care trebuie satisfăcut. Oportunitatea se află în strânsă legătură cu puterea </w:t>
      </w:r>
      <w:r>
        <w:rPr>
          <w:rStyle w:val="FontStyle21"/>
        </w:rPr>
        <w:t>discreţionară</w:t>
      </w:r>
      <w:r>
        <w:rPr>
          <w:rStyle w:val="FontStyle21"/>
        </w:rPr>
        <w:t xml:space="preserve"> a </w:t>
      </w:r>
      <w:r>
        <w:rPr>
          <w:rStyle w:val="FontStyle21"/>
        </w:rPr>
        <w:t>administraţiei</w:t>
      </w:r>
      <w:r>
        <w:rPr>
          <w:rStyle w:val="FontStyle21"/>
        </w:rPr>
        <w:t xml:space="preserve"> publice, existând o marjă de libertate lăsată la libera apreciere a unei </w:t>
      </w:r>
      <w:r>
        <w:rPr>
          <w:rStyle w:val="FontStyle21"/>
        </w:rPr>
        <w:t>autorităţi</w:t>
      </w:r>
      <w:r>
        <w:rPr>
          <w:rStyle w:val="FontStyle21"/>
        </w:rPr>
        <w:t xml:space="preserve">, astfel ca în vederea atingerii scopului indicat de legiuitor sa poată recurge la orice mijloc de </w:t>
      </w:r>
      <w:r>
        <w:rPr>
          <w:rStyle w:val="FontStyle21"/>
        </w:rPr>
        <w:t>acţiune</w:t>
      </w:r>
      <w:r>
        <w:rPr>
          <w:rStyle w:val="FontStyle21"/>
        </w:rPr>
        <w:t xml:space="preserve">, în limitele </w:t>
      </w:r>
      <w:r>
        <w:rPr>
          <w:rStyle w:val="FontStyle21"/>
        </w:rPr>
        <w:t>competenţei</w:t>
      </w:r>
      <w:r>
        <w:rPr>
          <w:rStyle w:val="FontStyle21"/>
        </w:rPr>
        <w:t xml:space="preserve"> sale.</w:t>
      </w:r>
    </w:p>
    <w:p w:rsidR="00E53B29" w:rsidP="00E53B29" w14:paraId="4FD08894" w14:textId="77777777">
      <w:pPr>
        <w:pStyle w:val="Style9"/>
        <w:spacing w:line="240" w:lineRule="auto"/>
        <w:ind w:firstLine="993"/>
        <w:rPr>
          <w:rStyle w:val="FontStyle21"/>
        </w:rPr>
      </w:pPr>
      <w:r>
        <w:rPr>
          <w:rStyle w:val="FontStyle21"/>
        </w:rPr>
        <w:t xml:space="preserve">Referitor la legalitatea </w:t>
      </w:r>
      <w:r>
        <w:rPr>
          <w:rStyle w:val="FontStyle21"/>
        </w:rPr>
        <w:t>şi</w:t>
      </w:r>
      <w:r>
        <w:rPr>
          <w:rStyle w:val="FontStyle21"/>
        </w:rPr>
        <w:t xml:space="preserve"> temeinicia deciziei nr. .../25.02.2022, a arătat că aceasta respectă limitele </w:t>
      </w:r>
      <w:r>
        <w:rPr>
          <w:rStyle w:val="FontStyle21"/>
        </w:rPr>
        <w:t>şi</w:t>
      </w:r>
      <w:r>
        <w:rPr>
          <w:rStyle w:val="FontStyle21"/>
        </w:rPr>
        <w:t xml:space="preserve"> scopul prevederilor legale în executarea cărora a fost adoptată </w:t>
      </w:r>
      <w:r>
        <w:rPr>
          <w:rStyle w:val="FontStyle21"/>
        </w:rPr>
        <w:t>şi</w:t>
      </w:r>
      <w:r>
        <w:rPr>
          <w:rStyle w:val="FontStyle21"/>
        </w:rPr>
        <w:t xml:space="preserve"> nu </w:t>
      </w:r>
      <w:r>
        <w:rPr>
          <w:rStyle w:val="FontStyle21"/>
        </w:rPr>
        <w:t>conţine</w:t>
      </w:r>
      <w:r>
        <w:rPr>
          <w:rStyle w:val="FontStyle21"/>
        </w:rPr>
        <w:t xml:space="preserve"> elemente pe baza cărora să poată fi decelată o exercitare abuzivă a dreptului de apreciere.</w:t>
      </w:r>
    </w:p>
    <w:p w:rsidR="00E53B29" w:rsidP="00E53B29" w14:paraId="0E146F15" w14:textId="77777777">
      <w:pPr>
        <w:pStyle w:val="Style9"/>
        <w:spacing w:line="240" w:lineRule="auto"/>
        <w:ind w:firstLine="993"/>
        <w:rPr>
          <w:rStyle w:val="FontStyle21"/>
        </w:rPr>
      </w:pPr>
      <w:r>
        <w:rPr>
          <w:rStyle w:val="FontStyle21"/>
        </w:rPr>
        <w:t xml:space="preserve">Dreptul de apreciere al Consiliului a fost exercitat în limitele </w:t>
      </w:r>
      <w:r>
        <w:rPr>
          <w:rStyle w:val="FontStyle21"/>
        </w:rPr>
        <w:t>competenţelor</w:t>
      </w:r>
      <w:r>
        <w:rPr>
          <w:rStyle w:val="FontStyle21"/>
        </w:rPr>
        <w:t xml:space="preserve"> </w:t>
      </w:r>
      <w:r>
        <w:rPr>
          <w:rStyle w:val="FontStyle21"/>
        </w:rPr>
        <w:t xml:space="preserve">prevăzute de lege, respectiv a celor stabilite de art. 24 alin. (1), art. 24 alin. (3) lit. a) și art. 24 alin. (4) din Legea nr. 317/2004. </w:t>
      </w:r>
      <w:r>
        <w:rPr>
          <w:rStyle w:val="FontStyle21"/>
        </w:rPr>
        <w:t>Dispoziţii</w:t>
      </w:r>
      <w:r>
        <w:rPr>
          <w:rStyle w:val="FontStyle21"/>
        </w:rPr>
        <w:t xml:space="preserve"> cu </w:t>
      </w:r>
      <w:r>
        <w:rPr>
          <w:rStyle w:val="FontStyle21"/>
        </w:rPr>
        <w:t>conţinut</w:t>
      </w:r>
      <w:r>
        <w:rPr>
          <w:rStyle w:val="FontStyle21"/>
        </w:rPr>
        <w:t xml:space="preserve"> similar se regăsesc </w:t>
      </w:r>
      <w:r>
        <w:rPr>
          <w:rStyle w:val="FontStyle21"/>
        </w:rPr>
        <w:t>şi</w:t>
      </w:r>
      <w:r>
        <w:rPr>
          <w:rStyle w:val="FontStyle21"/>
        </w:rPr>
        <w:t xml:space="preserve"> la nivelul </w:t>
      </w:r>
      <w:r>
        <w:rPr>
          <w:rStyle w:val="FontStyle21"/>
        </w:rPr>
        <w:t>legislaţiei</w:t>
      </w:r>
      <w:r>
        <w:rPr>
          <w:rStyle w:val="FontStyle21"/>
        </w:rPr>
        <w:t xml:space="preserve"> secundare, respectiv în cadrul art. 10 din Regulamentul de organizare </w:t>
      </w:r>
      <w:r>
        <w:rPr>
          <w:rStyle w:val="FontStyle21"/>
        </w:rPr>
        <w:t>şi</w:t>
      </w:r>
      <w:r>
        <w:rPr>
          <w:rStyle w:val="FontStyle21"/>
        </w:rPr>
        <w:t xml:space="preserve"> </w:t>
      </w:r>
      <w:r>
        <w:rPr>
          <w:rStyle w:val="FontStyle21"/>
        </w:rPr>
        <w:t>funcţionare</w:t>
      </w:r>
      <w:r>
        <w:rPr>
          <w:rStyle w:val="FontStyle21"/>
        </w:rPr>
        <w:t xml:space="preserve"> a Consiliului Superior al Magistraturii, aprobat prin Hotărârea Plenului Consiliului Superior al Magistraturii nr. 1073/2018. Din interpretarea acestor prevederi reiese că gestionarea resurselor umane din cadrul aparatului de specialitate a Consiliului reprezintă atributul exclusiv al </w:t>
      </w:r>
      <w:r>
        <w:rPr>
          <w:rStyle w:val="FontStyle21"/>
        </w:rPr>
        <w:t>preşedintele</w:t>
      </w:r>
      <w:r>
        <w:rPr>
          <w:rStyle w:val="FontStyle21"/>
        </w:rPr>
        <w:t xml:space="preserve"> Consiliului.</w:t>
      </w:r>
    </w:p>
    <w:p w:rsidR="00E53B29" w:rsidP="00E53B29" w14:paraId="40F63FE3" w14:textId="77777777">
      <w:pPr>
        <w:pStyle w:val="Style9"/>
        <w:spacing w:line="240" w:lineRule="auto"/>
        <w:ind w:firstLine="993"/>
        <w:rPr>
          <w:rStyle w:val="FontStyle21"/>
        </w:rPr>
      </w:pPr>
      <w:r>
        <w:rPr>
          <w:rStyle w:val="FontStyle21"/>
        </w:rPr>
        <w:t xml:space="preserve">Principiul </w:t>
      </w:r>
      <w:r>
        <w:rPr>
          <w:rStyle w:val="FontStyle21"/>
        </w:rPr>
        <w:t>separaţiei</w:t>
      </w:r>
      <w:r>
        <w:rPr>
          <w:rStyle w:val="FontStyle21"/>
        </w:rPr>
        <w:t xml:space="preserve"> carierelor între judecător </w:t>
      </w:r>
      <w:r>
        <w:rPr>
          <w:rStyle w:val="FontStyle21"/>
        </w:rPr>
        <w:t>şi</w:t>
      </w:r>
      <w:r>
        <w:rPr>
          <w:rStyle w:val="FontStyle21"/>
        </w:rPr>
        <w:t xml:space="preserve"> procuror nu prezintă nicio </w:t>
      </w:r>
      <w:r>
        <w:rPr>
          <w:rStyle w:val="FontStyle21"/>
        </w:rPr>
        <w:t>relevanţă</w:t>
      </w:r>
      <w:r>
        <w:rPr>
          <w:rStyle w:val="FontStyle21"/>
        </w:rPr>
        <w:t xml:space="preserve"> din perspectiva </w:t>
      </w:r>
      <w:r>
        <w:rPr>
          <w:rStyle w:val="FontStyle21"/>
        </w:rPr>
        <w:t>detaşării</w:t>
      </w:r>
      <w:r>
        <w:rPr>
          <w:rStyle w:val="FontStyle21"/>
        </w:rPr>
        <w:t xml:space="preserve"> în cadrul aparatului de specialitate al Consiliului unde nu există posturi aferente celor două </w:t>
      </w:r>
      <w:r>
        <w:rPr>
          <w:rStyle w:val="FontStyle21"/>
        </w:rPr>
        <w:t>funcţii</w:t>
      </w:r>
      <w:r>
        <w:rPr>
          <w:rStyle w:val="FontStyle21"/>
        </w:rPr>
        <w:t xml:space="preserve">, ci doar posturi de specialitate juridică ce pot fi ocupate, în egală măsură, de judecători </w:t>
      </w:r>
      <w:r>
        <w:rPr>
          <w:rStyle w:val="FontStyle21"/>
        </w:rPr>
        <w:t>şi</w:t>
      </w:r>
      <w:r>
        <w:rPr>
          <w:rStyle w:val="FontStyle21"/>
        </w:rPr>
        <w:t xml:space="preserve"> de procurori. În acest sens, relevante sunt prevederile art. 63 alin. (3) din Legea nr. 317/2004.</w:t>
      </w:r>
    </w:p>
    <w:p w:rsidR="00E53B29" w:rsidP="00E53B29" w14:paraId="41FDB757" w14:textId="77777777">
      <w:pPr>
        <w:pStyle w:val="Style9"/>
        <w:spacing w:line="240" w:lineRule="auto"/>
        <w:ind w:firstLine="993"/>
        <w:rPr>
          <w:rStyle w:val="FontStyle21"/>
        </w:rPr>
      </w:pPr>
      <w:r>
        <w:rPr>
          <w:rStyle w:val="FontStyle21"/>
        </w:rPr>
        <w:t xml:space="preserve">Prin urmare, </w:t>
      </w:r>
      <w:r>
        <w:rPr>
          <w:rStyle w:val="FontStyle21"/>
        </w:rPr>
        <w:t>preşedintele</w:t>
      </w:r>
      <w:r>
        <w:rPr>
          <w:rStyle w:val="FontStyle21"/>
        </w:rPr>
        <w:t xml:space="preserve">, în calitate de conducător al </w:t>
      </w:r>
      <w:r>
        <w:rPr>
          <w:rStyle w:val="FontStyle21"/>
        </w:rPr>
        <w:t>instituţiei</w:t>
      </w:r>
      <w:r>
        <w:rPr>
          <w:rStyle w:val="FontStyle21"/>
        </w:rPr>
        <w:t xml:space="preserve"> este singurul care </w:t>
      </w:r>
      <w:r>
        <w:rPr>
          <w:rStyle w:val="FontStyle21"/>
        </w:rPr>
        <w:t>deţine</w:t>
      </w:r>
      <w:r>
        <w:rPr>
          <w:rStyle w:val="FontStyle21"/>
        </w:rPr>
        <w:t xml:space="preserve"> </w:t>
      </w:r>
      <w:r>
        <w:rPr>
          <w:rStyle w:val="FontStyle21"/>
        </w:rPr>
        <w:t>atribuţii</w:t>
      </w:r>
      <w:r>
        <w:rPr>
          <w:rStyle w:val="FontStyle21"/>
        </w:rPr>
        <w:t xml:space="preserve"> legale pentru a decide cu privire la interesul </w:t>
      </w:r>
      <w:r>
        <w:rPr>
          <w:rStyle w:val="FontStyle21"/>
        </w:rPr>
        <w:t>instituţiei</w:t>
      </w:r>
      <w:r>
        <w:rPr>
          <w:rStyle w:val="FontStyle21"/>
        </w:rPr>
        <w:t xml:space="preserve"> </w:t>
      </w:r>
      <w:r>
        <w:rPr>
          <w:rStyle w:val="FontStyle21"/>
        </w:rPr>
        <w:t>şi</w:t>
      </w:r>
      <w:r>
        <w:rPr>
          <w:rStyle w:val="FontStyle21"/>
        </w:rPr>
        <w:t xml:space="preserve">, implicit, asupra </w:t>
      </w:r>
      <w:r>
        <w:rPr>
          <w:rStyle w:val="FontStyle21"/>
        </w:rPr>
        <w:t>oportunităţii</w:t>
      </w:r>
      <w:r>
        <w:rPr>
          <w:rStyle w:val="FontStyle21"/>
        </w:rPr>
        <w:t xml:space="preserve"> </w:t>
      </w:r>
      <w:r>
        <w:rPr>
          <w:rStyle w:val="FontStyle21"/>
        </w:rPr>
        <w:t>iniţierii</w:t>
      </w:r>
      <w:r>
        <w:rPr>
          <w:rStyle w:val="FontStyle21"/>
        </w:rPr>
        <w:t xml:space="preserve"> sau prelungirii </w:t>
      </w:r>
      <w:r>
        <w:rPr>
          <w:rStyle w:val="FontStyle21"/>
        </w:rPr>
        <w:t>detaşării</w:t>
      </w:r>
      <w:r>
        <w:rPr>
          <w:rStyle w:val="FontStyle21"/>
        </w:rPr>
        <w:t xml:space="preserve"> unor </w:t>
      </w:r>
      <w:r>
        <w:rPr>
          <w:rStyle w:val="FontStyle21"/>
        </w:rPr>
        <w:t>magistraţi</w:t>
      </w:r>
      <w:r>
        <w:rPr>
          <w:rStyle w:val="FontStyle21"/>
        </w:rPr>
        <w:t xml:space="preserve"> în cadrul Consiliului. Doar în lipsa </w:t>
      </w:r>
      <w:r>
        <w:rPr>
          <w:rStyle w:val="FontStyle21"/>
        </w:rPr>
        <w:t>preşedintelui</w:t>
      </w:r>
      <w:r>
        <w:rPr>
          <w:rStyle w:val="FontStyle21"/>
        </w:rPr>
        <w:t xml:space="preserve">, aceste </w:t>
      </w:r>
      <w:r>
        <w:rPr>
          <w:rStyle w:val="FontStyle21"/>
        </w:rPr>
        <w:t>atribuţii</w:t>
      </w:r>
      <w:r>
        <w:rPr>
          <w:rStyle w:val="FontStyle21"/>
        </w:rPr>
        <w:t xml:space="preserve"> puteau fi exercitate de </w:t>
      </w:r>
      <w:r>
        <w:rPr>
          <w:rStyle w:val="FontStyle21"/>
        </w:rPr>
        <w:t>vicepreşedintele</w:t>
      </w:r>
      <w:r>
        <w:rPr>
          <w:rStyle w:val="FontStyle21"/>
        </w:rPr>
        <w:t xml:space="preserve"> Consiliului, astfel cum rezultă din </w:t>
      </w:r>
      <w:r>
        <w:rPr>
          <w:rStyle w:val="FontStyle21"/>
        </w:rPr>
        <w:t>conţinutul</w:t>
      </w:r>
      <w:r>
        <w:rPr>
          <w:rStyle w:val="FontStyle21"/>
        </w:rPr>
        <w:t xml:space="preserve"> art. 24 alin. (5) din Legea nr. 317/2004.</w:t>
      </w:r>
    </w:p>
    <w:p w:rsidR="00E53B29" w:rsidP="00E53B29" w14:paraId="3D6F5035" w14:textId="77777777">
      <w:pPr>
        <w:pStyle w:val="Style9"/>
        <w:spacing w:line="240" w:lineRule="auto"/>
        <w:ind w:firstLine="993"/>
        <w:rPr>
          <w:rStyle w:val="FontStyle21"/>
        </w:rPr>
      </w:pPr>
      <w:r>
        <w:rPr>
          <w:rStyle w:val="FontStyle21"/>
        </w:rPr>
        <w:t xml:space="preserve">Teza privind necesitatea partajării </w:t>
      </w:r>
      <w:r>
        <w:rPr>
          <w:rStyle w:val="FontStyle21"/>
        </w:rPr>
        <w:t>competenţelor</w:t>
      </w:r>
      <w:r>
        <w:rPr>
          <w:rStyle w:val="FontStyle21"/>
        </w:rPr>
        <w:t xml:space="preserve"> între </w:t>
      </w:r>
      <w:r>
        <w:rPr>
          <w:rStyle w:val="FontStyle21"/>
        </w:rPr>
        <w:t>preşedintele</w:t>
      </w:r>
      <w:r>
        <w:rPr>
          <w:rStyle w:val="FontStyle21"/>
        </w:rPr>
        <w:t xml:space="preserve"> </w:t>
      </w:r>
      <w:r>
        <w:rPr>
          <w:rStyle w:val="FontStyle21"/>
        </w:rPr>
        <w:t>şi</w:t>
      </w:r>
      <w:r>
        <w:rPr>
          <w:rStyle w:val="FontStyle21"/>
        </w:rPr>
        <w:t xml:space="preserve"> </w:t>
      </w:r>
      <w:r>
        <w:rPr>
          <w:rStyle w:val="FontStyle21"/>
        </w:rPr>
        <w:t>vicepreşedintele</w:t>
      </w:r>
      <w:r>
        <w:rPr>
          <w:rStyle w:val="FontStyle21"/>
        </w:rPr>
        <w:t xml:space="preserve"> Consiliului sub aspectul </w:t>
      </w:r>
      <w:r>
        <w:rPr>
          <w:rStyle w:val="FontStyle21"/>
        </w:rPr>
        <w:t>iniţierii</w:t>
      </w:r>
      <w:r>
        <w:rPr>
          <w:rStyle w:val="FontStyle21"/>
        </w:rPr>
        <w:t xml:space="preserve"> </w:t>
      </w:r>
      <w:r>
        <w:rPr>
          <w:rStyle w:val="FontStyle21"/>
        </w:rPr>
        <w:t>detaşărilor</w:t>
      </w:r>
      <w:r>
        <w:rPr>
          <w:rStyle w:val="FontStyle21"/>
        </w:rPr>
        <w:t xml:space="preserve"> contravine prevederilor legale care stabilesc expres în sarcina </w:t>
      </w:r>
      <w:r>
        <w:rPr>
          <w:rStyle w:val="FontStyle21"/>
        </w:rPr>
        <w:t>preşedintelui</w:t>
      </w:r>
      <w:r>
        <w:rPr>
          <w:rStyle w:val="FontStyle21"/>
        </w:rPr>
        <w:t xml:space="preserve"> </w:t>
      </w:r>
      <w:r>
        <w:rPr>
          <w:rStyle w:val="FontStyle21"/>
        </w:rPr>
        <w:t>atribuţia</w:t>
      </w:r>
      <w:r>
        <w:rPr>
          <w:rStyle w:val="FontStyle21"/>
        </w:rPr>
        <w:t xml:space="preserve"> principală a gestionării a </w:t>
      </w:r>
      <w:r>
        <w:rPr>
          <w:rStyle w:val="FontStyle21"/>
        </w:rPr>
        <w:t>activităţii</w:t>
      </w:r>
      <w:r>
        <w:rPr>
          <w:rStyle w:val="FontStyle21"/>
        </w:rPr>
        <w:t xml:space="preserve"> Consiliului (art. 24 alin. (1) din Legea nr. 317/2004) dar </w:t>
      </w:r>
      <w:r>
        <w:rPr>
          <w:rStyle w:val="FontStyle21"/>
        </w:rPr>
        <w:t>şi</w:t>
      </w:r>
      <w:r>
        <w:rPr>
          <w:rStyle w:val="FontStyle21"/>
        </w:rPr>
        <w:t xml:space="preserve"> interesului </w:t>
      </w:r>
      <w:r>
        <w:rPr>
          <w:rStyle w:val="FontStyle21"/>
        </w:rPr>
        <w:t>instituţiei</w:t>
      </w:r>
      <w:r>
        <w:rPr>
          <w:rStyle w:val="FontStyle21"/>
        </w:rPr>
        <w:t xml:space="preserve">, existând posibilitatea ca pentru </w:t>
      </w:r>
      <w:r>
        <w:rPr>
          <w:rStyle w:val="FontStyle21"/>
        </w:rPr>
        <w:t>acelaşi</w:t>
      </w:r>
      <w:r>
        <w:rPr>
          <w:rStyle w:val="FontStyle21"/>
        </w:rPr>
        <w:t xml:space="preserve"> post de personal asimilat să se dispună, din eroare, </w:t>
      </w:r>
      <w:r>
        <w:rPr>
          <w:rStyle w:val="FontStyle21"/>
        </w:rPr>
        <w:t>detaşarea</w:t>
      </w:r>
      <w:r>
        <w:rPr>
          <w:rStyle w:val="FontStyle21"/>
        </w:rPr>
        <w:t xml:space="preserve"> atât a unui procuror cât </w:t>
      </w:r>
      <w:r>
        <w:rPr>
          <w:rStyle w:val="FontStyle21"/>
        </w:rPr>
        <w:t>şi</w:t>
      </w:r>
      <w:r>
        <w:rPr>
          <w:rStyle w:val="FontStyle21"/>
        </w:rPr>
        <w:t xml:space="preserve"> a unui judecător.</w:t>
      </w:r>
    </w:p>
    <w:p w:rsidR="00E53B29" w:rsidP="00E53B29" w14:paraId="7264E5A8" w14:textId="77777777">
      <w:pPr>
        <w:pStyle w:val="Style9"/>
        <w:spacing w:line="240" w:lineRule="auto"/>
        <w:ind w:firstLine="993"/>
        <w:rPr>
          <w:rStyle w:val="FontStyle21"/>
        </w:rPr>
      </w:pPr>
      <w:r>
        <w:rPr>
          <w:rStyle w:val="FontStyle21"/>
        </w:rPr>
        <w:t xml:space="preserve">Prin urmare, decizia contestată acordă </w:t>
      </w:r>
      <w:r>
        <w:rPr>
          <w:rStyle w:val="FontStyle21"/>
        </w:rPr>
        <w:t>eficienţă</w:t>
      </w:r>
      <w:r>
        <w:rPr>
          <w:rStyle w:val="FontStyle21"/>
        </w:rPr>
        <w:t xml:space="preserve"> </w:t>
      </w:r>
      <w:r>
        <w:rPr>
          <w:rStyle w:val="FontStyle21"/>
        </w:rPr>
        <w:t>dispoziţiilor</w:t>
      </w:r>
      <w:r>
        <w:rPr>
          <w:rStyle w:val="FontStyle21"/>
        </w:rPr>
        <w:t xml:space="preserve"> legale </w:t>
      </w:r>
      <w:r>
        <w:rPr>
          <w:rStyle w:val="FontStyle21"/>
        </w:rPr>
        <w:t>şi</w:t>
      </w:r>
      <w:r>
        <w:rPr>
          <w:rStyle w:val="FontStyle21"/>
        </w:rPr>
        <w:t xml:space="preserve"> regulamentare privind </w:t>
      </w:r>
      <w:r>
        <w:rPr>
          <w:rStyle w:val="FontStyle21"/>
        </w:rPr>
        <w:t>atribuţiile</w:t>
      </w:r>
      <w:r>
        <w:rPr>
          <w:rStyle w:val="FontStyle21"/>
        </w:rPr>
        <w:t xml:space="preserve"> </w:t>
      </w:r>
      <w:r>
        <w:rPr>
          <w:rStyle w:val="FontStyle21"/>
        </w:rPr>
        <w:t>preşedintelui</w:t>
      </w:r>
      <w:r>
        <w:rPr>
          <w:rStyle w:val="FontStyle21"/>
        </w:rPr>
        <w:t xml:space="preserve"> </w:t>
      </w:r>
      <w:r>
        <w:rPr>
          <w:rStyle w:val="FontStyle21"/>
        </w:rPr>
        <w:t>şi</w:t>
      </w:r>
      <w:r>
        <w:rPr>
          <w:rStyle w:val="FontStyle21"/>
        </w:rPr>
        <w:t xml:space="preserve"> să contribuie la buna </w:t>
      </w:r>
      <w:r>
        <w:rPr>
          <w:rStyle w:val="FontStyle21"/>
        </w:rPr>
        <w:t>desfăşurare</w:t>
      </w:r>
      <w:r>
        <w:rPr>
          <w:rStyle w:val="FontStyle21"/>
        </w:rPr>
        <w:t xml:space="preserve"> a </w:t>
      </w:r>
      <w:r>
        <w:rPr>
          <w:rStyle w:val="FontStyle21"/>
        </w:rPr>
        <w:t>activităţii</w:t>
      </w:r>
      <w:r>
        <w:rPr>
          <w:rStyle w:val="FontStyle21"/>
        </w:rPr>
        <w:t xml:space="preserve"> Consiliului Superior al Magistraturii.</w:t>
      </w:r>
    </w:p>
    <w:p w:rsidR="00E53B29" w:rsidP="00E53B29" w14:paraId="23CB4728" w14:textId="77777777">
      <w:pPr>
        <w:pStyle w:val="Style9"/>
        <w:spacing w:line="240" w:lineRule="auto"/>
        <w:ind w:firstLine="993"/>
        <w:rPr>
          <w:rStyle w:val="FontStyle21"/>
        </w:rPr>
      </w:pPr>
      <w:r>
        <w:rPr>
          <w:rStyle w:val="FontStyle21"/>
        </w:rPr>
        <w:t xml:space="preserve">Pârâtul a arătat că este nefondată </w:t>
      </w:r>
      <w:r>
        <w:rPr>
          <w:rStyle w:val="FontStyle21"/>
        </w:rPr>
        <w:t>şi</w:t>
      </w:r>
      <w:r>
        <w:rPr>
          <w:rStyle w:val="FontStyle21"/>
        </w:rPr>
        <w:t xml:space="preserve"> solicitarea de obligare a </w:t>
      </w:r>
      <w:r>
        <w:rPr>
          <w:rStyle w:val="FontStyle21"/>
        </w:rPr>
        <w:t>preşedintelui</w:t>
      </w:r>
      <w:r>
        <w:rPr>
          <w:rStyle w:val="FontStyle21"/>
        </w:rPr>
        <w:t xml:space="preserve"> Consiliului Superior al Magistraturii la emiterea unei noi decizii prin care referatele de necesitate să fie aprobate </w:t>
      </w:r>
      <w:r>
        <w:rPr>
          <w:rStyle w:val="FontStyle21"/>
        </w:rPr>
        <w:t>şi</w:t>
      </w:r>
      <w:r>
        <w:rPr>
          <w:rStyle w:val="FontStyle21"/>
        </w:rPr>
        <w:t xml:space="preserve"> de </w:t>
      </w:r>
      <w:r>
        <w:rPr>
          <w:rStyle w:val="FontStyle21"/>
        </w:rPr>
        <w:t>vicepreşedinte</w:t>
      </w:r>
      <w:r>
        <w:rPr>
          <w:rStyle w:val="FontStyle21"/>
        </w:rPr>
        <w:t xml:space="preserve">. Spre deosebire de cadrul normativ în vigoare la momentul emiterii deciziei contestate, în prezent, aprobarea </w:t>
      </w:r>
      <w:r>
        <w:rPr>
          <w:rStyle w:val="FontStyle21"/>
        </w:rPr>
        <w:t>detaşării</w:t>
      </w:r>
      <w:r>
        <w:rPr>
          <w:rStyle w:val="FontStyle21"/>
        </w:rPr>
        <w:t xml:space="preserve"> procurorilor intră în </w:t>
      </w:r>
      <w:r>
        <w:rPr>
          <w:rStyle w:val="FontStyle21"/>
        </w:rPr>
        <w:t>atribuţia</w:t>
      </w:r>
      <w:r>
        <w:rPr>
          <w:rStyle w:val="FontStyle21"/>
        </w:rPr>
        <w:t xml:space="preserve"> procurorului general al Parchetului de pe lângă Înalta Curte de </w:t>
      </w:r>
      <w:r>
        <w:rPr>
          <w:rStyle w:val="FontStyle21"/>
        </w:rPr>
        <w:t>Casaţie</w:t>
      </w:r>
      <w:r>
        <w:rPr>
          <w:rStyle w:val="FontStyle21"/>
        </w:rPr>
        <w:t xml:space="preserve"> </w:t>
      </w:r>
      <w:r>
        <w:rPr>
          <w:rStyle w:val="FontStyle21"/>
        </w:rPr>
        <w:t>şi</w:t>
      </w:r>
      <w:r>
        <w:rPr>
          <w:rStyle w:val="FontStyle21"/>
        </w:rPr>
        <w:t xml:space="preserve"> </w:t>
      </w:r>
      <w:r>
        <w:rPr>
          <w:rStyle w:val="FontStyle21"/>
        </w:rPr>
        <w:t>Justiţie</w:t>
      </w:r>
      <w:r>
        <w:rPr>
          <w:rStyle w:val="FontStyle21"/>
        </w:rPr>
        <w:t xml:space="preserve">. Prin urmare, procedura </w:t>
      </w:r>
      <w:r>
        <w:rPr>
          <w:rStyle w:val="FontStyle21"/>
        </w:rPr>
        <w:t>detaşării</w:t>
      </w:r>
      <w:r>
        <w:rPr>
          <w:rStyle w:val="FontStyle21"/>
        </w:rPr>
        <w:t xml:space="preserve"> procurorilor beneficiază de un cadru normativ cu totul diferit, aprobarea acesteia intrând în </w:t>
      </w:r>
      <w:r>
        <w:rPr>
          <w:rStyle w:val="FontStyle21"/>
        </w:rPr>
        <w:t>atribuţiile</w:t>
      </w:r>
      <w:r>
        <w:rPr>
          <w:rStyle w:val="FontStyle21"/>
        </w:rPr>
        <w:t xml:space="preserve"> procurorului general al Înaltei </w:t>
      </w:r>
      <w:r>
        <w:rPr>
          <w:rStyle w:val="FontStyle21"/>
        </w:rPr>
        <w:t>Curţi</w:t>
      </w:r>
      <w:r>
        <w:rPr>
          <w:rStyle w:val="FontStyle21"/>
        </w:rPr>
        <w:t xml:space="preserve"> de </w:t>
      </w:r>
      <w:r>
        <w:rPr>
          <w:rStyle w:val="FontStyle21"/>
        </w:rPr>
        <w:t>Casaţie</w:t>
      </w:r>
      <w:r>
        <w:rPr>
          <w:rStyle w:val="FontStyle21"/>
        </w:rPr>
        <w:t xml:space="preserve"> </w:t>
      </w:r>
      <w:r>
        <w:rPr>
          <w:rStyle w:val="FontStyle21"/>
        </w:rPr>
        <w:t>şi</w:t>
      </w:r>
      <w:r>
        <w:rPr>
          <w:rStyle w:val="FontStyle21"/>
        </w:rPr>
        <w:t xml:space="preserve"> </w:t>
      </w:r>
      <w:r>
        <w:rPr>
          <w:rStyle w:val="FontStyle21"/>
        </w:rPr>
        <w:t>Justiţie</w:t>
      </w:r>
      <w:r>
        <w:rPr>
          <w:rStyle w:val="FontStyle21"/>
        </w:rPr>
        <w:t>.</w:t>
      </w:r>
    </w:p>
    <w:p w:rsidR="00E53B29" w:rsidP="00E53B29" w14:paraId="48759D60" w14:textId="77777777">
      <w:pPr>
        <w:pStyle w:val="Style9"/>
        <w:spacing w:line="240" w:lineRule="auto"/>
        <w:ind w:firstLine="993"/>
        <w:rPr>
          <w:rStyle w:val="FontStyle21"/>
        </w:rPr>
      </w:pPr>
      <w:r>
        <w:rPr>
          <w:rStyle w:val="FontStyle21"/>
        </w:rPr>
        <w:t xml:space="preserve">În drept, a invocat </w:t>
      </w:r>
      <w:r>
        <w:rPr>
          <w:rStyle w:val="FontStyle21"/>
        </w:rPr>
        <w:t>dispoziţiile</w:t>
      </w:r>
      <w:r>
        <w:rPr>
          <w:rStyle w:val="FontStyle21"/>
        </w:rPr>
        <w:t xml:space="preserve"> art. 205-206 </w:t>
      </w:r>
      <w:r>
        <w:rPr>
          <w:rStyle w:val="FontStyle21"/>
        </w:rPr>
        <w:t>C.pr.civ</w:t>
      </w:r>
      <w:r>
        <w:rPr>
          <w:rStyle w:val="FontStyle21"/>
        </w:rPr>
        <w:t>.</w:t>
      </w:r>
    </w:p>
    <w:p w:rsidR="00E53B29" w:rsidP="00E53B29" w14:paraId="63234F87" w14:textId="77777777">
      <w:pPr>
        <w:pStyle w:val="Style9"/>
        <w:spacing w:line="240" w:lineRule="auto"/>
        <w:ind w:firstLine="993"/>
        <w:rPr>
          <w:rStyle w:val="FontStyle21"/>
          <w:b/>
          <w:i/>
        </w:rPr>
      </w:pPr>
      <w:r>
        <w:rPr>
          <w:rStyle w:val="FontStyle21"/>
          <w:b/>
          <w:i/>
        </w:rPr>
        <w:t>3. Răspunsul la întâmpinare</w:t>
      </w:r>
    </w:p>
    <w:p w:rsidR="00E53B29" w:rsidP="00E53B29" w14:paraId="5CAEDE36" w14:textId="77777777">
      <w:pPr>
        <w:pStyle w:val="Style9"/>
        <w:spacing w:line="240" w:lineRule="auto"/>
        <w:ind w:firstLine="993"/>
        <w:rPr>
          <w:rStyle w:val="FontStyle21"/>
        </w:rPr>
      </w:pPr>
      <w:r>
        <w:rPr>
          <w:rStyle w:val="FontStyle21"/>
        </w:rPr>
        <w:t>Reclamantul a combătut apărările formulate de pârât. Astfel, referitor la excepții, a arătat că s-a încercat acreditarea ideii unei disocieri între decizia nr. .../25.02.2021 și solicitarea reclamantului din data de 08.08.2022, în realitate cele două capete fiind interdependente, reclamantul susținând că respectiva decizie a fost emisă cu exces de putere. În aceste condiții, nu era necesar a solicita în prealabil revocarea deciziei nr. .../25.02.2021.</w:t>
      </w:r>
    </w:p>
    <w:p w:rsidR="00E53B29" w:rsidP="00E53B29" w14:paraId="3B8F943C" w14:textId="77777777">
      <w:pPr>
        <w:pStyle w:val="Style9"/>
        <w:spacing w:line="240" w:lineRule="auto"/>
        <w:ind w:firstLine="993"/>
        <w:rPr>
          <w:rStyle w:val="FontStyle21"/>
        </w:rPr>
      </w:pPr>
      <w:r>
        <w:rPr>
          <w:rStyle w:val="FontStyle21"/>
        </w:rPr>
        <w:t>A mai arătat reclamantul că anularea deciziei ar constitui o satisfacție echitabilă, ținând cont că președintele Consiliului se prevalează în continuare de un drept de tăcere cu privire la un răspuns legitim pe care reclamantul l-a solicitat prin cererea sa din data de 08.08.2022.</w:t>
      </w:r>
    </w:p>
    <w:p w:rsidR="00E53B29" w:rsidP="00E53B29" w14:paraId="0E369ABD" w14:textId="77777777">
      <w:pPr>
        <w:pStyle w:val="Style9"/>
        <w:spacing w:line="240" w:lineRule="auto"/>
        <w:ind w:firstLine="993"/>
        <w:rPr>
          <w:rStyle w:val="FontStyle21"/>
        </w:rPr>
      </w:pPr>
      <w:r>
        <w:rPr>
          <w:rStyle w:val="FontStyle21"/>
        </w:rPr>
        <w:t>Pe fond, a reiterat solicitarea de admitere a cererii de chemare în judecată.</w:t>
      </w:r>
    </w:p>
    <w:p w:rsidR="00E53B29" w:rsidP="00E53B29" w14:paraId="5FDB0F70" w14:textId="77777777">
      <w:pPr>
        <w:tabs>
          <w:tab w:val="left" w:pos="567"/>
        </w:tabs>
        <w:ind w:firstLine="993"/>
        <w:jc w:val="both"/>
        <w:rPr>
          <w:b/>
        </w:rPr>
      </w:pPr>
      <w:r>
        <w:rPr>
          <w:b/>
        </w:rPr>
        <w:t>II. Soluția instanței de fond</w:t>
      </w:r>
    </w:p>
    <w:p w:rsidR="00E53B29" w:rsidP="00E53B29" w14:paraId="71EC202A" w14:textId="77777777">
      <w:pPr>
        <w:ind w:firstLine="993"/>
        <w:jc w:val="both"/>
        <w:rPr>
          <w:b/>
          <w:i/>
        </w:rPr>
      </w:pPr>
      <w:r>
        <w:rPr>
          <w:b/>
          <w:i/>
        </w:rPr>
        <w:t>1. Analizând actele dosarului, Curtea va constata că cererea de chemare în judecată este nefondată, urmând a dispune respingerea acesteia ca atare, pentru următoarele considerente:</w:t>
      </w:r>
    </w:p>
    <w:p w:rsidR="00E53B29" w:rsidP="00E53B29" w14:paraId="0A9ADB5B" w14:textId="77777777">
      <w:pPr>
        <w:pStyle w:val="Style9"/>
        <w:spacing w:line="240" w:lineRule="auto"/>
        <w:ind w:firstLine="993"/>
        <w:rPr>
          <w:rStyle w:val="FontStyle21"/>
        </w:rPr>
      </w:pPr>
      <w:r>
        <w:rPr>
          <w:rStyle w:val="FontStyle21"/>
        </w:rPr>
        <w:t xml:space="preserve">În fapt, conform susținerilor concordante ale părților, prin hotărârea </w:t>
      </w:r>
      <w:r>
        <w:rPr>
          <w:rStyle w:val="FontStyle21"/>
        </w:rPr>
        <w:t>Secţiei</w:t>
      </w:r>
      <w:r>
        <w:rPr>
          <w:rStyle w:val="FontStyle21"/>
        </w:rPr>
        <w:t xml:space="preserve"> pentru  procurori din cadrul Consiliului Superior al Magistraturii nr. .../28.06....... s-a dispus </w:t>
      </w:r>
      <w:r>
        <w:rPr>
          <w:rStyle w:val="FontStyle21"/>
        </w:rPr>
        <w:t>detaşarea</w:t>
      </w:r>
      <w:r>
        <w:rPr>
          <w:rStyle w:val="FontStyle21"/>
        </w:rPr>
        <w:t xml:space="preserve"> în cadrul Consiliului a reclamantului X, procuror la Parchetul de pe lângă Judecătoria ..., pe o perioadă de 3 ani, în intervalul ............</w:t>
      </w:r>
    </w:p>
    <w:p w:rsidR="00E53B29" w:rsidP="00E53B29" w14:paraId="71DDDB57" w14:textId="77777777">
      <w:pPr>
        <w:pStyle w:val="Style9"/>
        <w:spacing w:line="240" w:lineRule="auto"/>
        <w:ind w:firstLine="993"/>
        <w:rPr>
          <w:rStyle w:val="FontStyle21"/>
        </w:rPr>
      </w:pPr>
      <w:r>
        <w:rPr>
          <w:rStyle w:val="FontStyle21"/>
        </w:rPr>
        <w:t>În baza deciziei președintelui Consiliului Superior al Magistraturii nr. .../24.02.2021, la data de 14.06.2022, directorul adjunct al Direcției resurse umane și organizare a întocmit un referat de necesitate prin care a solicitat președintelui Consiliului aprobarea procedurii privind prelungirea detașării reclamantului începând cu data de 01.08.2022 în cadrul instituției.</w:t>
      </w:r>
    </w:p>
    <w:p w:rsidR="00E53B29" w:rsidP="00E53B29" w14:paraId="67349C07" w14:textId="77777777">
      <w:pPr>
        <w:pStyle w:val="Style9"/>
        <w:spacing w:line="240" w:lineRule="auto"/>
        <w:ind w:firstLine="993"/>
        <w:rPr>
          <w:rStyle w:val="FontStyle21"/>
        </w:rPr>
      </w:pPr>
      <w:r>
        <w:rPr>
          <w:rStyle w:val="FontStyle21"/>
        </w:rPr>
        <w:t>Pe referatul de necesitate, președintele Consiliului a menționat rezoluția „Nu sunt de acord”.</w:t>
      </w:r>
    </w:p>
    <w:p w:rsidR="00E53B29" w:rsidP="00E53B29" w14:paraId="6852A975" w14:textId="77777777">
      <w:pPr>
        <w:pStyle w:val="Style9"/>
        <w:spacing w:line="240" w:lineRule="auto"/>
        <w:ind w:firstLine="993"/>
        <w:rPr>
          <w:rStyle w:val="FontStyle21"/>
        </w:rPr>
      </w:pPr>
      <w:r>
        <w:rPr>
          <w:rStyle w:val="FontStyle21"/>
        </w:rPr>
        <w:t>În ședința Comisiei nr. 2 procurori – Resurse umane și organizare din data de 25.07.2022, s-a apreciat oportună prelungirea detașării reclamantului în cadrul Consiliului și s-a decis emiterea unei adrese către președinte în legătură cu această propunere (f. 8, 35), adresă comunicată la data de 26.07.2022 de către vicepreședintele Consiliului.</w:t>
      </w:r>
    </w:p>
    <w:p w:rsidR="00E53B29" w:rsidP="00E53B29" w14:paraId="463BE371" w14:textId="77777777">
      <w:pPr>
        <w:pStyle w:val="Style9"/>
        <w:spacing w:line="240" w:lineRule="auto"/>
        <w:ind w:firstLine="993"/>
        <w:rPr>
          <w:rStyle w:val="FontStyle21"/>
        </w:rPr>
      </w:pPr>
      <w:r>
        <w:rPr>
          <w:rStyle w:val="FontStyle21"/>
        </w:rPr>
        <w:t xml:space="preserve">Președintele Consiliului nu a emis un răspuns la solicitarea vicepreședintelui Consiliului, ci a rezoluționat lucrarea la lucrarea de bază. </w:t>
      </w:r>
    </w:p>
    <w:p w:rsidR="00E53B29" w:rsidP="00E53B29" w14:paraId="02913C26" w14:textId="77777777">
      <w:pPr>
        <w:pStyle w:val="Style9"/>
        <w:spacing w:line="240" w:lineRule="auto"/>
        <w:ind w:firstLine="993"/>
        <w:rPr>
          <w:rStyle w:val="FontStyle21"/>
        </w:rPr>
      </w:pPr>
      <w:r>
        <w:rPr>
          <w:rStyle w:val="FontStyle21"/>
        </w:rPr>
        <w:t xml:space="preserve">La data de 08.08.2022, reclamantul a adresat </w:t>
      </w:r>
      <w:r>
        <w:rPr>
          <w:rStyle w:val="FontStyle21"/>
        </w:rPr>
        <w:t>preşedintelui</w:t>
      </w:r>
      <w:r>
        <w:rPr>
          <w:rStyle w:val="FontStyle21"/>
        </w:rPr>
        <w:t xml:space="preserve"> Consiliului Superior al Magistraturii o cerere înregistrată la cabinetul secretarului general sub nr. ..., prin care a solicitat să i se comunice motivele pentru care nu a fost de acord că avizeze referatul de necesitate întocmit la data de 14.06.2022 de </w:t>
      </w:r>
      <w:r>
        <w:rPr>
          <w:rStyle w:val="FontStyle21"/>
        </w:rPr>
        <w:t>direcţia</w:t>
      </w:r>
      <w:r>
        <w:rPr>
          <w:rStyle w:val="FontStyle21"/>
        </w:rPr>
        <w:t xml:space="preserve"> de specialitate prin care s-a apreciat ca fiind oportună prelungirea </w:t>
      </w:r>
      <w:r>
        <w:rPr>
          <w:rStyle w:val="FontStyle21"/>
        </w:rPr>
        <w:t>detaşării</w:t>
      </w:r>
      <w:r>
        <w:rPr>
          <w:rStyle w:val="FontStyle21"/>
        </w:rPr>
        <w:t xml:space="preserve"> acestuia în cadrul Consiliului (f. 9-12, 28-33).</w:t>
      </w:r>
    </w:p>
    <w:p w:rsidR="00E53B29" w:rsidP="00E53B29" w14:paraId="18BD25F8" w14:textId="77777777">
      <w:pPr>
        <w:tabs>
          <w:tab w:val="left" w:pos="993"/>
        </w:tabs>
        <w:ind w:firstLine="993"/>
        <w:jc w:val="both"/>
        <w:rPr>
          <w:i/>
          <w:u w:val="single"/>
        </w:rPr>
      </w:pPr>
      <w:r>
        <w:rPr>
          <w:i/>
          <w:u w:val="single"/>
        </w:rPr>
        <w:t>Asupra excepției inadmisibilității capătului de cerere în anularea deciziei nr. .../25.02.2021</w:t>
      </w:r>
      <w:r>
        <w:rPr>
          <w:rStyle w:val="FontStyle21"/>
          <w:i/>
          <w:u w:val="single"/>
        </w:rPr>
        <w:t xml:space="preserve"> a președintelui Consiliului Superior al Magistraturii</w:t>
      </w:r>
    </w:p>
    <w:p w:rsidR="00E53B29" w:rsidP="00E53B29" w14:paraId="2B665C5C" w14:textId="77777777">
      <w:pPr>
        <w:pStyle w:val="Style9"/>
        <w:spacing w:line="240" w:lineRule="auto"/>
        <w:ind w:firstLine="993"/>
        <w:rPr>
          <w:rStyle w:val="FontStyle21"/>
        </w:rPr>
      </w:pPr>
      <w:r>
        <w:rPr>
          <w:rStyle w:val="FontStyle21"/>
        </w:rPr>
        <w:t>Potrivit deciziei nr. .../25.02.2021 a președintelui Consiliului Superior al Magistraturii (f. ...-67), art. I alin. 1, inițierea procedurii de detașare sau de prelungire a detașării judecătorilor sau procurorilor de specialitate juridică din cadrul aparatului propriu al Consiliului Superior al Magistraturii, se realizează prin dispoziția președintelui Consiliului Superior al Magistraturii, la propunerea secretarului general al Consiliului Superior al Magistraturii.</w:t>
      </w:r>
    </w:p>
    <w:p w:rsidR="00E53B29" w:rsidP="00E53B29" w14:paraId="10F207EC" w14:textId="77777777">
      <w:pPr>
        <w:pStyle w:val="Style9"/>
        <w:spacing w:line="240" w:lineRule="auto"/>
        <w:ind w:firstLine="993"/>
        <w:rPr>
          <w:rStyle w:val="FontStyle21"/>
        </w:rPr>
      </w:pPr>
      <w:r>
        <w:rPr>
          <w:rStyle w:val="FontStyle21"/>
        </w:rPr>
        <w:t>Conform art. I alin. 2, după efectuarea demersurilor necesare, secretarul general al Consiliului Superior al Magistraturii propune președintelui Consiliului Superior al Magistraturii sesizarea Secției pentru judecători sau, după caz, a Secției pentru procurori, în vederea detașării sau a prelungirii detașării judecătorilor sau procurorilor în posturile prevăzute la alin. (1).</w:t>
      </w:r>
    </w:p>
    <w:p w:rsidR="00E53B29" w:rsidP="00E53B29" w14:paraId="30269BB0" w14:textId="77777777">
      <w:pPr>
        <w:tabs>
          <w:tab w:val="left" w:pos="993"/>
        </w:tabs>
        <w:ind w:firstLine="993"/>
        <w:jc w:val="both"/>
      </w:pPr>
      <w:r>
        <w:t>Decizia nr. .../25.02.2021 a fost emisă în temeiul dispozițiilor art. 24 alin. (1) și alin. (4) din Legea nr. 317/2004 privind Consiliul Superior al Magistraturii, a dispozițiilor art. 10 din Regulamentul de organizare și funcționare a Consiliului Superior al Magistraturii nr. 1073/03.12.2013, publicată în Monitorul Oficial Partea I nr. 1044/10.12.2018.</w:t>
      </w:r>
    </w:p>
    <w:p w:rsidR="00E53B29" w:rsidP="00E53B29" w14:paraId="542F7632" w14:textId="77777777">
      <w:pPr>
        <w:tabs>
          <w:tab w:val="left" w:pos="993"/>
        </w:tabs>
        <w:ind w:firstLine="993"/>
        <w:jc w:val="both"/>
      </w:pPr>
      <w:r>
        <w:t>Astfel cum reiese din preambul, decizia a fost emisă pentru buna desfășurare a activității Consiliului Superior al Magistraturii, în aplicarea dispozițiilor art. 63 alin. (3) din Legea nr. 317/2004, a dispozițiilor art. 74 alin. (4) și art. 113 alin. (2) din Regulamentul de organizare și funcționare a Consiliului Superior al Magistraturii nr. 1073/03.12.2013, publicată în Monitorul Oficial Partea I nr. 1044/10.12.2018.</w:t>
      </w:r>
    </w:p>
    <w:p w:rsidR="00E53B29" w:rsidP="00E53B29" w14:paraId="3BD62C0A" w14:textId="77777777">
      <w:pPr>
        <w:tabs>
          <w:tab w:val="left" w:pos="993"/>
        </w:tabs>
        <w:ind w:firstLine="993"/>
        <w:jc w:val="both"/>
        <w:rPr>
          <w:shd w:val="clear" w:color="auto" w:fill="FFFFFF"/>
        </w:rPr>
      </w:pPr>
      <w:r>
        <w:t xml:space="preserve">Curtea constată că, din conținutul actului și din examinarea prevederilor legale în temeiul cărora a fost edictat, decizia nr. .../25.02.2021 este un act administrativ în sensul prevederilor art. 2 alin. (1) lit. c) din Legea contenciosului administrativ nr. 554/2004, fiind emis de o autoritate </w:t>
      </w:r>
      <w:r>
        <w:t>publică, în regim de putere publică,</w:t>
      </w:r>
      <w:r>
        <w:rPr>
          <w:shd w:val="clear" w:color="auto" w:fill="FFFFFF"/>
        </w:rPr>
        <w:t xml:space="preserve"> în vederea organizării executării legii sau a executării în concret a legii, apt a da naștere, a modifica sau a stinge raporturi juridice.</w:t>
      </w:r>
    </w:p>
    <w:p w:rsidR="00E53B29" w:rsidP="00E53B29" w14:paraId="2264473D" w14:textId="77777777">
      <w:pPr>
        <w:tabs>
          <w:tab w:val="left" w:pos="993"/>
        </w:tabs>
        <w:ind w:firstLine="993"/>
        <w:jc w:val="both"/>
        <w:rPr>
          <w:shd w:val="clear" w:color="auto" w:fill="FFFFFF"/>
        </w:rPr>
      </w:pPr>
      <w:r>
        <w:rPr>
          <w:shd w:val="clear" w:color="auto" w:fill="FFFFFF"/>
        </w:rPr>
        <w:t>Astfel, actul prevede procedura de detașare sau de prelungire a detașării magistraților, are caracter obligatoriu și a stat la baza procedurii urmate și în cazul reclamantului, stând la baza soluției de neaprobare a referatului de necesitate emis de direcția de specialitate din cadrul instituției.</w:t>
      </w:r>
    </w:p>
    <w:p w:rsidR="00E53B29" w:rsidP="00E53B29" w14:paraId="7C0DAD33" w14:textId="77777777">
      <w:pPr>
        <w:tabs>
          <w:tab w:val="left" w:pos="993"/>
        </w:tabs>
        <w:ind w:firstLine="993"/>
        <w:jc w:val="both"/>
        <w:rPr>
          <w:shd w:val="clear" w:color="auto" w:fill="FFFFFF"/>
        </w:rPr>
      </w:pPr>
      <w:r>
        <w:rPr>
          <w:shd w:val="clear" w:color="auto" w:fill="FFFFFF"/>
        </w:rPr>
        <w:t>În consecință, decizia poate fi contestată în condițiile Legii nr. 554/2004, sens în care reclamantul trebuia să formuleze plângere prealabilă, potrivit prevederilor art. 7, urmând a sesiza instanța de contencios administrativ în condițiile și în termenele prevăzute de art. 11 din aceeași lege, în funcție de rezultatul concret al parcurgerii procedurii prealabile.</w:t>
      </w:r>
    </w:p>
    <w:p w:rsidR="00E53B29" w:rsidP="00E53B29" w14:paraId="33BA66A7" w14:textId="77777777">
      <w:pPr>
        <w:tabs>
          <w:tab w:val="left" w:pos="993"/>
        </w:tabs>
        <w:ind w:firstLine="993"/>
        <w:jc w:val="both"/>
        <w:rPr>
          <w:shd w:val="clear" w:color="auto" w:fill="FFFFFF"/>
        </w:rPr>
      </w:pPr>
      <w:r>
        <w:rPr>
          <w:shd w:val="clear" w:color="auto" w:fill="FFFFFF"/>
        </w:rPr>
        <w:t>Astfel, conform art. 7 alin. (1), înainte de a se adresa instanței de contencios administrativ competente, persoana care se consideră vătămată într-un drept al său ori într-un interes legitim printr-un act administrativ individual care i se adresează trebuie să solicite autorității publice emitente sau autorității ierarhic superioare, dacă aceasta există, în termen de 30 de zile de la data comunicării actului, revocarea, în tot sau în parte, a acestuia. Pentru motive temeinice, persoana vătămată, destinatar al actului, poate introduce plângerea prealabilă, în cazul actelor administrative unilaterale, și peste termenul prevăzut la </w:t>
      </w:r>
      <w:r>
        <w:rPr>
          <w:rStyle w:val="slgi"/>
          <w:shd w:val="clear" w:color="auto" w:fill="FFFFFF"/>
        </w:rPr>
        <w:t>alin. (1)</w:t>
      </w:r>
      <w:r>
        <w:rPr>
          <w:shd w:val="clear" w:color="auto" w:fill="FFFFFF"/>
        </w:rPr>
        <w:t xml:space="preserve">, dar nu mai târziu de 6 luni de la data emiterii actului. </w:t>
      </w:r>
    </w:p>
    <w:p w:rsidR="00E53B29" w:rsidP="00E53B29" w14:paraId="1100E884" w14:textId="77777777">
      <w:pPr>
        <w:tabs>
          <w:tab w:val="left" w:pos="993"/>
        </w:tabs>
        <w:ind w:firstLine="993"/>
        <w:jc w:val="both"/>
        <w:rPr>
          <w:shd w:val="clear" w:color="auto" w:fill="FFFFFF"/>
        </w:rPr>
      </w:pPr>
      <w:r>
        <w:rPr>
          <w:shd w:val="clear" w:color="auto" w:fill="FFFFFF"/>
        </w:rPr>
        <w:t>Situațiile de exceptare legală de la efectuarea acestei formalități nu sunt aplicabile, reclamantul nefiind în niciuna dintre ipotezele prevăzute de art. 7 alin. (5) sau în vreo altă ipoteză legală de exceptare de la necesitatea parcurgerii procedurii prealabile.</w:t>
      </w:r>
    </w:p>
    <w:p w:rsidR="00E53B29" w:rsidP="00E53B29" w14:paraId="6AE4CD3E" w14:textId="77777777">
      <w:pPr>
        <w:tabs>
          <w:tab w:val="left" w:pos="993"/>
        </w:tabs>
        <w:ind w:firstLine="993"/>
        <w:jc w:val="both"/>
        <w:rPr>
          <w:shd w:val="clear" w:color="auto" w:fill="FFFFFF"/>
        </w:rPr>
      </w:pPr>
      <w:r>
        <w:rPr>
          <w:shd w:val="clear" w:color="auto" w:fill="FFFFFF"/>
        </w:rPr>
        <w:t xml:space="preserve">În consecință, devin incidente prevederile art. 193 </w:t>
      </w:r>
      <w:r>
        <w:rPr>
          <w:shd w:val="clear" w:color="auto" w:fill="FFFFFF"/>
        </w:rPr>
        <w:t>C.pr.civ</w:t>
      </w:r>
      <w:r>
        <w:rPr>
          <w:shd w:val="clear" w:color="auto" w:fill="FFFFFF"/>
        </w:rPr>
        <w:t>., conform cărora, sesizarea instanței se poate face numai după îndeplinirea unei proceduri prealabile, dacă legea prevede în mod expres aceasta. Dovada îndeplinirii procedurii prealabile se va anexa la cererea de chemare în judecată.</w:t>
      </w:r>
    </w:p>
    <w:p w:rsidR="00E53B29" w:rsidP="00E53B29" w14:paraId="66A2B3B0" w14:textId="77777777">
      <w:pPr>
        <w:tabs>
          <w:tab w:val="left" w:pos="993"/>
        </w:tabs>
        <w:ind w:firstLine="993"/>
        <w:jc w:val="both"/>
        <w:rPr>
          <w:shd w:val="clear" w:color="auto" w:fill="FFFFFF"/>
        </w:rPr>
      </w:pPr>
      <w:r>
        <w:rPr>
          <w:shd w:val="clear" w:color="auto" w:fill="FFFFFF"/>
        </w:rPr>
        <w:t xml:space="preserve">Împrejurarea că există o legătură între cele două </w:t>
      </w:r>
      <w:r>
        <w:rPr>
          <w:shd w:val="clear" w:color="auto" w:fill="FFFFFF"/>
        </w:rPr>
        <w:t>petite</w:t>
      </w:r>
      <w:r>
        <w:rPr>
          <w:shd w:val="clear" w:color="auto" w:fill="FFFFFF"/>
        </w:rPr>
        <w:t xml:space="preserve"> ale cererii de chemare în judecată, deși reală, nu conduce la o soluție diferită deoarece interesul reclamantului în obținerea unei soluții favorabile demersului său de cunoaștere a motivului pentru care nu a fost aprobată propunerea de prelungire a detașării nu înlătură obligația de parcurgere a procedurii prealabile prevăzută de lege anterior solicitării de anulare a unui act administrativ.</w:t>
      </w:r>
    </w:p>
    <w:p w:rsidR="00E53B29" w:rsidP="00E53B29" w14:paraId="0AD463FF" w14:textId="77777777">
      <w:pPr>
        <w:tabs>
          <w:tab w:val="left" w:pos="993"/>
        </w:tabs>
        <w:ind w:firstLine="993"/>
        <w:jc w:val="both"/>
        <w:rPr>
          <w:shd w:val="clear" w:color="auto" w:fill="FFFFFF"/>
        </w:rPr>
      </w:pPr>
      <w:r>
        <w:rPr>
          <w:shd w:val="clear" w:color="auto" w:fill="FFFFFF"/>
        </w:rPr>
        <w:t xml:space="preserve">Deoarece reclamantul nu a făcut dovada îndeplinirii acestei proceduri prealabile și întrucât nu există niciun temei legal pentru a considera că nu exista o astfel de obligație, Curtea va admite excepția inadmisibilității invocată de pârât, fine de neprimire în temeiul căruia nu va mai analiza nici excepția lipsei de interes, dar nici susținerile formulate pe fond de către părți cu privire la acest petit, conform art. 248 alin. (1) </w:t>
      </w:r>
      <w:r>
        <w:rPr>
          <w:shd w:val="clear" w:color="auto" w:fill="FFFFFF"/>
        </w:rPr>
        <w:t>C.pr.civ</w:t>
      </w:r>
      <w:r>
        <w:rPr>
          <w:shd w:val="clear" w:color="auto" w:fill="FFFFFF"/>
        </w:rPr>
        <w:t>.</w:t>
      </w:r>
    </w:p>
    <w:p w:rsidR="00E53B29" w:rsidP="00E53B29" w14:paraId="110CE72F" w14:textId="77777777">
      <w:pPr>
        <w:tabs>
          <w:tab w:val="left" w:pos="993"/>
        </w:tabs>
        <w:ind w:firstLine="993"/>
        <w:jc w:val="both"/>
        <w:rPr>
          <w:i/>
          <w:u w:val="single"/>
        </w:rPr>
      </w:pPr>
      <w:r>
        <w:rPr>
          <w:i/>
          <w:u w:val="single"/>
        </w:rPr>
        <w:t>Pe fondul cauzei</w:t>
      </w:r>
    </w:p>
    <w:p w:rsidR="00E53B29" w:rsidP="00E53B29" w14:paraId="370DBCBC" w14:textId="77777777">
      <w:pPr>
        <w:tabs>
          <w:tab w:val="left" w:pos="993"/>
        </w:tabs>
        <w:ind w:firstLine="993"/>
        <w:jc w:val="both"/>
        <w:rPr>
          <w:shd w:val="clear" w:color="auto" w:fill="FFFFFF"/>
        </w:rPr>
      </w:pPr>
      <w:r>
        <w:rPr>
          <w:i/>
          <w:shd w:val="clear" w:color="auto" w:fill="FFFFFF"/>
        </w:rPr>
        <w:t xml:space="preserve">Refuzul pârâtului </w:t>
      </w:r>
      <w:r>
        <w:rPr>
          <w:i/>
          <w:shd w:val="clear" w:color="auto" w:fill="FFFFFF"/>
        </w:rPr>
        <w:t>preşedintele</w:t>
      </w:r>
      <w:r>
        <w:rPr>
          <w:i/>
          <w:shd w:val="clear" w:color="auto" w:fill="FFFFFF"/>
        </w:rPr>
        <w:t xml:space="preserve"> Consiliului Superior al Magistraturii de soluționare favorabilă a propunerii de prelungire a detașării nu este un act vătămător</w:t>
      </w:r>
      <w:r>
        <w:rPr>
          <w:shd w:val="clear" w:color="auto" w:fill="FFFFFF"/>
        </w:rPr>
        <w:t xml:space="preserve">, Curtea </w:t>
      </w:r>
      <w:r>
        <w:rPr>
          <w:shd w:val="clear" w:color="auto" w:fill="FFFFFF"/>
        </w:rPr>
        <w:t>reţinând</w:t>
      </w:r>
      <w:r>
        <w:rPr>
          <w:shd w:val="clear" w:color="auto" w:fill="FFFFFF"/>
        </w:rPr>
        <w:t xml:space="preserve"> că, potrivit prevederilor art. 2 alin. (1) lit. i) din Legea nr. 554/2004, prin refuz nejustificat de a soluționa o cerere se înțelege exprimarea explicită, cu exces de putere, a voinței de a nu rezolva cererea unei persoane (...). Or, prin refuzul pârâtului nu a fost încălcat un drept sau un interes legitim al reclamantului, dat fiind specificul actelor în această materie.</w:t>
      </w:r>
    </w:p>
    <w:p w:rsidR="00E53B29" w:rsidP="00E53B29" w14:paraId="250E36CA" w14:textId="77777777">
      <w:pPr>
        <w:tabs>
          <w:tab w:val="left" w:pos="993"/>
        </w:tabs>
        <w:ind w:firstLine="993"/>
        <w:jc w:val="both"/>
        <w:rPr>
          <w:shd w:val="clear" w:color="auto" w:fill="FFFFFF"/>
        </w:rPr>
      </w:pPr>
      <w:r>
        <w:rPr>
          <w:shd w:val="clear" w:color="auto" w:fill="FFFFFF"/>
        </w:rPr>
        <w:t xml:space="preserve">Astfel, Curtea va reține că instituția detașării procurorilor, la data de 08.08.2022, este reglementată prin prevederile art. 40 alin. (2) lit. m) din Legea nr. 317/2004, prevederile art. 58 din Legea nr. 303/2004, dar și prin prevederile art. 7 </w:t>
      </w:r>
      <w:r>
        <w:rPr>
          <w:shd w:val="clear" w:color="auto" w:fill="FFFFFF"/>
        </w:rPr>
        <w:t>şi</w:t>
      </w:r>
      <w:r>
        <w:rPr>
          <w:shd w:val="clear" w:color="auto" w:fill="FFFFFF"/>
        </w:rPr>
        <w:t xml:space="preserve"> art. 9 din Regulamentul din 01.10.2019 privind transferul, detașarea și delegarea procurorilor, aprobat prin Hotărârea nr. 814/2019 a Secției pentru procurori din cadrul Consiliului Superior al Magistraturii. </w:t>
      </w:r>
    </w:p>
    <w:p w:rsidR="00E53B29" w:rsidP="00E53B29" w14:paraId="2D58A998" w14:textId="77777777">
      <w:pPr>
        <w:tabs>
          <w:tab w:val="left" w:pos="993"/>
        </w:tabs>
        <w:ind w:firstLine="993"/>
        <w:jc w:val="both"/>
        <w:rPr>
          <w:shd w:val="clear" w:color="auto" w:fill="FFFFFF"/>
        </w:rPr>
      </w:pPr>
      <w:r>
        <w:rPr>
          <w:shd w:val="clear" w:color="auto" w:fill="FFFFFF"/>
        </w:rPr>
        <w:t xml:space="preserve">Deopotrivă, referitor la </w:t>
      </w:r>
      <w:r>
        <w:rPr>
          <w:shd w:val="clear" w:color="auto" w:fill="FFFFFF"/>
        </w:rPr>
        <w:t>atribuţiile</w:t>
      </w:r>
      <w:r>
        <w:rPr>
          <w:shd w:val="clear" w:color="auto" w:fill="FFFFFF"/>
        </w:rPr>
        <w:t xml:space="preserve"> </w:t>
      </w:r>
      <w:r>
        <w:rPr>
          <w:shd w:val="clear" w:color="auto" w:fill="FFFFFF"/>
        </w:rPr>
        <w:t>preşedintelui</w:t>
      </w:r>
      <w:r>
        <w:rPr>
          <w:shd w:val="clear" w:color="auto" w:fill="FFFFFF"/>
        </w:rPr>
        <w:t xml:space="preserve"> Consiliului Superior al Magistraturii, Curtea va </w:t>
      </w:r>
      <w:r>
        <w:rPr>
          <w:shd w:val="clear" w:color="auto" w:fill="FFFFFF"/>
        </w:rPr>
        <w:t>reţine</w:t>
      </w:r>
      <w:r>
        <w:rPr>
          <w:shd w:val="clear" w:color="auto" w:fill="FFFFFF"/>
        </w:rPr>
        <w:t xml:space="preserve"> </w:t>
      </w:r>
      <w:r>
        <w:rPr>
          <w:shd w:val="clear" w:color="auto" w:fill="FFFFFF"/>
        </w:rPr>
        <w:t>şi</w:t>
      </w:r>
      <w:r>
        <w:rPr>
          <w:shd w:val="clear" w:color="auto" w:fill="FFFFFF"/>
        </w:rPr>
        <w:t xml:space="preserve"> </w:t>
      </w:r>
      <w:r>
        <w:rPr>
          <w:shd w:val="clear" w:color="auto" w:fill="FFFFFF"/>
        </w:rPr>
        <w:t>dispoziţiile</w:t>
      </w:r>
      <w:r>
        <w:rPr>
          <w:shd w:val="clear" w:color="auto" w:fill="FFFFFF"/>
        </w:rPr>
        <w:t xml:space="preserve"> art. 24 alin. (3) </w:t>
      </w:r>
      <w:r>
        <w:rPr>
          <w:shd w:val="clear" w:color="auto" w:fill="FFFFFF"/>
        </w:rPr>
        <w:t>şi</w:t>
      </w:r>
      <w:r>
        <w:rPr>
          <w:shd w:val="clear" w:color="auto" w:fill="FFFFFF"/>
        </w:rPr>
        <w:t xml:space="preserve"> (4) din Legea nr. 317/2004.</w:t>
      </w:r>
    </w:p>
    <w:p w:rsidR="00E53B29" w:rsidP="00E53B29" w14:paraId="3D6EE743" w14:textId="77777777">
      <w:pPr>
        <w:tabs>
          <w:tab w:val="left" w:pos="993"/>
        </w:tabs>
        <w:ind w:firstLine="993"/>
        <w:jc w:val="both"/>
        <w:rPr>
          <w:shd w:val="clear" w:color="auto" w:fill="FFFFFF"/>
        </w:rPr>
      </w:pPr>
      <w:r>
        <w:rPr>
          <w:shd w:val="clear" w:color="auto" w:fill="FFFFFF"/>
        </w:rPr>
        <w:t xml:space="preserve">Cu privire la referatul de necesitate emis de direcția de specialitate, punctul de vedere astfel expus nu este obligatoriu, ci este orientativ pentru președintele Consiliului, acesta putând achiesa la propunerea făcută ori ajunge la o concluzie diferită, respingându-l. Ca atare, însușirea ori nu prin avizare a referatului ține de circuitul intern al lucrărilor în cadrul procedurii de detașare a </w:t>
      </w:r>
      <w:r>
        <w:rPr>
          <w:shd w:val="clear" w:color="auto" w:fill="FFFFFF"/>
        </w:rPr>
        <w:t xml:space="preserve">magistraților. În plus, luarea deciziei ține eminamente de aprecierea președintelui Consiliului, fiind și o chestiune în legătură cu gestionarea resurselor umane în sistemul judiciar, astfel că refuzul de aprobare ori soluția de respingere a propunerii nu pot fi exercitate cu exces de putere, în sensul art. 2 alin. (1) lit. n) din Legea nr. 554/2004, deoarece nu se identifică un caz de exercitare a dreptului de apreciere prin încălcarea limitelor competenței prevăzute de lege sau prin încălcarea drepturilor și libertăților cetățenilor. </w:t>
      </w:r>
    </w:p>
    <w:p w:rsidR="00E53B29" w:rsidP="00E53B29" w14:paraId="62AAD446" w14:textId="77777777">
      <w:pPr>
        <w:tabs>
          <w:tab w:val="left" w:pos="993"/>
        </w:tabs>
        <w:ind w:firstLine="993"/>
        <w:jc w:val="both"/>
        <w:rPr>
          <w:shd w:val="clear" w:color="auto" w:fill="FFFFFF"/>
        </w:rPr>
      </w:pPr>
      <w:r>
        <w:rPr>
          <w:shd w:val="clear" w:color="auto" w:fill="FFFFFF"/>
        </w:rPr>
        <w:t>Astfel, președintele Consiliului, care decide să nu prelungească o detașare, nu încalcă limitele competenței prevăzute de lege și niciun drept al magistratului deoarece detașarea (prelungirea detașării) este o instituție prevăzută în interesul beneficiarului, respectiv a autorității sau instituției publice la care s-a realizat detașarea magistratului. În acest sens, în cuprinsul Legii nr. 303/2004, detașarea este prevăzută în legătură cu cariera judecătorilor și procurorilor, în cadrul Titlului II, în timp ce drepturile și obligațiile judecătorilor și procurorilor sunt reglementate distinct, în cadrul Titlului III al legii.</w:t>
      </w:r>
    </w:p>
    <w:p w:rsidR="00E53B29" w:rsidP="00E53B29" w14:paraId="4E9E6097" w14:textId="77777777">
      <w:pPr>
        <w:tabs>
          <w:tab w:val="left" w:pos="993"/>
        </w:tabs>
        <w:ind w:firstLine="993"/>
        <w:jc w:val="both"/>
        <w:rPr>
          <w:shd w:val="clear" w:color="auto" w:fill="FFFFFF"/>
        </w:rPr>
      </w:pPr>
      <w:r>
        <w:rPr>
          <w:shd w:val="clear" w:color="auto" w:fill="FFFFFF"/>
        </w:rPr>
        <w:t>În consecință, nu se poate susține cu temei un refuz nejustificat al președintelui Consiliului de a nu-și însuși propunerea din referatul de necesitate, iar reclamantul nu poate susține că i-a fost vătămat dreptul la detașare prin refuzul pârâtului ori prin necomunicarea motivelor în susținerea acestui refuz.</w:t>
      </w:r>
    </w:p>
    <w:p w:rsidR="00E53B29" w:rsidP="00E53B29" w14:paraId="2CEC4E8F" w14:textId="77777777">
      <w:pPr>
        <w:tabs>
          <w:tab w:val="left" w:pos="993"/>
        </w:tabs>
        <w:ind w:firstLine="993"/>
        <w:jc w:val="both"/>
        <w:rPr>
          <w:shd w:val="clear" w:color="auto" w:fill="FFFFFF"/>
        </w:rPr>
      </w:pPr>
      <w:r>
        <w:rPr>
          <w:shd w:val="clear" w:color="auto" w:fill="FFFFFF"/>
        </w:rPr>
        <w:t xml:space="preserve">Curtea subliniază că trebuie distins între hotărârile prin care se dispune detașarea sau încetarea detașării magistraților, pe de o parte, și refuzul președintelui Consiliului de a aproba propunerea de prelungire a detașării magistraților, formulată de către direcția de specialitate, pe de altă parte, fiind evident că numai în primul caz se poate vorbi de acte administrative, susceptibile de a fi atacate în contencios administrativ, deoarece sunt în legătură cu raportul de serviciu al magistraților, astfel că reclamă, pentru valabilitate, acordul persoanelor în cauză. Astfel, </w:t>
      </w:r>
      <w:r>
        <w:rPr>
          <w:color w:val="333333"/>
        </w:rPr>
        <w:t xml:space="preserve">numai hotărârea Plenului care dispune asupra </w:t>
      </w:r>
      <w:r>
        <w:rPr>
          <w:color w:val="333333"/>
        </w:rPr>
        <w:t>detaşării</w:t>
      </w:r>
      <w:r>
        <w:rPr>
          <w:color w:val="333333"/>
        </w:rPr>
        <w:t xml:space="preserve"> unui anumit judecător/</w:t>
      </w:r>
      <w:r>
        <w:t>procuror</w:t>
      </w:r>
      <w:r>
        <w:rPr>
          <w:color w:val="333333"/>
        </w:rPr>
        <w:t xml:space="preserve">, la solicitarea </w:t>
      </w:r>
      <w:r>
        <w:rPr>
          <w:color w:val="333333"/>
        </w:rPr>
        <w:t>instituţiilor</w:t>
      </w:r>
      <w:r>
        <w:rPr>
          <w:color w:val="333333"/>
        </w:rPr>
        <w:t xml:space="preserve"> anume prevăzute de lege </w:t>
      </w:r>
      <w:r>
        <w:rPr>
          <w:color w:val="333333"/>
        </w:rPr>
        <w:t>şi</w:t>
      </w:r>
      <w:r>
        <w:rPr>
          <w:color w:val="333333"/>
        </w:rPr>
        <w:t xml:space="preserve"> cu acordul scris al persoanei în cauză, are natura juridică a unei hotărâri ce </w:t>
      </w:r>
      <w:r>
        <w:rPr>
          <w:color w:val="333333"/>
        </w:rPr>
        <w:t>priveşte</w:t>
      </w:r>
      <w:r>
        <w:rPr>
          <w:color w:val="333333"/>
        </w:rPr>
        <w:t xml:space="preserve"> cariera </w:t>
      </w:r>
      <w:r>
        <w:rPr>
          <w:color w:val="333333"/>
        </w:rPr>
        <w:t>magistraţilor</w:t>
      </w:r>
      <w:r>
        <w:rPr>
          <w:color w:val="333333"/>
        </w:rPr>
        <w:t xml:space="preserve"> </w:t>
      </w:r>
      <w:r>
        <w:rPr>
          <w:color w:val="333333"/>
        </w:rPr>
        <w:t>şi</w:t>
      </w:r>
      <w:r>
        <w:rPr>
          <w:color w:val="333333"/>
        </w:rPr>
        <w:t xml:space="preserve"> poate fi contestată direct la </w:t>
      </w:r>
      <w:r>
        <w:rPr>
          <w:color w:val="333333"/>
        </w:rPr>
        <w:t>secţia</w:t>
      </w:r>
      <w:r>
        <w:rPr>
          <w:color w:val="333333"/>
        </w:rPr>
        <w:t xml:space="preserve"> de contencios administrativ </w:t>
      </w:r>
      <w:r>
        <w:rPr>
          <w:color w:val="333333"/>
        </w:rPr>
        <w:t>şi</w:t>
      </w:r>
      <w:r>
        <w:rPr>
          <w:color w:val="333333"/>
        </w:rPr>
        <w:t xml:space="preserve"> fiscal a Înaltei </w:t>
      </w:r>
      <w:r>
        <w:rPr>
          <w:color w:val="333333"/>
        </w:rPr>
        <w:t>Curţi</w:t>
      </w:r>
      <w:r>
        <w:rPr>
          <w:color w:val="333333"/>
        </w:rPr>
        <w:t xml:space="preserve"> de </w:t>
      </w:r>
      <w:r>
        <w:rPr>
          <w:color w:val="333333"/>
        </w:rPr>
        <w:t>Casaţie</w:t>
      </w:r>
      <w:r>
        <w:rPr>
          <w:color w:val="333333"/>
        </w:rPr>
        <w:t xml:space="preserve"> </w:t>
      </w:r>
      <w:r>
        <w:rPr>
          <w:color w:val="333333"/>
        </w:rPr>
        <w:t>şi</w:t>
      </w:r>
      <w:r>
        <w:rPr>
          <w:color w:val="333333"/>
        </w:rPr>
        <w:t xml:space="preserve"> </w:t>
      </w:r>
      <w:r>
        <w:rPr>
          <w:color w:val="333333"/>
        </w:rPr>
        <w:t>Justiţie</w:t>
      </w:r>
      <w:r>
        <w:rPr>
          <w:color w:val="333333"/>
        </w:rPr>
        <w:t xml:space="preserve">, în </w:t>
      </w:r>
      <w:r>
        <w:rPr>
          <w:color w:val="333333"/>
        </w:rPr>
        <w:t>condiţiile</w:t>
      </w:r>
      <w:r>
        <w:rPr>
          <w:color w:val="333333"/>
        </w:rPr>
        <w:t xml:space="preserve"> art. 29 din Legea nr. 317/2004. </w:t>
      </w:r>
    </w:p>
    <w:p w:rsidR="00E53B29" w:rsidP="00E53B29" w14:paraId="008E854A" w14:textId="77777777">
      <w:pPr>
        <w:tabs>
          <w:tab w:val="left" w:pos="993"/>
        </w:tabs>
        <w:ind w:firstLine="993"/>
        <w:jc w:val="both"/>
        <w:rPr>
          <w:shd w:val="clear" w:color="auto" w:fill="FFFFFF"/>
        </w:rPr>
      </w:pPr>
      <w:r>
        <w:rPr>
          <w:shd w:val="clear" w:color="auto" w:fill="FFFFFF"/>
        </w:rPr>
        <w:t>Împrejurarea că munca reclamantului a fost apreciată în cadrul Consiliului nu constituie un argument pertinent pentru admiterea cererii de chemare în judecată. Pentru a pronunța această soluție, Curtea va reține că este sesizată cu un pretins refuz de soluționare motivată a unei cereri, or, calitatea muncii reclamantului ține de fondul raporturilor de serviciu cu instituția pârâtă și excedează analizei de efectuat în speță cât timp nu s-au reținut deficiențe în activitatea prestată.</w:t>
      </w:r>
    </w:p>
    <w:p w:rsidR="00E53B29" w:rsidP="00E53B29" w14:paraId="769C2A57" w14:textId="77777777">
      <w:pPr>
        <w:tabs>
          <w:tab w:val="left" w:pos="993"/>
        </w:tabs>
        <w:ind w:firstLine="993"/>
        <w:jc w:val="both"/>
        <w:rPr>
          <w:shd w:val="clear" w:color="auto" w:fill="FFFFFF"/>
        </w:rPr>
      </w:pPr>
      <w:r>
        <w:rPr>
          <w:shd w:val="clear" w:color="auto" w:fill="FFFFFF"/>
        </w:rPr>
        <w:t xml:space="preserve">Referitor la faptul că în privința judecătorilor și în privința altor procurori soluția a fost diferită, în aceeași perioadă de timp, Curtea va reține că nu este învestită a efectua o analiză comparativă între situația reclamantului și situația de fapt a magistraților pentru care a fost admisă propunerea de prelungire a detașării. În plus, detașarea ori prelungirea detașării reprezintă un aspect de oportunitate, iar analiza trebuie făcută în raport de fiecare caz în parte și de nevoile concrete ale instituției, respectiv de situația din cadrul instanței/parchetului de la care s-a făcut detașarea. Consiliul are responsabilitatea managementului resurselor umane în cadrul sistemului judiciar, prin urmare, în deciziile luate acesta trebuie să evite provocarea de disfuncționalități în activitatea instanțelor și a parchetelor. </w:t>
      </w:r>
    </w:p>
    <w:p w:rsidR="00E53B29" w:rsidP="00E53B29" w14:paraId="6011503A" w14:textId="77777777">
      <w:pPr>
        <w:tabs>
          <w:tab w:val="left" w:pos="993"/>
        </w:tabs>
        <w:ind w:firstLine="993"/>
        <w:jc w:val="both"/>
      </w:pPr>
      <w:r>
        <w:t xml:space="preserve">În acord cu jurisprudența Înaltei Curți de Casație și Justiție – Secția de contencios administrativ și fiscal, Consiliul Superior al Magistraturii, ca de altfel </w:t>
      </w:r>
      <w:r>
        <w:t>şi</w:t>
      </w:r>
      <w:r>
        <w:t xml:space="preserve"> </w:t>
      </w:r>
      <w:r>
        <w:t>entităţile</w:t>
      </w:r>
      <w:r>
        <w:t xml:space="preserve"> administrative în general, dispun de o marjă de apreciere, astfel că, în </w:t>
      </w:r>
      <w:r>
        <w:t>situaţia</w:t>
      </w:r>
      <w:r>
        <w:t xml:space="preserve"> în care nu pot fi identificate motive de nelegalitate formală ori elemente din care să rezulte că emitentul actului administrativ, prin conduita lui, s-a îndepărtat de la scopul legii ori a încălcat principiul </w:t>
      </w:r>
      <w:r>
        <w:t>proporţionalităţii</w:t>
      </w:r>
      <w:r>
        <w:t xml:space="preserve"> între interesul public </w:t>
      </w:r>
      <w:r>
        <w:t>şi</w:t>
      </w:r>
      <w:r>
        <w:t xml:space="preserve"> cel privat, o evaluare a </w:t>
      </w:r>
      <w:r>
        <w:t>substanţei</w:t>
      </w:r>
      <w:r>
        <w:t xml:space="preserve"> măsurilor dispuse, făcută de </w:t>
      </w:r>
      <w:r>
        <w:t>instanţa</w:t>
      </w:r>
      <w:r>
        <w:t xml:space="preserve"> de contencios administrativ </w:t>
      </w:r>
      <w:r>
        <w:t>însăşi</w:t>
      </w:r>
      <w:r>
        <w:t xml:space="preserve">, ar constitui o </w:t>
      </w:r>
      <w:r>
        <w:t>ingerinţă</w:t>
      </w:r>
      <w:r>
        <w:t xml:space="preserve"> nepermisă în </w:t>
      </w:r>
      <w:r>
        <w:t>atribuţiile</w:t>
      </w:r>
      <w:r>
        <w:t xml:space="preserve"> </w:t>
      </w:r>
      <w:r>
        <w:t>administraţiei</w:t>
      </w:r>
      <w:r>
        <w:t xml:space="preserve"> publice (deciziile nr. .../20.10.2022 și nr. ..../13.10.2022).</w:t>
      </w:r>
    </w:p>
    <w:p w:rsidR="00E53B29" w:rsidP="00E53B29" w14:paraId="133FB9C8" w14:textId="77777777">
      <w:pPr>
        <w:tabs>
          <w:tab w:val="left" w:pos="993"/>
        </w:tabs>
        <w:ind w:firstLine="993"/>
        <w:jc w:val="both"/>
      </w:pPr>
      <w:r>
        <w:t xml:space="preserve">Deopotrivă, conform instanței supreme, oportunitatea se află în strânsă legătură cu puterea </w:t>
      </w:r>
      <w:r>
        <w:t>discreţionară</w:t>
      </w:r>
      <w:r>
        <w:t xml:space="preserve"> a </w:t>
      </w:r>
      <w:r>
        <w:t>administraţiei</w:t>
      </w:r>
      <w:r>
        <w:t xml:space="preserve"> publice, existând o marjă de libertate lăsată la libera apreciere </w:t>
      </w:r>
      <w:r>
        <w:t xml:space="preserve">a unei </w:t>
      </w:r>
      <w:r>
        <w:t>autorităţi</w:t>
      </w:r>
      <w:r>
        <w:t xml:space="preserve">, astfel ca în vederea atingerii scopului indicat de legiuitor să poată recurge la orice mijloc de </w:t>
      </w:r>
      <w:r>
        <w:t>acţiune</w:t>
      </w:r>
      <w:r>
        <w:t xml:space="preserve">, în limitele </w:t>
      </w:r>
      <w:r>
        <w:t>competenţei</w:t>
      </w:r>
      <w:r>
        <w:t xml:space="preserve"> sale.</w:t>
      </w:r>
    </w:p>
    <w:p w:rsidR="00E53B29" w:rsidP="00E53B29" w14:paraId="0EC6F90A" w14:textId="77777777">
      <w:pPr>
        <w:tabs>
          <w:tab w:val="left" w:pos="993"/>
        </w:tabs>
        <w:ind w:firstLine="993"/>
        <w:jc w:val="both"/>
        <w:rPr>
          <w:shd w:val="clear" w:color="auto" w:fill="FFFFFF"/>
        </w:rPr>
      </w:pPr>
      <w:r>
        <w:t xml:space="preserve">În </w:t>
      </w:r>
      <w:r>
        <w:t>consecinţă</w:t>
      </w:r>
      <w:r>
        <w:t xml:space="preserve">, în </w:t>
      </w:r>
      <w:r>
        <w:t>condiţiile</w:t>
      </w:r>
      <w:r>
        <w:t xml:space="preserve"> în care nu există nicio suprapunere între cele două </w:t>
      </w:r>
      <w:r>
        <w:t>noţiuni</w:t>
      </w:r>
      <w:r>
        <w:t xml:space="preserve">, referatului de necesitate emis de direcția de specialitate în susținerea solicitării de prelungire a detașării nu creează în mod automat premisele pentru admiterea cererii de către președintele Consiliului, propunerea fiind supusă unei analize de oportunitate ce intră, potrivit legii, în </w:t>
      </w:r>
      <w:r>
        <w:t>atribuţiile</w:t>
      </w:r>
      <w:r>
        <w:t xml:space="preserve"> președintelui Consiliului Superior al Magistraturii.</w:t>
      </w:r>
    </w:p>
    <w:p w:rsidR="00E53B29" w:rsidP="00E53B29" w14:paraId="024C9DC6" w14:textId="77777777">
      <w:pPr>
        <w:ind w:firstLine="993"/>
        <w:jc w:val="both"/>
        <w:rPr>
          <w:shd w:val="clear" w:color="auto" w:fill="FFFFFF"/>
        </w:rPr>
      </w:pPr>
      <w:r>
        <w:rPr>
          <w:i/>
        </w:rPr>
        <w:t xml:space="preserve">Referitor la necomunicarea către reclamant a motivelor refuzului de prelungire a </w:t>
      </w:r>
      <w:r>
        <w:rPr>
          <w:i/>
        </w:rPr>
        <w:t>detaşării</w:t>
      </w:r>
      <w:r>
        <w:t xml:space="preserve">, Curtea va </w:t>
      </w:r>
      <w:r>
        <w:t>reţine</w:t>
      </w:r>
      <w:r>
        <w:t xml:space="preserve"> că, potrivit prevederilor art. 2 alin. (1) lit. h) din Legea nr. 554/2004, prin </w:t>
      </w:r>
      <w:r>
        <w:rPr>
          <w:shd w:val="clear" w:color="auto" w:fill="FFFFFF"/>
        </w:rPr>
        <w:t xml:space="preserve">nesoluționare în termen legal a unei cereri se înțelege faptul de a nu răspunde solicitantului în termen de 30 de zile de la înregistrarea cererii, dacă prin lege nu se prevede alt termen. </w:t>
      </w:r>
    </w:p>
    <w:p w:rsidR="00E53B29" w:rsidP="00E53B29" w14:paraId="504D5DB1" w14:textId="77777777">
      <w:pPr>
        <w:tabs>
          <w:tab w:val="left" w:pos="993"/>
        </w:tabs>
        <w:ind w:firstLine="993"/>
        <w:jc w:val="both"/>
        <w:rPr>
          <w:shd w:val="clear" w:color="auto" w:fill="FFFFFF"/>
        </w:rPr>
      </w:pPr>
      <w:r>
        <w:rPr>
          <w:shd w:val="clear" w:color="auto" w:fill="FFFFFF"/>
        </w:rPr>
        <w:t>Definiția prevăzută de textul legal evocat instituie ca situație premisă existența unei obligații legale a autorității solicitate de a formula un răspuns într-un anumit termen (sau în termenul general). Prin urmare, în ipoteza neîndeplinirii acestei obligații, dreptul corelativ al titularului este vătămat.</w:t>
      </w:r>
    </w:p>
    <w:p w:rsidR="00E53B29" w:rsidP="00E53B29" w14:paraId="431021F3" w14:textId="77777777">
      <w:pPr>
        <w:tabs>
          <w:tab w:val="left" w:pos="993"/>
        </w:tabs>
        <w:ind w:firstLine="993"/>
        <w:jc w:val="both"/>
        <w:rPr>
          <w:shd w:val="clear" w:color="auto" w:fill="FFFFFF"/>
        </w:rPr>
      </w:pPr>
      <w:r>
        <w:rPr>
          <w:shd w:val="clear" w:color="auto" w:fill="FFFFFF"/>
        </w:rPr>
        <w:t xml:space="preserve">Această ipoteză legală nu este incidentă, neputându-se vorbi despre un drept al reclamantului și despre o obligație corelativă a președintelui Consiliului Superior al Magistraturii de motivare a refuzului propunerii de </w:t>
      </w:r>
      <w:r>
        <w:rPr>
          <w:rStyle w:val="FontStyle21"/>
        </w:rPr>
        <w:t>prelungire a detașării reclamantului în cadrul Consiliului</w:t>
      </w:r>
      <w:r>
        <w:rPr>
          <w:shd w:val="clear" w:color="auto" w:fill="FFFFFF"/>
        </w:rPr>
        <w:t>.</w:t>
      </w:r>
    </w:p>
    <w:p w:rsidR="00E53B29" w:rsidP="00E53B29" w14:paraId="5CF33F2B" w14:textId="77777777">
      <w:pPr>
        <w:tabs>
          <w:tab w:val="left" w:pos="993"/>
        </w:tabs>
        <w:ind w:firstLine="993"/>
        <w:jc w:val="both"/>
        <w:rPr>
          <w:shd w:val="clear" w:color="auto" w:fill="FFFFFF"/>
        </w:rPr>
      </w:pPr>
      <w:r>
        <w:rPr>
          <w:shd w:val="clear" w:color="auto" w:fill="FFFFFF"/>
        </w:rPr>
        <w:t xml:space="preserve">Astfel, nici decizia nr. .../25.02.2021 </w:t>
      </w:r>
      <w:r>
        <w:rPr>
          <w:shd w:val="clear" w:color="auto" w:fill="FFFFFF"/>
        </w:rPr>
        <w:t>şi</w:t>
      </w:r>
      <w:r>
        <w:rPr>
          <w:shd w:val="clear" w:color="auto" w:fill="FFFFFF"/>
        </w:rPr>
        <w:t xml:space="preserve"> niciun alt act normativ (lege sau regulament) nu îl obligă pe pârâtul </w:t>
      </w:r>
      <w:r>
        <w:rPr>
          <w:shd w:val="clear" w:color="auto" w:fill="FFFFFF"/>
        </w:rPr>
        <w:t>preşedintele</w:t>
      </w:r>
      <w:r>
        <w:rPr>
          <w:shd w:val="clear" w:color="auto" w:fill="FFFFFF"/>
        </w:rPr>
        <w:t xml:space="preserve"> Consiliului să motiveze refuzul de </w:t>
      </w:r>
      <w:r>
        <w:rPr>
          <w:shd w:val="clear" w:color="auto" w:fill="FFFFFF"/>
        </w:rPr>
        <w:t>iniţiere</w:t>
      </w:r>
      <w:r>
        <w:rPr>
          <w:shd w:val="clear" w:color="auto" w:fill="FFFFFF"/>
        </w:rPr>
        <w:t xml:space="preserve"> a procedurii de </w:t>
      </w:r>
      <w:r>
        <w:rPr>
          <w:shd w:val="clear" w:color="auto" w:fill="FFFFFF"/>
        </w:rPr>
        <w:t>detaşare</w:t>
      </w:r>
      <w:r>
        <w:rPr>
          <w:shd w:val="clear" w:color="auto" w:fill="FFFFFF"/>
        </w:rPr>
        <w:t xml:space="preserve"> sau de prelungire a </w:t>
      </w:r>
      <w:r>
        <w:rPr>
          <w:shd w:val="clear" w:color="auto" w:fill="FFFFFF"/>
        </w:rPr>
        <w:t>detaşării</w:t>
      </w:r>
      <w:r>
        <w:rPr>
          <w:shd w:val="clear" w:color="auto" w:fill="FFFFFF"/>
        </w:rPr>
        <w:t xml:space="preserve"> </w:t>
      </w:r>
      <w:r>
        <w:rPr>
          <w:shd w:val="clear" w:color="auto" w:fill="FFFFFF"/>
        </w:rPr>
        <w:t>magistraţilor</w:t>
      </w:r>
      <w:r>
        <w:rPr>
          <w:shd w:val="clear" w:color="auto" w:fill="FFFFFF"/>
        </w:rPr>
        <w:t xml:space="preserve">, </w:t>
      </w:r>
      <w:r>
        <w:rPr>
          <w:shd w:val="clear" w:color="auto" w:fill="FFFFFF"/>
        </w:rPr>
        <w:t>legislaţia</w:t>
      </w:r>
      <w:r>
        <w:rPr>
          <w:shd w:val="clear" w:color="auto" w:fill="FFFFFF"/>
        </w:rPr>
        <w:t xml:space="preserve"> recunoscând dreptul acestei </w:t>
      </w:r>
      <w:r>
        <w:rPr>
          <w:shd w:val="clear" w:color="auto" w:fill="FFFFFF"/>
        </w:rPr>
        <w:t>autorităţi</w:t>
      </w:r>
      <w:r>
        <w:rPr>
          <w:shd w:val="clear" w:color="auto" w:fill="FFFFFF"/>
        </w:rPr>
        <w:t xml:space="preserve"> la formularea unui răspuns negativ, fără a impune </w:t>
      </w:r>
      <w:r>
        <w:rPr>
          <w:shd w:val="clear" w:color="auto" w:fill="FFFFFF"/>
        </w:rPr>
        <w:t>cerinţa</w:t>
      </w:r>
      <w:r>
        <w:rPr>
          <w:shd w:val="clear" w:color="auto" w:fill="FFFFFF"/>
        </w:rPr>
        <w:t xml:space="preserve"> oferirii unei justificări drept </w:t>
      </w:r>
      <w:r>
        <w:rPr>
          <w:shd w:val="clear" w:color="auto" w:fill="FFFFFF"/>
        </w:rPr>
        <w:t>condiţie</w:t>
      </w:r>
      <w:r>
        <w:rPr>
          <w:shd w:val="clear" w:color="auto" w:fill="FFFFFF"/>
        </w:rPr>
        <w:t xml:space="preserve"> de validitate.</w:t>
      </w:r>
    </w:p>
    <w:p w:rsidR="00E53B29" w:rsidP="00E53B29" w14:paraId="7ACB30EE" w14:textId="77777777">
      <w:pPr>
        <w:tabs>
          <w:tab w:val="left" w:pos="993"/>
        </w:tabs>
        <w:ind w:firstLine="993"/>
        <w:jc w:val="both"/>
        <w:rPr>
          <w:shd w:val="clear" w:color="auto" w:fill="FFFFFF"/>
        </w:rPr>
      </w:pPr>
      <w:r>
        <w:rPr>
          <w:shd w:val="clear" w:color="auto" w:fill="FFFFFF"/>
        </w:rPr>
        <w:t xml:space="preserve">În susținerea acestui petit, în drept, reclamantul a indicat prevederile Legii nr. 554/2004, însă decizia pârâtului (de respingere a propunerii de prelungire a </w:t>
      </w:r>
      <w:r>
        <w:rPr>
          <w:shd w:val="clear" w:color="auto" w:fill="FFFFFF"/>
        </w:rPr>
        <w:t>detaşării</w:t>
      </w:r>
      <w:r>
        <w:rPr>
          <w:shd w:val="clear" w:color="auto" w:fill="FFFFFF"/>
        </w:rPr>
        <w:t>) nu este un act administrativ, ci o operațiune prealabilă, nesusceptibilă a fi atacată în contencios administrativ în mod distinct.</w:t>
      </w:r>
    </w:p>
    <w:p w:rsidR="00E53B29" w:rsidP="00E53B29" w14:paraId="60211245" w14:textId="77777777">
      <w:pPr>
        <w:tabs>
          <w:tab w:val="left" w:pos="993"/>
        </w:tabs>
        <w:ind w:firstLine="993"/>
        <w:jc w:val="both"/>
        <w:rPr>
          <w:shd w:val="clear" w:color="auto" w:fill="FFFFFF"/>
        </w:rPr>
      </w:pPr>
      <w:r>
        <w:rPr>
          <w:shd w:val="clear" w:color="auto" w:fill="FFFFFF"/>
        </w:rPr>
        <w:t>De asemenea, reclamantul nu a indicat alte prevederi care să legitimeze un demers al acestuia și care să justifice obligarea pârâtului la comunicarea unui răspuns motivat la cerere. Nici prevederile OG nr. 27/2002 privind reglementarea activității de soluționare a petițiilor nu ar putea constitui temei pentru obligarea pârâtului la motivarea refuzului de prelungire a detașării deoarece reclamantul nu a formulat o petiție, în sensul prevederilor art. 2 din ordonanța menționată.</w:t>
      </w:r>
    </w:p>
    <w:p w:rsidR="00E53B29" w:rsidP="00E53B29" w14:paraId="6FC6CBFD" w14:textId="77777777">
      <w:pPr>
        <w:ind w:firstLine="993"/>
        <w:jc w:val="both"/>
        <w:rPr>
          <w:b/>
          <w:i/>
        </w:rPr>
      </w:pPr>
      <w:r>
        <w:rPr>
          <w:b/>
          <w:i/>
        </w:rPr>
        <w:t>2. Temeiul legal al soluției instanței de fond</w:t>
      </w:r>
    </w:p>
    <w:p w:rsidR="00E53B29" w:rsidP="00E53B29" w14:paraId="388C8A78" w14:textId="77777777">
      <w:pPr>
        <w:ind w:firstLine="993"/>
        <w:jc w:val="both"/>
      </w:pPr>
      <w:r>
        <w:t xml:space="preserve">Pentru considerentele expuse, în temeiul în temeiul art. 1, art. 7, art. 8 și art. 18 din Legea nr. 554/2004, dar și în temeiul art. 193 </w:t>
      </w:r>
      <w:r>
        <w:t>C.pr.civ</w:t>
      </w:r>
      <w:r>
        <w:t xml:space="preserve">., Curtea va admite </w:t>
      </w:r>
      <w:r>
        <w:t>excepţia</w:t>
      </w:r>
      <w:r>
        <w:t xml:space="preserve"> </w:t>
      </w:r>
      <w:r>
        <w:t>inadmisibilităţii</w:t>
      </w:r>
      <w:r>
        <w:t xml:space="preserve"> pentru lipsa procedurii prealabile invocată de pârât și, în consecință, va respinge cererea în anularea deciziei nr. .../25.02.2021 pentru lipsa procedurii prealabile, iar, pe fond, va respinge cererea de chemare în judecată ca neîntemeiată.</w:t>
      </w:r>
    </w:p>
    <w:p w:rsidR="00E53B29" w:rsidP="00E53B29" w14:paraId="02A8E441" w14:textId="77777777">
      <w:pPr>
        <w:ind w:firstLine="993"/>
        <w:jc w:val="both"/>
      </w:pPr>
    </w:p>
    <w:p w:rsidR="00E53B29" w:rsidP="00E53B29" w14:paraId="2449501B" w14:textId="77777777">
      <w:pPr>
        <w:tabs>
          <w:tab w:val="left" w:pos="993"/>
        </w:tabs>
        <w:ind w:firstLine="993"/>
        <w:jc w:val="both"/>
      </w:pPr>
    </w:p>
    <w:p w:rsidR="00E53B29" w:rsidP="00E53B29" w14:paraId="2B92E205" w14:textId="77777777">
      <w:pPr>
        <w:ind w:firstLine="993"/>
        <w:jc w:val="center"/>
        <w:rPr>
          <w:b/>
        </w:rPr>
      </w:pPr>
      <w:r>
        <w:rPr>
          <w:b/>
        </w:rPr>
        <w:t xml:space="preserve">PENTRU ACESTE MOTIVE </w:t>
      </w:r>
    </w:p>
    <w:p w:rsidR="00E53B29" w:rsidP="00E53B29" w14:paraId="3CF5ABDD" w14:textId="77777777">
      <w:pPr>
        <w:ind w:firstLine="993"/>
        <w:jc w:val="center"/>
        <w:rPr>
          <w:b/>
        </w:rPr>
      </w:pPr>
      <w:r>
        <w:rPr>
          <w:b/>
        </w:rPr>
        <w:t>ÎN NUMELE LEGII</w:t>
      </w:r>
    </w:p>
    <w:p w:rsidR="00E53B29" w:rsidP="00E53B29" w14:paraId="37CF1327" w14:textId="77777777">
      <w:pPr>
        <w:ind w:firstLine="993"/>
        <w:jc w:val="center"/>
        <w:rPr>
          <w:b/>
        </w:rPr>
      </w:pPr>
      <w:r>
        <w:rPr>
          <w:b/>
        </w:rPr>
        <w:t xml:space="preserve">HOTĂRĂŞTE: </w:t>
      </w:r>
    </w:p>
    <w:p w:rsidR="00E53B29" w:rsidP="00E53B29" w14:paraId="1E1E9F27" w14:textId="77777777">
      <w:pPr>
        <w:ind w:firstLine="993"/>
        <w:jc w:val="center"/>
        <w:rPr>
          <w:u w:val="single"/>
        </w:rPr>
      </w:pPr>
    </w:p>
    <w:p w:rsidR="00E53B29" w:rsidP="00E53B29" w14:paraId="17CC68CC" w14:textId="77777777">
      <w:pPr>
        <w:ind w:firstLine="993"/>
        <w:jc w:val="center"/>
        <w:rPr>
          <w:u w:val="single"/>
        </w:rPr>
      </w:pPr>
    </w:p>
    <w:p w:rsidR="00E53B29" w:rsidP="00E53B29" w14:paraId="17DD147B" w14:textId="77777777">
      <w:pPr>
        <w:ind w:firstLine="993"/>
        <w:jc w:val="both"/>
      </w:pPr>
      <w:r>
        <w:t xml:space="preserve">Admite </w:t>
      </w:r>
      <w:r>
        <w:t>excepţia</w:t>
      </w:r>
      <w:r>
        <w:t xml:space="preserve"> </w:t>
      </w:r>
      <w:r>
        <w:t>inadmisibilităţii</w:t>
      </w:r>
      <w:r>
        <w:t xml:space="preserve"> pentru lipsa procedurii prealabile invocată de pârât.</w:t>
      </w:r>
    </w:p>
    <w:p w:rsidR="00E53B29" w:rsidP="00E53B29" w14:paraId="17677945" w14:textId="77777777">
      <w:pPr>
        <w:ind w:firstLine="993"/>
        <w:jc w:val="both"/>
      </w:pPr>
      <w:r>
        <w:t xml:space="preserve">Respinge cererea în anularea deciziei nr. .../25.02.2021 pentru lipsa procedurii prealabile. </w:t>
      </w:r>
    </w:p>
    <w:p w:rsidR="00E53B29" w:rsidP="00E53B29" w14:paraId="77A40396" w14:textId="77777777">
      <w:pPr>
        <w:ind w:firstLine="993"/>
        <w:jc w:val="both"/>
      </w:pPr>
      <w:r>
        <w:t xml:space="preserve">Respinge în rest cererea de chemare în judecată formulată de reclamantul </w:t>
      </w:r>
      <w:r>
        <w:rPr>
          <w:b/>
        </w:rPr>
        <w:t>X</w:t>
      </w:r>
      <w:r>
        <w:t>, cu domiciliul în ..., cu domiciliul ales la adresa .............</w:t>
      </w:r>
      <w:r>
        <w:rPr>
          <w:lang w:val="en-US"/>
        </w:rPr>
        <w:t>@</w:t>
      </w:r>
      <w:r>
        <w:t>y</w:t>
      </w:r>
      <w:r>
        <w:rPr>
          <w:lang w:val="en-US"/>
        </w:rPr>
        <w:t>ahoo.com,</w:t>
      </w:r>
      <w:r>
        <w:t xml:space="preserve"> în contradictoriu cu pârâtul </w:t>
      </w:r>
      <w:r>
        <w:rPr>
          <w:b/>
        </w:rPr>
        <w:t>PREŞEDINTELE CONSILIULUI SUPERIOR AL MAGISTRATURII</w:t>
      </w:r>
      <w:r>
        <w:t>, cu sediul în .., ca neîntemeiată.</w:t>
      </w:r>
    </w:p>
    <w:p w:rsidR="00E53B29" w:rsidP="00E53B29" w14:paraId="6A2A822F" w14:textId="77777777">
      <w:pPr>
        <w:ind w:firstLine="993"/>
        <w:jc w:val="both"/>
      </w:pPr>
      <w:r>
        <w:t xml:space="preserve">Cu drept de recurs în termen de 15 zile de la comunicare, cererea de exercitare a căii de atac urmând a se depune la Curtea de Apel ... – </w:t>
      </w:r>
      <w:r>
        <w:t>Secţia</w:t>
      </w:r>
      <w:r>
        <w:t xml:space="preserve"> contencios administrativ </w:t>
      </w:r>
      <w:r>
        <w:t>şi</w:t>
      </w:r>
      <w:r>
        <w:t xml:space="preserve"> fiscal.</w:t>
      </w:r>
    </w:p>
    <w:p w:rsidR="00E53B29" w:rsidP="00E53B29" w14:paraId="7BD1261A" w14:textId="77777777">
      <w:pPr>
        <w:ind w:firstLine="993"/>
        <w:jc w:val="both"/>
      </w:pPr>
      <w:r>
        <w:t>Pronunţată</w:t>
      </w:r>
      <w:r>
        <w:t xml:space="preserve"> astăzi, ..., prin punerea </w:t>
      </w:r>
      <w:r>
        <w:t>soluţiei</w:t>
      </w:r>
      <w:r>
        <w:t xml:space="preserve"> la </w:t>
      </w:r>
      <w:r>
        <w:t>dispoziţia</w:t>
      </w:r>
      <w:r>
        <w:t xml:space="preserve"> </w:t>
      </w:r>
      <w:r>
        <w:t>părţilor</w:t>
      </w:r>
      <w:r>
        <w:t xml:space="preserve"> prin mijlocirea grefei </w:t>
      </w:r>
      <w:r>
        <w:t>instanţei</w:t>
      </w:r>
      <w:r>
        <w:t>.</w:t>
      </w:r>
    </w:p>
    <w:p w:rsidR="00E53B29" w:rsidP="00E53B29" w14:paraId="21AFBC44" w14:textId="77777777">
      <w:pPr>
        <w:ind w:firstLine="993"/>
        <w:jc w:val="both"/>
      </w:pPr>
    </w:p>
    <w:p w:rsidR="00E53B29" w:rsidP="00E53B29" w14:paraId="6DD64A40" w14:textId="77777777">
      <w:pPr>
        <w:ind w:firstLine="993"/>
        <w:jc w:val="center"/>
        <w:rPr>
          <w:u w:val="single"/>
        </w:rPr>
      </w:pPr>
    </w:p>
    <w:p w:rsidR="00E53B29" w:rsidP="00E53B29" w14:paraId="50EB7960" w14:textId="77777777">
      <w:pPr>
        <w:ind w:firstLine="993"/>
        <w:jc w:val="both"/>
        <w:rPr>
          <w:b/>
        </w:rPr>
      </w:pPr>
      <w:r>
        <w:rPr>
          <w:b/>
        </w:rPr>
        <w:t xml:space="preserve">            PREŞEDINTE,                                                            GREFIER,    </w:t>
      </w:r>
    </w:p>
    <w:p w:rsidR="00E53B29" w:rsidP="00E53B29" w14:paraId="749C4917" w14:textId="06076F7B">
      <w:pPr>
        <w:ind w:firstLine="993"/>
        <w:jc w:val="both"/>
      </w:pPr>
      <w:r>
        <w:rPr>
          <w:b/>
        </w:rPr>
        <w:t xml:space="preserve">                </w:t>
      </w:r>
      <w:r>
        <w:rPr>
          <w:b/>
        </w:rPr>
        <w:t>A0014</w:t>
      </w:r>
    </w:p>
    <w:p w:rsidR="00E53B29" w:rsidP="00E53B29" w14:paraId="2AACE2CE" w14:textId="77777777">
      <w:pPr>
        <w:ind w:firstLine="993"/>
        <w:jc w:val="both"/>
      </w:pPr>
    </w:p>
    <w:p w:rsidR="00E53B29" w:rsidP="00E53B29" w14:paraId="4585BE98" w14:textId="77777777">
      <w:pPr>
        <w:ind w:firstLine="993"/>
        <w:jc w:val="both"/>
      </w:pPr>
    </w:p>
    <w:p w:rsidR="00E53B29" w:rsidP="00E53B29" w14:paraId="36EDAB2E" w14:textId="77777777">
      <w:pPr>
        <w:ind w:firstLine="993"/>
        <w:jc w:val="both"/>
      </w:pPr>
    </w:p>
    <w:p w:rsidR="00E53B29" w:rsidP="00E53B29" w14:paraId="56CCD502" w14:textId="77777777">
      <w:pPr>
        <w:ind w:firstLine="993"/>
        <w:jc w:val="both"/>
      </w:pPr>
    </w:p>
    <w:p w:rsidR="00E53B29" w:rsidP="00E53B29" w14:paraId="0B148AA4" w14:textId="77777777">
      <w:pPr>
        <w:ind w:firstLine="993"/>
        <w:jc w:val="both"/>
      </w:pPr>
    </w:p>
    <w:p w:rsidR="00E53B29" w:rsidP="00E53B29" w14:paraId="2E17720C" w14:textId="1E235879">
      <w:pPr>
        <w:ind w:firstLine="993"/>
        <w:jc w:val="both"/>
        <w:rPr>
          <w:sz w:val="16"/>
        </w:rPr>
      </w:pPr>
      <w:r>
        <w:rPr>
          <w:sz w:val="16"/>
        </w:rPr>
        <w:t xml:space="preserve">Red. </w:t>
      </w:r>
      <w:r>
        <w:rPr>
          <w:sz w:val="16"/>
        </w:rPr>
        <w:t>A0014</w:t>
      </w:r>
    </w:p>
    <w:p w:rsidR="00E53B29" w:rsidP="00E53B29" w14:paraId="547F003D" w14:textId="77777777">
      <w:pPr>
        <w:ind w:firstLine="993"/>
        <w:jc w:val="both"/>
        <w:rPr>
          <w:sz w:val="16"/>
        </w:rPr>
      </w:pPr>
      <w:r>
        <w:rPr>
          <w:sz w:val="16"/>
        </w:rPr>
        <w:t>Tehnored</w:t>
      </w:r>
      <w:r>
        <w:rPr>
          <w:sz w:val="16"/>
        </w:rPr>
        <w:t>. ...</w:t>
      </w:r>
    </w:p>
    <w:p w:rsidR="00E53B29" w:rsidP="00E53B29" w14:paraId="273901BF" w14:textId="77777777">
      <w:pPr>
        <w:ind w:firstLine="993"/>
        <w:jc w:val="both"/>
        <w:rPr>
          <w:sz w:val="16"/>
        </w:rPr>
      </w:pPr>
      <w:r>
        <w:rPr>
          <w:sz w:val="16"/>
        </w:rPr>
        <w:t xml:space="preserve">Expl. 4/2 </w:t>
      </w:r>
      <w:r>
        <w:rPr>
          <w:sz w:val="16"/>
        </w:rPr>
        <w:t>com</w:t>
      </w:r>
      <w:r>
        <w:rPr>
          <w:sz w:val="16"/>
        </w:rPr>
        <w:t>.</w:t>
      </w:r>
    </w:p>
    <w:p w:rsidRPr="00E53B29" w:rsidR="00CB05A0" w:rsidP="00E53B29" w14:paraId="172E26B3" w14:textId="3AA6DC69">
      <w:pPr>
        <w:rPr>
          <w:rStyle w:val="Fontdeparagrafimplicit"/>
        </w:rPr>
      </w:pPr>
    </w:p>
    <w:sectPr>
      <w:footerReference w:type="default" r:id="rId4"/>
      <w:pgSz w:w="11906" w:h="16838"/>
      <w:pgMar w:top="567" w:right="85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B05A0" w14:paraId="3812326C" w14:textId="77777777">
    <w:pPr>
      <w:pStyle w:val="Subsol"/>
      <w:jc w:val="center"/>
    </w:pPr>
    <w:r>
      <w:fldChar w:fldCharType="begin"/>
    </w:r>
    <w:r>
      <w:instrText>PAGE   \* MERGEFORMAT</w:instrText>
    </w:r>
    <w:r>
      <w:fldChar w:fldCharType="separate"/>
    </w:r>
    <w:r>
      <w:t>#</w:t>
    </w:r>
    <w:r>
      <w:fldChar w:fldCharType="end"/>
    </w:r>
  </w:p>
  <w:p w:rsidR="00CB05A0" w14:paraId="2D252C2E" w14:textId="77777777">
    <w:pPr>
      <w:pStyle w:val="Subsol"/>
    </w:pPr>
  </w:p>
  <w:p w:rsidR="00CB05A0" w14:paraId="061CBD7A" w14:textId="7777777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A0"/>
    <w:rsid w:val="00CB05A0"/>
    <w:rsid w:val="00E53B29"/>
    <w:rsid w:val="00EC6589"/>
  </w:rsids>
  <w:docVars>
    <w:docVar w:name="url" w:val="http://10.1.48.53:80/ecris_cdms/document_upload.aspx?id_document=200000004814616&amp;id_departament=54&amp;id_sesiune=5367678&amp;id_user=712&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F782633"/>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paragraph" w:customStyle="1" w:styleId="Style9">
    <w:name w:val="Style9"/>
    <w:basedOn w:val="Normal"/>
    <w:pPr>
      <w:widowControl w:val="0"/>
      <w:spacing w:line="370" w:lineRule="exact"/>
      <w:ind w:firstLine="281"/>
      <w:jc w:val="both"/>
    </w:pPr>
  </w:style>
  <w:style w:type="paragraph" w:customStyle="1" w:styleId="TextnBalon">
    <w:name w:val="Text în Balon"/>
    <w:basedOn w:val="Normal"/>
    <w:link w:val="TextnBalonCaracter"/>
    <w:rPr>
      <w:rFonts w:ascii="Segoe UI" w:hAnsi="Segoe UI"/>
      <w:sz w:val="1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character" w:customStyle="1" w:styleId="FontStyle21">
    <w:name w:val="Font Style21"/>
    <w:rPr>
      <w:rFonts w:ascii="Times New Roman" w:hAnsi="Times New Roman"/>
      <w:sz w:val="26"/>
    </w:rPr>
  </w:style>
  <w:style w:type="character" w:customStyle="1" w:styleId="FontStyle39">
    <w:name w:val="Font Style39"/>
    <w:rPr>
      <w:rFonts w:ascii="Times New Roman" w:hAnsi="Times New Roman"/>
      <w:i/>
      <w:sz w:val="24"/>
    </w:rPr>
  </w:style>
  <w:style w:type="character" w:customStyle="1" w:styleId="slgi">
    <w:name w:val="s_lgi"/>
  </w:style>
  <w:style w:type="character" w:customStyle="1" w:styleId="TextnBalonCaracter">
    <w:name w:val="Text în Balon Caracter"/>
    <w:link w:val="TextnBalon"/>
    <w:rPr>
      <w:rFonts w:ascii="Segoe UI" w:hAnsi="Segoe UI"/>
      <w:sz w:val="18"/>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ap:TotalTime>
  <ap:Pages>9</ap:Pages>
  <ap:Words>4902</ap:Words>
  <ap:Characters>27944</ap:Characters>
  <ap:Application>Microsoft Office Word</ap:Application>
  <ap:DocSecurity>0</ap:DocSecurity>
  <ap:Lines>232</ap:Lines>
  <ap:Paragraphs>65</ap:Paragraphs>
  <ap:ScaleCrop>false</ap:ScaleCrop>
  <ap:CharactersWithSpaces>32781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2023-11-20T15:52:00.0000000Z</lastPrinted>
  <dc:subject/>
  <dc:description/>
  <keywords/>
  <category/>
  <contentStatus/>
  <dc:identifier/>
  <dc:language/>
  <version/>
</coreProperties>
</file>