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A42349" w14:paraId="7C5537CA" w14:textId="77777777">
      <w:pPr>
        <w:jc w:val="both"/>
      </w:pPr>
    </w:p>
    <w:p w:rsidR="00A42349" w14:paraId="6C4A4B60" w14:textId="2CE8BD1C">
      <w:pPr>
        <w:jc w:val="both"/>
      </w:pPr>
      <w:r>
        <w:t xml:space="preserve"> </w:t>
      </w:r>
    </w:p>
    <w:p w:rsidR="00A42349" w14:paraId="793A908A" w14:textId="2299866B">
      <w:pPr>
        <w:jc w:val="both"/>
        <w:rPr>
          <w:rStyle w:val="Fontdeparagrafimplicit"/>
          <w:b/>
        </w:rPr>
      </w:pPr>
      <w:bookmarkStart w:name="_Hlk236744647" w:id="0"/>
      <w:r>
        <w:rPr>
          <w:rStyle w:val="Fontdeparagrafimplicit"/>
          <w:b/>
        </w:rPr>
        <w:t xml:space="preserve">Dosar nr. </w:t>
      </w:r>
      <w:r w:rsidR="0082057B">
        <w:rPr>
          <w:rStyle w:val="Fontdeparagrafimplicit"/>
          <w:b/>
        </w:rPr>
        <w:t xml:space="preserve">1/2017 </w:t>
      </w:r>
    </w:p>
    <w:bookmarkEnd w:id="0"/>
    <w:p w:rsidR="00A42349" w14:paraId="56C80946" w14:textId="2E8D30C6">
      <w:pPr>
        <w:jc w:val="both"/>
      </w:pPr>
      <w:r>
        <w:t xml:space="preserve"> </w:t>
      </w:r>
    </w:p>
    <w:p w:rsidR="00A42349" w14:paraId="5318A81B" w14:textId="77777777">
      <w:pPr>
        <w:keepNext/>
        <w:jc w:val="both"/>
        <w:outlineLvl w:val="2"/>
      </w:pPr>
    </w:p>
    <w:p w:rsidR="00A42349" w14:paraId="73F6004D" w14:textId="77777777">
      <w:pPr>
        <w:keepNext/>
        <w:jc w:val="both"/>
        <w:outlineLvl w:val="2"/>
      </w:pPr>
    </w:p>
    <w:p w:rsidR="00A42349" w14:paraId="3F768AC6" w14:textId="77777777">
      <w:pPr>
        <w:keepNext/>
        <w:jc w:val="center"/>
        <w:outlineLvl w:val="2"/>
        <w:rPr>
          <w:rStyle w:val="Fontdeparagrafimplicit"/>
          <w:b/>
        </w:rPr>
      </w:pPr>
      <w:r>
        <w:rPr>
          <w:rStyle w:val="Fontdeparagrafimplicit"/>
          <w:b/>
        </w:rPr>
        <w:t>ROMÂNIA</w:t>
      </w:r>
    </w:p>
    <w:p w:rsidR="00A42349" w14:paraId="41B6B10F" w14:textId="62BC5734">
      <w:pPr>
        <w:jc w:val="center"/>
      </w:pPr>
      <w:r>
        <w:t xml:space="preserve">CURTEA DE APEL </w:t>
      </w:r>
      <w:r w:rsidR="0082057B">
        <w:t xml:space="preserve">               </w:t>
      </w:r>
    </w:p>
    <w:p w:rsidR="00A42349" w14:paraId="18B37234" w14:textId="7D1425E1">
      <w:pPr>
        <w:jc w:val="center"/>
      </w:pPr>
      <w:r>
        <w:t xml:space="preserve">SECŢIA </w:t>
      </w:r>
      <w:r w:rsidR="0082057B">
        <w:t xml:space="preserve"> </w:t>
      </w:r>
    </w:p>
    <w:p w:rsidR="00A42349" w14:paraId="373101FE" w14:textId="124DAC1C">
      <w:pPr>
        <w:jc w:val="center"/>
        <w:rPr>
          <w:rStyle w:val="Fontdeparagrafimplicit"/>
          <w:b/>
        </w:rPr>
      </w:pPr>
      <w:bookmarkStart w:name="_Hlk236744666" w:id="1"/>
      <w:r>
        <w:rPr>
          <w:rStyle w:val="Fontdeparagrafimplicit"/>
          <w:b/>
        </w:rPr>
        <w:t xml:space="preserve">DECIZIA </w:t>
      </w:r>
      <w:r w:rsidR="003F440F">
        <w:rPr>
          <w:rStyle w:val="Fontdeparagrafimplicit"/>
          <w:b/>
        </w:rPr>
        <w:t xml:space="preserve"> </w:t>
      </w:r>
      <w:r>
        <w:rPr>
          <w:rStyle w:val="Fontdeparagrafimplicit"/>
          <w:b/>
        </w:rPr>
        <w:t xml:space="preserve"> nr. </w:t>
      </w:r>
      <w:r w:rsidR="0082057B">
        <w:rPr>
          <w:rStyle w:val="Fontdeparagrafimplicit"/>
          <w:b/>
        </w:rPr>
        <w:t>16</w:t>
      </w:r>
    </w:p>
    <w:bookmarkEnd w:id="1"/>
    <w:p w:rsidR="00A42349" w14:paraId="6E264397" w14:textId="15DAC0E4">
      <w:pPr>
        <w:jc w:val="center"/>
      </w:pPr>
      <w:r>
        <w:t xml:space="preserve">Şedinţa publică din data de </w:t>
      </w:r>
      <w:r w:rsidR="0082057B">
        <w:t xml:space="preserve"> </w:t>
      </w:r>
    </w:p>
    <w:p w:rsidR="00A42349" w14:paraId="4CFBDB49" w14:textId="77777777">
      <w:pPr>
        <w:jc w:val="center"/>
      </w:pPr>
      <w:r>
        <w:rPr>
          <w:rStyle w:val="Fontdeparagrafimplicit"/>
          <w:b/>
        </w:rPr>
        <w:t>Curtea</w:t>
      </w:r>
      <w:r>
        <w:t xml:space="preserve"> constituită din:</w:t>
      </w:r>
    </w:p>
    <w:p w:rsidR="00A42349" w14:paraId="75185ADB" w14:textId="6E6D942A">
      <w:pPr>
        <w:jc w:val="center"/>
      </w:pPr>
      <w:r>
        <w:t xml:space="preserve">PREŞEDINTE: </w:t>
      </w:r>
      <w:r w:rsidR="0082057B">
        <w:t>A0002</w:t>
      </w:r>
    </w:p>
    <w:p w:rsidR="00A42349" w14:paraId="42626D82" w14:textId="54C0D157">
      <w:pPr>
        <w:jc w:val="center"/>
      </w:pPr>
      <w:r>
        <w:t xml:space="preserve">JUDECĂTOR: </w:t>
      </w:r>
      <w:r w:rsidR="0082057B">
        <w:t xml:space="preserve"> </w:t>
      </w:r>
    </w:p>
    <w:p w:rsidR="00A42349" w14:paraId="550FE812" w14:textId="20D9EC3A">
      <w:pPr>
        <w:jc w:val="center"/>
      </w:pPr>
      <w:r>
        <w:t xml:space="preserve">GREFIER: </w:t>
      </w:r>
      <w:r w:rsidR="0082057B">
        <w:t xml:space="preserve"> </w:t>
      </w:r>
    </w:p>
    <w:p w:rsidR="00A42349" w14:paraId="5E46DE31" w14:textId="77777777">
      <w:pPr>
        <w:pBdr>
          <w:bottom w:val="single" w:color="auto" w:sz="6" w:space="0"/>
        </w:pBdr>
        <w:ind w:right="-832"/>
        <w:jc w:val="center"/>
        <w:rPr>
          <w:rStyle w:val="Fontdeparagrafimplicit"/>
          <w:color w:val="000000"/>
        </w:rPr>
      </w:pPr>
    </w:p>
    <w:p w:rsidR="00A42349" w14:paraId="5FC6EDF8" w14:textId="77777777">
      <w:pPr>
        <w:ind w:right="-832" w:firstLine="709"/>
        <w:jc w:val="both"/>
        <w:rPr>
          <w:rStyle w:val="Fontdeparagrafimplicit"/>
        </w:rPr>
      </w:pPr>
    </w:p>
    <w:p w:rsidR="00A42349" w14:paraId="6DA419B5" w14:textId="60E1AEDB">
      <w:pPr>
        <w:ind w:right="-7" w:firstLine="858"/>
        <w:jc w:val="both"/>
      </w:pPr>
      <w:r>
        <w:rPr>
          <w:rStyle w:val="Fontdeparagrafimplicit"/>
          <w:b/>
        </w:rPr>
        <w:t>MINISTERUL PUBLIC</w:t>
      </w:r>
      <w:r>
        <w:t xml:space="preserve"> - Parchetul de pe lângă Curtea de Apel </w:t>
      </w:r>
      <w:r w:rsidR="0082057B">
        <w:t xml:space="preserve">               </w:t>
      </w:r>
      <w:r>
        <w:t xml:space="preserve"> a fost reprezentat prin</w:t>
      </w:r>
      <w:r>
        <w:rPr>
          <w:rStyle w:val="Fontdeparagrafimplicit"/>
          <w:b/>
        </w:rPr>
        <w:t xml:space="preserve"> </w:t>
      </w:r>
      <w:r>
        <w:t xml:space="preserve">procuror </w:t>
      </w:r>
      <w:r w:rsidR="0082057B">
        <w:t xml:space="preserve"> </w:t>
      </w:r>
      <w:r>
        <w:t xml:space="preserve">. </w:t>
      </w:r>
    </w:p>
    <w:p w:rsidR="00A42349" w14:paraId="4B7B340F" w14:textId="77777777">
      <w:pPr>
        <w:ind w:right="-7" w:firstLine="858"/>
        <w:jc w:val="both"/>
        <w:rPr>
          <w:rStyle w:val="Fontdeparagrafimplicit"/>
          <w:b/>
        </w:rPr>
      </w:pPr>
    </w:p>
    <w:p w:rsidR="00A42349" w14:paraId="5088EE4D" w14:textId="3D260223">
      <w:pPr>
        <w:ind w:right="-7" w:firstLine="858"/>
        <w:jc w:val="both"/>
      </w:pPr>
      <w:r>
        <w:t xml:space="preserve">Pe rol se află judecarea </w:t>
      </w:r>
      <w:r>
        <w:rPr>
          <w:rStyle w:val="Fontdeparagrafimplicit"/>
          <w:b/>
        </w:rPr>
        <w:t>apelului</w:t>
      </w:r>
      <w:r>
        <w:t xml:space="preserve"> formulat de către</w:t>
      </w:r>
      <w:r>
        <w:rPr>
          <w:rStyle w:val="Fontdeparagrafimplicit"/>
          <w:i/>
        </w:rPr>
        <w:t xml:space="preserve"> condamnatul </w:t>
      </w:r>
      <w:r w:rsidR="0082057B">
        <w:rPr>
          <w:rStyle w:val="Fontdeparagrafimplicit"/>
          <w:b/>
        </w:rPr>
        <w:t xml:space="preserve">2 </w:t>
      </w:r>
      <w:r>
        <w:rPr>
          <w:rStyle w:val="Fontdeparagrafimplicit"/>
          <w:b/>
        </w:rPr>
        <w:t xml:space="preserve"> </w:t>
      </w:r>
      <w:r>
        <w:t xml:space="preserve">împotriva sentinţei penale nr. </w:t>
      </w:r>
      <w:r w:rsidR="0082057B">
        <w:t xml:space="preserve">3/2017 </w:t>
      </w:r>
      <w:r>
        <w:t xml:space="preserve"> pronunţată de Tribunalul </w:t>
      </w:r>
      <w:r w:rsidR="0082057B">
        <w:t xml:space="preserve">               </w:t>
      </w:r>
      <w:r>
        <w:t xml:space="preserve"> - Secţia </w:t>
      </w:r>
      <w:r w:rsidR="0082057B">
        <w:t xml:space="preserve"> </w:t>
      </w:r>
      <w:r>
        <w:t xml:space="preserve"> în dosarul nr. </w:t>
      </w:r>
      <w:r w:rsidR="0082057B">
        <w:t xml:space="preserve">1/2017 </w:t>
      </w:r>
      <w:r>
        <w:t>.</w:t>
      </w:r>
    </w:p>
    <w:p w:rsidR="00A42349" w14:paraId="302AEB6C" w14:textId="4C1B973B">
      <w:pPr>
        <w:ind w:right="-7" w:firstLine="858"/>
        <w:jc w:val="both"/>
        <w:rPr>
          <w:rStyle w:val="Fontdeparagrafimplicit"/>
          <w:b/>
        </w:rPr>
      </w:pPr>
      <w:r>
        <w:t>La apelul nominal făcut în şedinţă publică a lipsit apelantul-condamnat</w:t>
      </w:r>
      <w:r>
        <w:rPr>
          <w:rStyle w:val="Fontdeparagrafimplicit"/>
          <w:i/>
        </w:rPr>
        <w:t xml:space="preserve"> </w:t>
      </w:r>
      <w:r w:rsidR="0082057B">
        <w:rPr>
          <w:rStyle w:val="Fontdeparagrafimplicit"/>
          <w:b/>
        </w:rPr>
        <w:t xml:space="preserve">2 </w:t>
      </w:r>
      <w:r>
        <w:t xml:space="preserve">, pentru care a răspuns apărător desemnat din oficiu, avocat </w:t>
      </w:r>
      <w:r w:rsidR="0082057B">
        <w:t xml:space="preserve"> </w:t>
      </w:r>
      <w:r>
        <w:t xml:space="preserve">, în baza delegaţiei pentru asistenţă judiciară obligatorie nr. </w:t>
      </w:r>
      <w:r w:rsidR="0082057B">
        <w:t xml:space="preserve"> </w:t>
      </w:r>
      <w:r>
        <w:t>, aflată la fila 19 din dosarul cauzei.</w:t>
      </w:r>
    </w:p>
    <w:p w:rsidR="00A42349" w14:paraId="799653D7" w14:textId="77777777">
      <w:pPr>
        <w:ind w:right="-7" w:firstLine="858"/>
        <w:jc w:val="both"/>
      </w:pPr>
      <w:r>
        <w:t>Procedura de citare este legal îndeplinită.</w:t>
      </w:r>
    </w:p>
    <w:p w:rsidR="00A42349" w14:paraId="171B557F" w14:textId="7F88B96E">
      <w:pPr>
        <w:ind w:right="-7" w:firstLine="858"/>
        <w:jc w:val="both"/>
      </w:pPr>
      <w:r>
        <w:t xml:space="preserve">S-a făcut referatul cauzei de către grefierul de şedinţă, care învederează că a fost depusă la dosarul cauzei de către Penitenciarul </w:t>
      </w:r>
      <w:r w:rsidR="0082057B">
        <w:t xml:space="preserve">               </w:t>
      </w:r>
      <w:r>
        <w:t xml:space="preserve"> – </w:t>
      </w:r>
      <w:r w:rsidR="003F440F">
        <w:t xml:space="preserve">              </w:t>
      </w:r>
      <w:r>
        <w:t xml:space="preserve"> o cerere de judecare a cauzei în lipsă formulată de către apelantul-condamnat </w:t>
      </w:r>
      <w:r w:rsidR="0082057B">
        <w:t xml:space="preserve">2 </w:t>
      </w:r>
      <w:r>
        <w:t xml:space="preserve"> în temeiul disp. art. 364 alin. 4 Cod procedură penală. </w:t>
      </w:r>
    </w:p>
    <w:p w:rsidR="00A42349" w14:paraId="0EAB9C51" w14:textId="77777777">
      <w:pPr>
        <w:ind w:right="-7" w:firstLine="858"/>
        <w:jc w:val="both"/>
        <w:rPr>
          <w:rStyle w:val="Fontdeparagrafimplicit"/>
          <w:b/>
        </w:rPr>
      </w:pPr>
      <w:r>
        <w:rPr>
          <w:rStyle w:val="Fontdeparagrafimplicit"/>
          <w:b/>
        </w:rPr>
        <w:t xml:space="preserve">Nemaifiind alte cereri prealabile de formulat, excepţii de invocat ori probe de administrat, în baza art. 420 alin. 6 Cod procedură penală, Curtea acordă cuvântul în dezbateri asupra apelului. </w:t>
      </w:r>
    </w:p>
    <w:p w:rsidR="00A42349" w14:paraId="68988539" w14:textId="130CF3F4">
      <w:pPr>
        <w:ind w:right="-7" w:firstLine="858"/>
        <w:jc w:val="both"/>
      </w:pPr>
      <w:r>
        <w:rPr>
          <w:rStyle w:val="Fontdeparagrafimplicit"/>
          <w:b/>
        </w:rPr>
        <w:t xml:space="preserve">Apărătorul desemnat din oficiu al apelantului-condamnat </w:t>
      </w:r>
      <w:r w:rsidR="0082057B">
        <w:rPr>
          <w:rStyle w:val="Fontdeparagrafimplicit"/>
          <w:b/>
        </w:rPr>
        <w:t xml:space="preserve">2 </w:t>
      </w:r>
      <w:r>
        <w:rPr>
          <w:rStyle w:val="Fontdeparagrafimplicit"/>
          <w:b/>
        </w:rPr>
        <w:t xml:space="preserve">, </w:t>
      </w:r>
      <w:r>
        <w:t xml:space="preserve">având cuvântul, menţionează că apelul declarat de condamnat este unul formal, având în vedere faptul că nu sunt întrunite condiţiile privind admisibilitatea în principiu. </w:t>
      </w:r>
    </w:p>
    <w:p w:rsidR="00A42349" w14:paraId="3E3BC595" w14:textId="77777777">
      <w:pPr>
        <w:ind w:right="-7" w:firstLine="858"/>
        <w:jc w:val="both"/>
      </w:pPr>
      <w:r>
        <w:t>Apreciază că cererea persoanei condamnate nu îndeplineşte condiţiile de admisibilitate, având în vedere că procedura a fost legal îndeplinită, putându-se observa conform filei 16 din vol. 6 că procedura a fost îndeplinită.</w:t>
      </w:r>
    </w:p>
    <w:p w:rsidR="00A42349" w14:paraId="1617B1DC" w14:textId="77777777">
      <w:pPr>
        <w:ind w:right="-7" w:firstLine="858"/>
        <w:jc w:val="both"/>
      </w:pPr>
      <w:r>
        <w:t xml:space="preserve">Mai mult decât atât, documentul de la fila 16 din vol. 6 atestă faptul că tatăl inculpatului a fost anunţat cu privire la situaţia procesuală a acestuia, aducându-i-se la cunoştinţă modalitatea prin care acesta trebuie să-şi îndeplinească sarcinile şi obligaţiile pe care le are faţă de instanţă. </w:t>
      </w:r>
    </w:p>
    <w:p w:rsidR="00A42349" w14:paraId="260EF866" w14:textId="77777777">
      <w:pPr>
        <w:ind w:right="-7" w:firstLine="858"/>
        <w:jc w:val="both"/>
      </w:pPr>
      <w:r>
        <w:t xml:space="preserve">Faţă de aceste considerente, lasă la aprecierea Curţii soluţia ce se va pronunţa. </w:t>
      </w:r>
    </w:p>
    <w:p w:rsidR="00A42349" w14:paraId="275C32BA" w14:textId="1D86F0BD">
      <w:pPr>
        <w:ind w:right="-7" w:firstLine="858"/>
        <w:jc w:val="both"/>
      </w:pPr>
      <w:r>
        <w:rPr>
          <w:rStyle w:val="Fontdeparagrafimplicit"/>
          <w:b/>
        </w:rPr>
        <w:t>Reprezentantul Ministerului Public</w:t>
      </w:r>
      <w:r>
        <w:t xml:space="preserve">, având cuvântul, solicită respingerea apelului ca nefondat, având în vedere că cererea de redeschidere a procesului penal formulată de petentul-condamnat </w:t>
      </w:r>
      <w:r w:rsidR="0082057B">
        <w:t xml:space="preserve">2 </w:t>
      </w:r>
      <w:r>
        <w:t xml:space="preserve"> este inadmisibilă, instanţa de fond analizând motivele invocate de către petent. </w:t>
      </w:r>
    </w:p>
    <w:p w:rsidR="00A42349" w14:paraId="1712E2F6" w14:textId="77777777">
      <w:pPr>
        <w:ind w:right="-7" w:firstLine="858"/>
        <w:jc w:val="both"/>
      </w:pPr>
      <w:r>
        <w:t xml:space="preserve">De asemenea, precizează că  astfel cum rezultă şi dintr-o fişă Ecris ataşată la dosarul cauzei, acesta a mai formulat şi alte cereri de redeschidere a procesului penal, invocând aceleaşi motive, sens în care, apreciază cererea formulată ca fiind inadmisibilă. </w:t>
      </w:r>
    </w:p>
    <w:p w:rsidR="00A42349" w14:paraId="4A99C598" w14:textId="5C28D864">
      <w:pPr>
        <w:ind w:right="-7" w:firstLine="858"/>
        <w:jc w:val="both"/>
      </w:pPr>
      <w:r>
        <w:t xml:space="preserve">Depune la dosarul cauzei sentinţa penală nr. </w:t>
      </w:r>
      <w:r w:rsidR="0082057B">
        <w:t xml:space="preserve">4/2016 </w:t>
      </w:r>
      <w:r>
        <w:t xml:space="preserve"> pronunţată în dosarul nr. </w:t>
      </w:r>
      <w:r w:rsidR="0082057B">
        <w:t xml:space="preserve">   </w:t>
      </w:r>
      <w:r>
        <w:t xml:space="preserve"> al Tribunalului </w:t>
      </w:r>
      <w:r w:rsidR="0082057B">
        <w:t xml:space="preserve">               </w:t>
      </w:r>
      <w:r>
        <w:t xml:space="preserve"> – Secţia </w:t>
      </w:r>
      <w:r w:rsidR="0082057B">
        <w:t xml:space="preserve"> </w:t>
      </w:r>
      <w:r>
        <w:t xml:space="preserve"> şi sentinţa penală nr. </w:t>
      </w:r>
      <w:r w:rsidR="0082057B">
        <w:t xml:space="preserve">5/2016 </w:t>
      </w:r>
      <w:r>
        <w:t xml:space="preserve"> din data de </w:t>
      </w:r>
      <w:r w:rsidR="0082057B">
        <w:t xml:space="preserve"> </w:t>
      </w:r>
      <w:r>
        <w:t xml:space="preserve">.2016 pronunţată în dosarul nr. </w:t>
      </w:r>
      <w:r w:rsidR="0082057B">
        <w:t xml:space="preserve"> </w:t>
      </w:r>
      <w:r>
        <w:t xml:space="preserve"> al Tribunalului </w:t>
      </w:r>
      <w:r w:rsidR="0082057B">
        <w:t xml:space="preserve">               </w:t>
      </w:r>
      <w:r>
        <w:t xml:space="preserve"> – Secţia </w:t>
      </w:r>
      <w:r w:rsidR="0082057B">
        <w:t xml:space="preserve"> </w:t>
      </w:r>
      <w:r>
        <w:t xml:space="preserve">. </w:t>
      </w:r>
    </w:p>
    <w:p w:rsidR="00A42349" w14:paraId="083E23FA" w14:textId="6DC0713B">
      <w:pPr>
        <w:ind w:right="-7" w:firstLine="858"/>
        <w:jc w:val="both"/>
        <w:rPr>
          <w:rStyle w:val="Fontdeparagrafimplicit"/>
          <w:b/>
        </w:rPr>
      </w:pPr>
      <w:r>
        <w:t xml:space="preserve">Faţă de toate aceste considerente, solicită respingerea apelului formulat de petentul-condamnat </w:t>
      </w:r>
      <w:r w:rsidR="0082057B">
        <w:t xml:space="preserve">2 </w:t>
      </w:r>
      <w:r>
        <w:t xml:space="preserve">. </w:t>
      </w:r>
    </w:p>
    <w:p w:rsidR="00A42349" w14:paraId="52F6D36F" w14:textId="77777777">
      <w:pPr>
        <w:ind w:right="-7" w:firstLine="858"/>
        <w:jc w:val="both"/>
        <w:rPr>
          <w:rStyle w:val="Fontdeparagrafimplicit"/>
          <w:b/>
        </w:rPr>
      </w:pPr>
    </w:p>
    <w:p w:rsidR="00A42349" w14:paraId="621A2A34" w14:textId="77777777">
      <w:pPr>
        <w:ind w:right="-711"/>
        <w:jc w:val="center"/>
        <w:rPr>
          <w:rStyle w:val="Fontdeparagrafimplicit"/>
          <w:b/>
        </w:rPr>
      </w:pPr>
      <w:r>
        <w:rPr>
          <w:rStyle w:val="Fontdeparagrafimplicit"/>
          <w:b/>
        </w:rPr>
        <w:t>CURTEA,</w:t>
      </w:r>
    </w:p>
    <w:p w:rsidR="00A42349" w14:paraId="20D207C6" w14:textId="77777777">
      <w:pPr>
        <w:jc w:val="both"/>
        <w:rPr>
          <w:rStyle w:val="Fontdeparagrafimplicit"/>
        </w:rPr>
      </w:pPr>
    </w:p>
    <w:p w:rsidR="00A42349" w14:paraId="34810C93" w14:textId="77777777">
      <w:pPr>
        <w:ind w:firstLine="858"/>
        <w:jc w:val="both"/>
      </w:pPr>
      <w:r>
        <w:t>Deliberând asupra apelului penal de faţă, din actele şi lucrările dosarului, constată şi reţine următoarele:</w:t>
      </w:r>
    </w:p>
    <w:p w:rsidR="00A42349" w14:paraId="55CC2E7B" w14:textId="6FA68400">
      <w:pPr>
        <w:ind w:firstLine="858"/>
        <w:jc w:val="both"/>
      </w:pPr>
      <w:r>
        <w:rPr>
          <w:rStyle w:val="Fontdeparagrafimplicit"/>
          <w:b/>
        </w:rPr>
        <w:t xml:space="preserve">Prin sentinţa penală nr. </w:t>
      </w:r>
      <w:r w:rsidR="0082057B">
        <w:rPr>
          <w:rStyle w:val="Fontdeparagrafimplicit"/>
          <w:b/>
        </w:rPr>
        <w:t>3/2017</w:t>
      </w:r>
      <w:r>
        <w:t xml:space="preserve">, pronunţată de Tribunalul </w:t>
      </w:r>
      <w:r w:rsidR="0082057B">
        <w:t xml:space="preserve">               </w:t>
      </w:r>
      <w:r>
        <w:t xml:space="preserve"> - Secţia </w:t>
      </w:r>
      <w:r w:rsidR="003F440F">
        <w:t xml:space="preserve"> </w:t>
      </w:r>
      <w:r>
        <w:t xml:space="preserve">, în baza art. 466 alin. 2 coroborat cu art. 469 Cod procedură penală, a fost respinsă - ca inadmisibilă - cererea de redeschidere a procesului penal formulată de petentul condamnat </w:t>
      </w:r>
      <w:r w:rsidR="0082057B">
        <w:t xml:space="preserve">2 </w:t>
      </w:r>
      <w:r>
        <w:t>.</w:t>
      </w:r>
    </w:p>
    <w:p w:rsidR="00A42349" w14:paraId="151FFEAD" w14:textId="1C4C715C">
      <w:pPr>
        <w:ind w:firstLine="858"/>
        <w:jc w:val="both"/>
      </w:pPr>
      <w:r>
        <w:t xml:space="preserve">Pentru a pronunţa această sentinţă, prima instanţă a reţinut că, prin cererea sa, condamnatul </w:t>
      </w:r>
      <w:r w:rsidR="0082057B">
        <w:t xml:space="preserve">2 </w:t>
      </w:r>
      <w:r>
        <w:t xml:space="preserve"> a solicitat rejudecarea cauzei în care a fost condamnat, deoarece a fost judecat şi condamnat în lipsă.</w:t>
      </w:r>
    </w:p>
    <w:p w:rsidR="00A42349" w14:paraId="0779EC19" w14:textId="7E18A076">
      <w:pPr>
        <w:ind w:firstLine="900"/>
        <w:jc w:val="both"/>
      </w:pPr>
      <w:r>
        <w:t xml:space="preserve">Însă, din analiza actelor şi lucrărilor dosarului, prima instanţă a constatat că există elemente/acte procedurale din care rezultă cu evidenţă că petentul condamnat a cunoscut existenţa dosarului penal, iar plecarea sa în </w:t>
      </w:r>
      <w:r w:rsidR="0082057B">
        <w:t xml:space="preserve">S </w:t>
      </w:r>
      <w:r>
        <w:t xml:space="preserve"> este posibil să se fi datorat şi acestui aspect.</w:t>
      </w:r>
    </w:p>
    <w:p w:rsidR="00A42349" w14:paraId="6B6325DD" w14:textId="77777777">
      <w:pPr>
        <w:ind w:firstLine="900"/>
        <w:jc w:val="both"/>
      </w:pPr>
      <w:r>
        <w:t>În acest sens s-a arătat că la dosarul cauzei se află procesul-verbal de îndeplinire a procedurii de citare, încheiat în data de 06.09.2011 – fila 13 d.u.p., Vol.VI, în care se face menţiunea agentului că destinatarul acestei proceduri a primit „semnând în faţa noastră”, iar la rubrica „semnătura primitorului actului” se află semnătura petentului (contestată de petent, dar fără să precizeze că urmează calea legală pentru a soluţiona o astfel de verificare).</w:t>
      </w:r>
    </w:p>
    <w:p w:rsidR="00A42349" w14:paraId="55B0849F" w14:textId="2DD99526">
      <w:pPr>
        <w:ind w:firstLine="900"/>
        <w:jc w:val="both"/>
      </w:pPr>
      <w:r>
        <w:t xml:space="preserve">Mai mult decât atât, în acelaşi dosar de urmărire penală există la fila 92 declaraţia numitei </w:t>
      </w:r>
      <w:r w:rsidR="0082057B">
        <w:t xml:space="preserve">       </w:t>
      </w:r>
      <w:r>
        <w:t xml:space="preserve"> din care rezultă că petentul condamnat s-a ocupat, în perioada cât au locuit împreună, cu cazarea unor cetăţeni străini, în număr de 7-8 persoane, aduşi în locuinţa din str. </w:t>
      </w:r>
      <w:r w:rsidR="0082057B">
        <w:t xml:space="preserve"> </w:t>
      </w:r>
      <w:r>
        <w:t xml:space="preserve"> nr.</w:t>
      </w:r>
      <w:r w:rsidR="0082057B">
        <w:t xml:space="preserve"> </w:t>
      </w:r>
      <w:r>
        <w:t xml:space="preserve">, </w:t>
      </w:r>
      <w:r w:rsidR="0082057B">
        <w:t xml:space="preserve">                  </w:t>
      </w:r>
      <w:r>
        <w:t xml:space="preserve"> </w:t>
      </w:r>
      <w:r w:rsidR="0082057B">
        <w:t xml:space="preserve">               </w:t>
      </w:r>
      <w:r>
        <w:t>, persoane ce au fost instruite de petentul condamnat să nu iasă din casă decât seara după lăsarea întunericului. A precizat totodată martora că asemenea situaţii s-au repetat la intervale regulate de timp.</w:t>
      </w:r>
    </w:p>
    <w:p w:rsidR="00A42349" w14:paraId="6FDCB2FB" w14:textId="0837E801">
      <w:pPr>
        <w:ind w:firstLine="900"/>
        <w:jc w:val="both"/>
      </w:pPr>
      <w:r>
        <w:t xml:space="preserve">S-a arătat că, important de menţionat este că în cuprinsul declaraţiei date de martora </w:t>
      </w:r>
      <w:r w:rsidR="0082057B">
        <w:t xml:space="preserve">                  </w:t>
      </w:r>
      <w:r>
        <w:t xml:space="preserve">, a precizat că, atât ea, cât şi fostul său concubin au fost citaţi de mai multe ori de ofiţeri ai poliţiei judiciare, însă petentul condamnat i-a interzis să se prezinte în faţa organelor de anchetă, deoarece declaraţia sa i-ar putea aduce o eventuală pedeapsă penală, având în vedere antecedentele sale. </w:t>
      </w:r>
    </w:p>
    <w:p w:rsidR="00A42349" w14:paraId="00CB449E" w14:textId="15505186">
      <w:pPr>
        <w:ind w:firstLine="900"/>
        <w:jc w:val="both"/>
      </w:pPr>
      <w:r>
        <w:t xml:space="preserve">A mai arătat prima instanţă că, nu mai puţin important este faptul că pe întreg parcursul procesului penal, petentul a fost citat la adresa din str. </w:t>
      </w:r>
      <w:r w:rsidR="0082057B">
        <w:t xml:space="preserve"> </w:t>
      </w:r>
      <w:r>
        <w:t xml:space="preserve"> nr.</w:t>
      </w:r>
      <w:r w:rsidR="0082057B">
        <w:t xml:space="preserve"> </w:t>
      </w:r>
      <w:r>
        <w:t xml:space="preserve"> </w:t>
      </w:r>
      <w:r w:rsidR="0082057B">
        <w:t xml:space="preserve">                  </w:t>
      </w:r>
      <w:r>
        <w:t xml:space="preserve"> </w:t>
      </w:r>
      <w:r w:rsidR="0082057B">
        <w:t xml:space="preserve">               </w:t>
      </w:r>
      <w:r>
        <w:t xml:space="preserve"> - adresa confirmată de petent ca fiind imobilul în care a locuit cu concubina sa prin afişare la uşa instanţei, prin mandat de aducere şi s-au făcut verificări în cadrul IGP.</w:t>
      </w:r>
    </w:p>
    <w:p w:rsidR="00A42349" w14:paraId="11141793" w14:textId="77777777">
      <w:pPr>
        <w:ind w:firstLine="900"/>
        <w:jc w:val="both"/>
      </w:pPr>
      <w:r>
        <w:t>Faţă de toate aceste împrejurări, s-a concluzionat că nu sunt îndeplinite condiţiile cumulative prevăzute de legiuitor, cu privire la judecarea în lipsă a unei persoane condamnate de o instanţa română, în cadrul etapei prealabile prev. de art.468 Cod procedură penală.</w:t>
      </w:r>
    </w:p>
    <w:p w:rsidR="00A42349" w14:paraId="4AD92264" w14:textId="4B0A9938">
      <w:pPr>
        <w:ind w:firstLine="884"/>
        <w:jc w:val="both"/>
      </w:pPr>
      <w:r>
        <w:rPr>
          <w:rStyle w:val="Fontdeparagrafimplicit"/>
          <w:b/>
        </w:rPr>
        <w:t>Împotriva acestei sentinţe</w:t>
      </w:r>
      <w:r>
        <w:t xml:space="preserve">, în termen legal (la  .2017, data comunicării), a declarat apel condamnatul </w:t>
      </w:r>
      <w:r w:rsidR="0082057B">
        <w:t xml:space="preserve">2 </w:t>
      </w:r>
      <w:r>
        <w:t>, fără să arate în scris motivele pe care se întemeiază prezenta cale de atac.</w:t>
      </w:r>
    </w:p>
    <w:p w:rsidR="00A42349" w14:paraId="07094051" w14:textId="77777777">
      <w:pPr>
        <w:ind w:firstLine="884"/>
        <w:jc w:val="both"/>
      </w:pPr>
      <w:r>
        <w:t>Deşi legal citat, apelantul condamnat nu a înţeles să se prezinte la termenul de judecată acordat pentru soluţionarea prezentei cauze.</w:t>
      </w:r>
    </w:p>
    <w:p w:rsidR="00A42349" w14:paraId="08F52777" w14:textId="77777777">
      <w:pPr>
        <w:ind w:right="-7" w:firstLine="858"/>
        <w:jc w:val="both"/>
      </w:pPr>
      <w:r>
        <w:t xml:space="preserve">Cu ocazia dezbaterilor orale, apărătorul desemnat de Curte din oficiu pentru apelantul condamnat a menţionat că apelul declarat este unul formal, având în vedere că nu sunt întrunite condiţiile privind admisibilitatea în principiu, arătând că faţă de aceste împrejurări, lasă la aprecierea Curţii soluţia ce se va pronunţa. </w:t>
      </w:r>
    </w:p>
    <w:p w:rsidR="00A42349" w14:paraId="3FF7B102" w14:textId="77777777">
      <w:pPr>
        <w:ind w:firstLine="884"/>
        <w:jc w:val="both"/>
        <w:rPr>
          <w:rStyle w:val="Fontdeparagrafimplicit"/>
          <w:b/>
        </w:rPr>
      </w:pPr>
    </w:p>
    <w:p w:rsidR="00A42349" w14:paraId="1C4E7D15" w14:textId="77777777">
      <w:pPr>
        <w:ind w:firstLine="884"/>
        <w:jc w:val="both"/>
        <w:rPr>
          <w:rStyle w:val="Fontdeparagrafimplicit"/>
          <w:b/>
        </w:rPr>
      </w:pPr>
      <w:r>
        <w:rPr>
          <w:rStyle w:val="Fontdeparagrafimplicit"/>
          <w:b/>
        </w:rPr>
        <w:t>Examinând sentinţa penală apelată prin prisma motivelor invocate, a dispoziţiilor legale incidente, precum şi din oficiu, Curtea constată că apelul declarat este nefondat, pentru următoarele argumente:</w:t>
      </w:r>
    </w:p>
    <w:p w:rsidR="00A42349" w14:paraId="0A2162ED" w14:textId="77777777">
      <w:pPr>
        <w:ind w:firstLine="884"/>
        <w:jc w:val="both"/>
        <w:rPr>
          <w:rStyle w:val="Fontdeparagrafimplicit"/>
          <w:color w:val="000000"/>
        </w:rPr>
      </w:pPr>
      <w:r>
        <w:rPr>
          <w:rStyle w:val="Fontdeparagrafimplicit"/>
          <w:color w:val="000000"/>
        </w:rPr>
        <w:t xml:space="preserve">Într-adevăr, persoana condamnată care a fost judecată în lipsă are dreptul la redeschiderea procesului penal (cf. procedurii de la art. 466 şi urm. C.p.p.), numai că redeschiderea nu operează </w:t>
      </w:r>
      <w:r>
        <w:rPr>
          <w:rStyle w:val="Fontdeparagrafimplicit"/>
          <w:color w:val="000000"/>
        </w:rPr>
        <w:t xml:space="preserve">automat, ci instanţa trebuie să verifice care este cauza contumaciei. Un aspect important în cauza de faţă constă în aceea că lipsa condamnatului nu trebuie să fie imputabilă acestuia. </w:t>
      </w:r>
    </w:p>
    <w:p w:rsidR="00A42349" w14:paraId="3DDCDED6" w14:textId="77777777">
      <w:pPr>
        <w:ind w:firstLine="884"/>
        <w:jc w:val="both"/>
        <w:rPr>
          <w:rStyle w:val="Fontdeparagrafimplicit"/>
          <w:color w:val="000000"/>
        </w:rPr>
      </w:pPr>
      <w:r>
        <w:rPr>
          <w:rStyle w:val="Fontdeparagrafimplicit"/>
          <w:color w:val="000000"/>
        </w:rPr>
        <w:t>Soluţia decurge logic şi din faptul că procedura prev. de la art. 466 şi urm. C.p.p. are drept scop îndreptarea eventualelor abuzuri sau erori judiciare săvârşite de stat prin încălcarea drepturilor şi garanţiilor procesuale ale inculpaţilor. Cu toate acestea, în măsura în care cel condamnat este singurul răspunzător pentru lipsa lui, atunci normele de drept invocate încetează a-l mai proteja.</w:t>
      </w:r>
    </w:p>
    <w:p w:rsidR="00A42349" w14:paraId="5D5D8F2F" w14:textId="77777777">
      <w:pPr>
        <w:ind w:firstLine="884"/>
        <w:jc w:val="both"/>
        <w:rPr>
          <w:rStyle w:val="Fontdeparagrafimplicit"/>
          <w:color w:val="000000"/>
        </w:rPr>
      </w:pPr>
      <w:r>
        <w:rPr>
          <w:rStyle w:val="Fontdeparagrafimplicit"/>
          <w:color w:val="000000"/>
        </w:rPr>
        <w:t>Or, în prezenta cauză, se observă că persoana condamnată avea cunoştinţă despre proces, neprezentarea fiindu-i imputabilă.</w:t>
      </w:r>
    </w:p>
    <w:p w:rsidR="00A42349" w14:paraId="694AD6F0" w14:textId="77777777">
      <w:pPr>
        <w:ind w:right="-33" w:firstLine="900"/>
        <w:jc w:val="both"/>
        <w:rPr>
          <w:rStyle w:val="Fontdeparagrafimplicit"/>
          <w:color w:val="000000"/>
        </w:rPr>
      </w:pPr>
      <w:r>
        <w:t xml:space="preserve">Prima instanţă, în mod corect, a constatat că </w:t>
      </w:r>
      <w:r>
        <w:rPr>
          <w:rStyle w:val="Fontdeparagrafimplicit"/>
          <w:color w:val="000000"/>
        </w:rPr>
        <w:t xml:space="preserve">petentul-condamnat nu a fost judecat în lipsă, fiindu-i respectat dreptul la un proces echitabil prevăzut de art. 6 din Convenţia Europeană a Drepturilor Omului cu toate garanţiile inclusiv dreptul de a compărea în faţa instanţei pentru a se apăra. </w:t>
      </w:r>
    </w:p>
    <w:p w:rsidR="00A42349" w14:paraId="77249F5C" w14:textId="77777777">
      <w:pPr>
        <w:ind w:right="-33" w:firstLine="900"/>
        <w:jc w:val="both"/>
        <w:rPr>
          <w:rStyle w:val="Fontdeparagrafimplicit"/>
          <w:color w:val="000000"/>
        </w:rPr>
      </w:pPr>
      <w:r>
        <w:rPr>
          <w:rStyle w:val="Fontdeparagrafimplicit"/>
          <w:color w:val="000000"/>
        </w:rPr>
        <w:t>Faptul că petentul susţine că nu a avut cunoştinţă despre procesul ce îl privea nu este o situaţie care să justifice reluarea judecaţii în cauza penală, în condiţiile în care acesta a avut cunoştinţă de procesul penal în urma căruia a fost condamnat la pedeapsa cu închisoarea.</w:t>
      </w:r>
    </w:p>
    <w:p w:rsidR="00A42349" w14:paraId="53027505" w14:textId="0DE5B977">
      <w:pPr>
        <w:ind w:right="-33" w:firstLine="832"/>
        <w:jc w:val="both"/>
      </w:pPr>
      <w:r>
        <w:t xml:space="preserve">În atare condiţii, nu se poate afirma că </w:t>
      </w:r>
      <w:r w:rsidR="0082057B">
        <w:t xml:space="preserve">2 </w:t>
      </w:r>
      <w:r>
        <w:t xml:space="preserve"> nu a fost citat la proces, aceasta fiind condiţia care îi permite să solicite redeschiderea cauzei. Condamnatul a fost citat la adresele pe care le-a comunicat şi nu s-a conformat propriilor obligaţii de a anunţa orice schimbare de domiciliu, cunoscând că împotriva sa se formulează o acuzaţie penală.</w:t>
      </w:r>
    </w:p>
    <w:p w:rsidR="00A42349" w14:paraId="20503089" w14:textId="77777777">
      <w:pPr>
        <w:ind w:firstLine="900"/>
        <w:jc w:val="both"/>
      </w:pPr>
      <w:r>
        <w:t>În acest sens, Curtea are în vedere procesul-verbal de îndeplinire a procedurii de citare, încheiat în data de 06.09.2011 – fila 13 d.u.p., Vol.VI, în care se face menţiunea agentului că destinatarul acestei proceduri a primit „semnând în faţa noastră”, iar la rubrica „semnătura primitorului actului” se află semnătura petentului (contestată de petent, dar fără a preciza că urmează calea legală pentru a soluţiona o astfel de verificare).</w:t>
      </w:r>
    </w:p>
    <w:p w:rsidR="00A42349" w14:paraId="3F62CAF1" w14:textId="77777777">
      <w:pPr>
        <w:ind w:right="-33" w:firstLine="832"/>
        <w:jc w:val="both"/>
        <w:rPr>
          <w:rStyle w:val="Fontdeparagrafimplicit"/>
          <w:color w:val="000000"/>
        </w:rPr>
      </w:pPr>
      <w:r>
        <w:rPr>
          <w:rStyle w:val="Fontdeparagrafimplicit"/>
          <w:color w:val="000000"/>
        </w:rPr>
        <w:t>Simpla susţinere a condamnatului că nu a avut cunoştinţă de proces nu reprezintă un motiv care să justifice alegerea sa de a nu mai participa în continuare la procedurile penale şi nici o scuză pentru dezinteresul manifestat în legătură cu acestea, ştiind că este declanşat un proces penal, de soluţionarea căruia a înţeles să nu se intereseze.</w:t>
      </w:r>
    </w:p>
    <w:p w:rsidR="00A42349" w14:paraId="4C104ADA" w14:textId="598B0E9C">
      <w:pPr>
        <w:ind w:right="-7" w:firstLine="858"/>
        <w:jc w:val="both"/>
      </w:pPr>
      <w:r>
        <w:t xml:space="preserve">De altfel, din verificările efectuate în sistemul informatizat, Curtea constată că petentul condamnat a mai formulat astfel de cereri, invocând aceleaşi motive, acestea fiind soluţionate prin sentinţele penale nr. </w:t>
      </w:r>
      <w:r w:rsidR="0082057B">
        <w:t xml:space="preserve">4/2016 </w:t>
      </w:r>
      <w:r>
        <w:t xml:space="preserve"> (dosar nr.  ) şi nr. </w:t>
      </w:r>
      <w:r w:rsidR="0082057B">
        <w:t xml:space="preserve">5/2016 </w:t>
      </w:r>
      <w:r>
        <w:t xml:space="preserve">/ .2016 (dosar nr.  ), ambele pronunţate de Tribunalul </w:t>
      </w:r>
      <w:r w:rsidR="0082057B">
        <w:t xml:space="preserve">               </w:t>
      </w:r>
      <w:r>
        <w:t xml:space="preserve"> – Secţia  , sens în care, cu certitudine, şi cererea dedusă judecăţii a apare ca fiind inadmisibilă. </w:t>
      </w:r>
    </w:p>
    <w:p w:rsidR="00A42349" w14:paraId="28147C17" w14:textId="77777777">
      <w:pPr>
        <w:ind w:right="-33" w:firstLine="832"/>
        <w:jc w:val="both"/>
        <w:rPr>
          <w:rStyle w:val="Fontdeparagrafimplicit"/>
          <w:color w:val="000000"/>
        </w:rPr>
      </w:pPr>
      <w:r>
        <w:rPr>
          <w:rStyle w:val="Fontdeparagrafimplicit"/>
          <w:color w:val="000000"/>
        </w:rPr>
        <w:t>Din actele dosarului, rezultă, în mod evident, că petentul avea cunoştinţă că s-a declanşat instrucţia penală, nefiind incidente, deci, dispoziţiile referitoare la redeschiderea procesului penal, în acest sens fiind valorificată şi declaraţia fostei concubine care a arătat că în nenumărate rânduri inculpatul i-a interzis să se prezinte la organele de urmărire penală, tocmai pentru a nu atrage asupra sa rigorile legii penale în contextul antecedentelor sale penale.</w:t>
      </w:r>
    </w:p>
    <w:p w:rsidR="00A42349" w14:paraId="34E9519A" w14:textId="77777777">
      <w:pPr>
        <w:ind w:right="-33" w:firstLine="832"/>
        <w:jc w:val="both"/>
      </w:pPr>
      <w:r>
        <w:t xml:space="preserve">Faţă de aceste considerente de fapt şi de drept, în temeiul disp. art. 421 alin. 1 pct. 1 lit. b C. proc. pen., va respinge apelul formulat de apelantul condamnat ca nefondat. </w:t>
      </w:r>
    </w:p>
    <w:p w:rsidR="00A42349" w14:paraId="75EC5337" w14:textId="77777777">
      <w:pPr>
        <w:ind w:firstLine="858"/>
        <w:jc w:val="both"/>
      </w:pPr>
      <w:r>
        <w:t>În temeiul disp. art. 275 alin. 2 C. proc. pen. va obliga apelantul  la plata către stat a cheltuielilor judiciare în cuantum de 400 lei, onorariul apărătorului din oficiu în cuantum de 260 lei urmând a fi avansat din fondurile Ministerului Justiţiei.</w:t>
      </w:r>
    </w:p>
    <w:p w:rsidR="00A42349" w14:paraId="06414FC2" w14:textId="77777777">
      <w:pPr>
        <w:ind w:firstLine="900"/>
        <w:jc w:val="both"/>
      </w:pPr>
    </w:p>
    <w:p w:rsidR="00A42349" w14:paraId="129D72D0" w14:textId="77777777">
      <w:pPr>
        <w:ind w:hanging="26"/>
        <w:jc w:val="center"/>
        <w:rPr>
          <w:rStyle w:val="Fontdeparagrafimplicit"/>
          <w:b/>
        </w:rPr>
      </w:pPr>
      <w:r>
        <w:rPr>
          <w:rStyle w:val="Fontdeparagrafimplicit"/>
          <w:b/>
        </w:rPr>
        <w:t>PENTRU ACESTE MOTIVE,</w:t>
      </w:r>
    </w:p>
    <w:p w:rsidR="00A42349" w14:paraId="3D4A44EB" w14:textId="77777777">
      <w:pPr>
        <w:pStyle w:val="Style1"/>
        <w:widowControl/>
        <w:tabs>
          <w:tab w:val="right" w:pos="8342"/>
        </w:tabs>
        <w:spacing w:line="240" w:lineRule="auto"/>
        <w:ind w:hanging="26"/>
        <w:jc w:val="center"/>
        <w:rPr>
          <w:rStyle w:val="FontStyle11"/>
          <w:b/>
        </w:rPr>
      </w:pPr>
      <w:r>
        <w:rPr>
          <w:rStyle w:val="FontStyle11"/>
          <w:b/>
        </w:rPr>
        <w:t>ÎN NUMELE LEGII,</w:t>
      </w:r>
    </w:p>
    <w:p w:rsidR="00A42349" w14:paraId="6542BD6A" w14:textId="77777777">
      <w:pPr>
        <w:pStyle w:val="Style1"/>
        <w:widowControl/>
        <w:tabs>
          <w:tab w:val="right" w:pos="8342"/>
        </w:tabs>
        <w:spacing w:line="240" w:lineRule="auto"/>
        <w:ind w:hanging="26"/>
        <w:jc w:val="center"/>
        <w:rPr>
          <w:rStyle w:val="FontStyle11"/>
          <w:b/>
        </w:rPr>
      </w:pPr>
      <w:r>
        <w:rPr>
          <w:rStyle w:val="FontStyle11"/>
          <w:b/>
        </w:rPr>
        <w:t>DECIDE:</w:t>
      </w:r>
    </w:p>
    <w:p w:rsidR="00A42349" w14:paraId="4C6987BD" w14:textId="77777777">
      <w:pPr>
        <w:ind w:hanging="26"/>
        <w:jc w:val="both"/>
        <w:rPr>
          <w:rStyle w:val="FontStyle11"/>
        </w:rPr>
      </w:pPr>
    </w:p>
    <w:p w:rsidR="00A42349" w14:paraId="07893DA6" w14:textId="2F050BEC">
      <w:pPr>
        <w:ind w:firstLine="858"/>
        <w:jc w:val="both"/>
      </w:pPr>
      <w:r>
        <w:t xml:space="preserve">În baza art. 421 pct. 1 lit. b C.p.p. respinge ca nefondat apelul declarat de petentul-condamnat </w:t>
      </w:r>
      <w:r w:rsidR="0082057B">
        <w:t xml:space="preserve">2 </w:t>
      </w:r>
      <w:r>
        <w:t xml:space="preserve"> împotriva sentinţei penale nr. </w:t>
      </w:r>
      <w:r w:rsidR="0082057B">
        <w:t xml:space="preserve">3/2017 </w:t>
      </w:r>
      <w:r>
        <w:t xml:space="preserve"> pronunţată de Tribunalul </w:t>
      </w:r>
      <w:r w:rsidR="0082057B">
        <w:t xml:space="preserve">               </w:t>
      </w:r>
      <w:r>
        <w:t xml:space="preserve">-Secţia      în dosarul nr. </w:t>
      </w:r>
      <w:r w:rsidR="0082057B">
        <w:t xml:space="preserve">1/2017 </w:t>
      </w:r>
      <w:r>
        <w:t>.</w:t>
      </w:r>
    </w:p>
    <w:p w:rsidR="00A42349" w14:paraId="370EB091" w14:textId="77777777">
      <w:pPr>
        <w:ind w:firstLine="858"/>
        <w:jc w:val="both"/>
      </w:pPr>
      <w:r>
        <w:t>În baza art. 275 alin. 2 C.p.p. obligă apelantul la plata sumei de 400 lei, cheltuieli judiciare avansate de stat .</w:t>
      </w:r>
    </w:p>
    <w:p w:rsidR="00A42349" w14:paraId="49988B68" w14:textId="77777777">
      <w:pPr>
        <w:ind w:firstLine="858"/>
        <w:jc w:val="both"/>
      </w:pPr>
      <w:r>
        <w:t>Onorariul avocatului din oficiu, în cuantum de 260 lei, se va avansa din fondurile Ministerului Justiţiei.</w:t>
      </w:r>
    </w:p>
    <w:p w:rsidR="00A42349" w14:paraId="7C2901B9" w14:textId="77777777">
      <w:pPr>
        <w:ind w:firstLine="858"/>
        <w:jc w:val="both"/>
      </w:pPr>
      <w:r>
        <w:t>Definitivă.</w:t>
      </w:r>
    </w:p>
    <w:p w:rsidR="00A42349" w14:paraId="4C341A74" w14:textId="7A1117A9">
      <w:pPr>
        <w:ind w:firstLine="858"/>
        <w:jc w:val="both"/>
      </w:pPr>
      <w:r>
        <w:t>Pronunţată în şedinţă publică azi,  .</w:t>
      </w:r>
    </w:p>
    <w:p w:rsidR="00A42349" w14:paraId="05E7C4E9" w14:textId="77777777">
      <w:pPr>
        <w:ind w:firstLine="858"/>
        <w:jc w:val="both"/>
      </w:pPr>
      <w:r>
        <w:t>PREŞEDINTE,                                     JUDECĂTOR,</w:t>
      </w:r>
    </w:p>
    <w:p w:rsidR="00A42349" w14:paraId="2779E049" w14:textId="09F9578F">
      <w:pPr>
        <w:jc w:val="both"/>
      </w:pPr>
      <w:r>
        <w:t xml:space="preserve">A0002                 </w:t>
      </w:r>
    </w:p>
    <w:p w:rsidR="00A42349" w14:paraId="099E087F" w14:textId="77777777">
      <w:pPr>
        <w:jc w:val="both"/>
      </w:pPr>
    </w:p>
    <w:p w:rsidR="00A42349" w14:paraId="0EB8978D" w14:textId="77777777">
      <w:pPr>
        <w:jc w:val="both"/>
      </w:pPr>
    </w:p>
    <w:p w:rsidR="00A42349" w14:paraId="5A9AC487" w14:textId="77777777">
      <w:pPr>
        <w:jc w:val="both"/>
      </w:pPr>
    </w:p>
    <w:p w:rsidR="00A42349" w14:paraId="7E7253BE" w14:textId="77777777">
      <w:pPr>
        <w:jc w:val="both"/>
      </w:pPr>
    </w:p>
    <w:p w:rsidR="00A42349" w14:paraId="0303A506" w14:textId="77777777">
      <w:pPr>
        <w:jc w:val="both"/>
      </w:pPr>
      <w:r>
        <w:t xml:space="preserve">                                                                                                                 GREFIER,</w:t>
      </w:r>
    </w:p>
    <w:p w:rsidR="00A42349" w14:paraId="3DDE9A8A" w14:textId="5D888F51">
      <w:pPr>
        <w:jc w:val="both"/>
      </w:pPr>
      <w:r>
        <w:t xml:space="preserve">                                                                                                     </w:t>
      </w:r>
    </w:p>
    <w:p w:rsidR="00A42349" w14:paraId="1FDB854A" w14:textId="77777777">
      <w:pPr>
        <w:jc w:val="both"/>
      </w:pPr>
    </w:p>
    <w:p w:rsidR="00A42349" w14:paraId="43953A9B" w14:textId="77777777">
      <w:pPr>
        <w:jc w:val="both"/>
      </w:pPr>
    </w:p>
    <w:p w:rsidR="00A42349" w14:paraId="4EF6142A" w14:textId="77777777">
      <w:pPr>
        <w:jc w:val="both"/>
      </w:pPr>
    </w:p>
    <w:p w:rsidR="00A42349" w14:paraId="51707084" w14:textId="30CB0DF9">
      <w:pPr>
        <w:jc w:val="both"/>
        <w:rPr>
          <w:rStyle w:val="Fontdeparagrafimplicit"/>
          <w:sz w:val="20"/>
        </w:rPr>
      </w:pPr>
      <w:r>
        <w:rPr>
          <w:rStyle w:val="Fontdeparagrafimplicit"/>
          <w:sz w:val="20"/>
        </w:rPr>
        <w:t>red.A0002</w:t>
      </w:r>
    </w:p>
    <w:p w:rsidR="00A42349" w14:paraId="619948F3" w14:textId="559A1A10">
      <w:pPr>
        <w:jc w:val="both"/>
        <w:rPr>
          <w:rStyle w:val="Fontdeparagrafimplicit"/>
          <w:sz w:val="20"/>
        </w:rPr>
      </w:pPr>
      <w:r>
        <w:rPr>
          <w:rStyle w:val="Fontdeparagrafimplicit"/>
          <w:sz w:val="20"/>
        </w:rPr>
        <w:t xml:space="preserve">dact. </w:t>
      </w:r>
    </w:p>
    <w:p w:rsidR="00A42349" w14:paraId="509079AD" w14:textId="77777777">
      <w:pPr>
        <w:pBdr>
          <w:bottom w:val="single" w:color="auto" w:sz="6" w:space="0"/>
        </w:pBdr>
        <w:jc w:val="both"/>
        <w:rPr>
          <w:rStyle w:val="Fontdeparagrafimplicit"/>
          <w:sz w:val="20"/>
        </w:rPr>
      </w:pPr>
      <w:r>
        <w:rPr>
          <w:rStyle w:val="Fontdeparagrafimplicit"/>
          <w:sz w:val="20"/>
        </w:rPr>
        <w:t>ex.4</w:t>
      </w:r>
    </w:p>
    <w:p w:rsidR="00A42349" w14:paraId="6F3674A3" w14:textId="2CBDF3BC">
      <w:pPr>
        <w:jc w:val="both"/>
        <w:rPr>
          <w:rStyle w:val="Fontdeparagrafimplicit"/>
        </w:rPr>
      </w:pPr>
      <w:r>
        <w:rPr>
          <w:rStyle w:val="Fontdeparagrafimplicit"/>
          <w:sz w:val="20"/>
        </w:rPr>
        <w:t xml:space="preserve">red. -. .- </w:t>
      </w:r>
    </w:p>
    <w:sectPr>
      <w:footerReference w:type="even" r:id="rId4"/>
      <w:footerReference w:type="default" r:id="rId5"/>
      <w:pgSz w:w="11906" w:h="16838"/>
      <w:pgMar w:top="1134" w:right="567" w:bottom="1134" w:left="1701"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42349" w14:paraId="1555A38E"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A42349" w14:paraId="11703117" w14:textId="77777777">
    <w:pPr>
      <w:pStyle w:val="Subsol"/>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42349" w14:paraId="6C3E4ADB"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A42349" w14:paraId="2CCAA347" w14:textId="77777777">
    <w:pPr>
      <w:pStyle w:val="Subsol"/>
      <w:jc w:val="center"/>
      <w:rPr>
        <w:rStyle w:val="Numrdepagin"/>
      </w:rPr>
    </w:pPr>
  </w:p>
  <w:p w:rsidR="00A42349" w14:paraId="74E6AE09" w14:textId="77777777">
    <w:pPr>
      <w:pStyle w:val="Subsol"/>
      <w:rPr>
        <w:rStyle w:val="Numrdepagi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349"/>
    <w:rsid w:val="001C47C1"/>
    <w:rsid w:val="003F440F"/>
    <w:rsid w:val="003F5213"/>
    <w:rsid w:val="00521E76"/>
    <w:rsid w:val="006641CA"/>
    <w:rsid w:val="0082057B"/>
    <w:rsid w:val="00A42349"/>
    <w:rsid w:val="00E43215"/>
    <w:rsid w:val="00E83257"/>
  </w:rsids>
  <w:docVars>
    <w:docVar w:name="url" w:val="http://10.1.48.53:80/ecris_cdms/document_upload.aspx?id_document=200000002572245&amp;id_departament=2&amp;id_sesiune=2189241&amp;id_user=601&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0DDDC06B"/>
  <w15:docId w15:val="{D941D1F0-E6CE-4702-B9ED-654971303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Antet">
    <w:name w:val="Antet"/>
    <w:basedOn w:val="Normal"/>
    <w:link w:val="CaracterCaracter1"/>
    <w:pPr>
      <w:tabs>
        <w:tab w:val="center" w:pos="4680"/>
        <w:tab w:val="right" w:pos="9360"/>
      </w:tabs>
    </w:pPr>
  </w:style>
  <w:style w:type="paragraph" w:customStyle="1" w:styleId="Subsol">
    <w:name w:val="Subsol"/>
    <w:basedOn w:val="Normal"/>
    <w:link w:val="CaracterCaracter"/>
    <w:pPr>
      <w:tabs>
        <w:tab w:val="center" w:pos="4680"/>
        <w:tab w:val="right" w:pos="9360"/>
      </w:tabs>
    </w:pPr>
  </w:style>
  <w:style w:type="paragraph" w:customStyle="1" w:styleId="Style1">
    <w:name w:val="Style1"/>
    <w:basedOn w:val="Normal"/>
    <w:pPr>
      <w:widowControl w:val="0"/>
      <w:spacing w:line="331" w:lineRule="exact"/>
      <w:jc w:val="both"/>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CaracterCaracter1">
    <w:name w:val="Caracter Caracter1"/>
    <w:link w:val="Antet"/>
  </w:style>
  <w:style w:type="character" w:customStyle="1" w:styleId="CaracterCaracter">
    <w:name w:val="Caracter Caracter"/>
    <w:link w:val="Subsol"/>
  </w:style>
  <w:style w:type="character" w:customStyle="1" w:styleId="FontStyle11">
    <w:name w:val="Font Style11"/>
    <w:rPr>
      <w:rFonts w:ascii="Times New Roman" w:hAnsi="Times New Roman"/>
      <w:sz w:val="24"/>
    </w:rPr>
  </w:style>
  <w:style w:type="character" w:customStyle="1" w:styleId="Numrdepagin">
    <w:name w:val="Număr de pagină"/>
    <w:basedOn w:val="Fontdeparagraf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13</ap:TotalTime>
  <ap:Pages>1</ap:Pages>
  <ap:Words>1722</ap:Words>
  <ap:Characters>9818</ap:Characters>
  <ap:Application>Microsoft Office Word</ap:Application>
  <ap:DocSecurity>0</ap:DocSecurity>
  <ap:Lines>81</ap:Lines>
  <ap:Paragraphs>23</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11517</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