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CDB33" w14:textId="280C2AD7" w:rsidR="000B0532" w:rsidRDefault="0076305C">
      <w:r>
        <w:t>Cod ECLI    ECLI:RO:CA......</w:t>
      </w:r>
    </w:p>
    <w:p w14:paraId="0E520069" w14:textId="6F62C122" w:rsidR="000B0532" w:rsidRDefault="0076305C">
      <w:pPr>
        <w:rPr>
          <w:rStyle w:val="Fontdeparagrafimplicit1"/>
          <w:b/>
        </w:rPr>
      </w:pPr>
      <w:r>
        <w:rPr>
          <w:rStyle w:val="Fontdeparagrafimplicit1"/>
          <w:b/>
        </w:rPr>
        <w:t>Dosar nr. .....17</w:t>
      </w:r>
    </w:p>
    <w:p w14:paraId="7AE66E32" w14:textId="77777777" w:rsidR="000B0532" w:rsidRDefault="0076305C">
      <w:pPr>
        <w:ind w:right="283"/>
        <w:jc w:val="center"/>
        <w:rPr>
          <w:rStyle w:val="Fontdeparagrafimplicit1"/>
          <w:b/>
        </w:rPr>
      </w:pPr>
      <w:r>
        <w:rPr>
          <w:rStyle w:val="Fontdeparagrafimplicit1"/>
          <w:b/>
        </w:rPr>
        <w:t>R O M Â N I A</w:t>
      </w:r>
    </w:p>
    <w:p w14:paraId="751E5AE3" w14:textId="77777777" w:rsidR="000B0532" w:rsidRDefault="000B0532">
      <w:pPr>
        <w:ind w:right="283"/>
        <w:jc w:val="center"/>
        <w:rPr>
          <w:rStyle w:val="Fontdeparagrafimplicit1"/>
          <w:b/>
        </w:rPr>
      </w:pPr>
    </w:p>
    <w:p w14:paraId="2891B7DE" w14:textId="57E33C68" w:rsidR="000B0532" w:rsidRDefault="0076305C">
      <w:pPr>
        <w:ind w:right="283"/>
        <w:jc w:val="center"/>
        <w:rPr>
          <w:rStyle w:val="Fontdeparagrafimplicit1"/>
          <w:b/>
        </w:rPr>
      </w:pPr>
      <w:r>
        <w:rPr>
          <w:rStyle w:val="Fontdeparagrafimplicit1"/>
          <w:b/>
        </w:rPr>
        <w:t>CURTEA DE APEL X</w:t>
      </w:r>
    </w:p>
    <w:p w14:paraId="79478DCC" w14:textId="05BD11E4" w:rsidR="000B0532" w:rsidRDefault="0076305C">
      <w:pPr>
        <w:ind w:right="283"/>
        <w:jc w:val="center"/>
        <w:rPr>
          <w:rStyle w:val="Fontdeparagrafimplicit1"/>
          <w:b/>
        </w:rPr>
      </w:pPr>
      <w:r>
        <w:rPr>
          <w:rStyle w:val="Fontdeparagrafimplicit1"/>
          <w:b/>
        </w:rPr>
        <w:t>SECŢIA .... CONTENCIOS ADMINISTRATIV ŞI FISCAL</w:t>
      </w:r>
    </w:p>
    <w:p w14:paraId="4917B642" w14:textId="2CFEC6BD" w:rsidR="000B0532" w:rsidRDefault="0076305C">
      <w:pPr>
        <w:keepNext/>
        <w:ind w:right="283"/>
        <w:jc w:val="center"/>
        <w:outlineLvl w:val="1"/>
        <w:rPr>
          <w:rStyle w:val="Fontdeparagrafimplicit1"/>
          <w:rFonts w:ascii="Garamond" w:hAnsi="Garamond"/>
          <w:u w:val="single"/>
          <w:lang w:val="en-US"/>
        </w:rPr>
      </w:pPr>
      <w:r>
        <w:rPr>
          <w:rStyle w:val="Fontdeparagrafimplicit1"/>
          <w:b/>
          <w:u w:val="single"/>
        </w:rPr>
        <w:t>Sentinţa civilă nr. ....</w:t>
      </w:r>
    </w:p>
    <w:p w14:paraId="2DB7D23A" w14:textId="5213C947" w:rsidR="000B0532" w:rsidRDefault="0076305C">
      <w:pPr>
        <w:ind w:right="283"/>
        <w:jc w:val="center"/>
        <w:rPr>
          <w:rStyle w:val="Fontdeparagrafimplicit1"/>
          <w:b/>
        </w:rPr>
      </w:pPr>
      <w:r>
        <w:rPr>
          <w:rStyle w:val="Fontdeparagrafimplicit1"/>
          <w:b/>
        </w:rPr>
        <w:t xml:space="preserve">Ședința publică din data de </w:t>
      </w:r>
      <w:r>
        <w:rPr>
          <w:rStyle w:val="Fontdeparagrafimplicit1"/>
          <w:b/>
          <w:u w:val="single"/>
        </w:rPr>
        <w:t>....</w:t>
      </w:r>
      <w:r>
        <w:rPr>
          <w:rStyle w:val="Fontdeparagrafimplicit1"/>
          <w:b/>
        </w:rPr>
        <w:t xml:space="preserve"> </w:t>
      </w:r>
    </w:p>
    <w:p w14:paraId="0008C328" w14:textId="77777777" w:rsidR="000B0532" w:rsidRDefault="0076305C">
      <w:pPr>
        <w:ind w:right="283"/>
        <w:jc w:val="center"/>
      </w:pPr>
      <w:r>
        <w:t>Curtea constituită din:</w:t>
      </w:r>
    </w:p>
    <w:p w14:paraId="6B337EF7" w14:textId="36C09C37" w:rsidR="000B0532" w:rsidRDefault="0076305C">
      <w:pPr>
        <w:ind w:right="283"/>
        <w:jc w:val="center"/>
        <w:rPr>
          <w:rStyle w:val="Fontdeparagrafimplicit1"/>
          <w:b/>
        </w:rPr>
      </w:pPr>
      <w:r>
        <w:rPr>
          <w:rStyle w:val="Fontdeparagrafimplicit1"/>
          <w:b/>
        </w:rPr>
        <w:t xml:space="preserve">Preşedinte: A0017 </w:t>
      </w:r>
    </w:p>
    <w:p w14:paraId="319AB4BB" w14:textId="3CEFE25E" w:rsidR="000B0532" w:rsidRDefault="0076305C">
      <w:pPr>
        <w:ind w:right="283"/>
        <w:jc w:val="center"/>
        <w:rPr>
          <w:rStyle w:val="Fontdeparagrafimplicit1"/>
          <w:b/>
        </w:rPr>
      </w:pPr>
      <w:r>
        <w:rPr>
          <w:rStyle w:val="Fontdeparagrafimplicit1"/>
          <w:b/>
        </w:rPr>
        <w:t xml:space="preserve">   Grefier:  ....</w:t>
      </w:r>
    </w:p>
    <w:p w14:paraId="171439E3" w14:textId="77777777" w:rsidR="000B0532" w:rsidRDefault="000B0532">
      <w:pPr>
        <w:rPr>
          <w:rStyle w:val="Fontdeparagrafimplicit1"/>
        </w:rPr>
      </w:pPr>
    </w:p>
    <w:p w14:paraId="7DFD65AB" w14:textId="77777777" w:rsidR="000B0532" w:rsidRDefault="000B0532">
      <w:pPr>
        <w:jc w:val="center"/>
        <w:rPr>
          <w:rStyle w:val="Fontdeparagrafimplicit1"/>
        </w:rPr>
      </w:pPr>
    </w:p>
    <w:p w14:paraId="7D3257C4" w14:textId="0BEE68DD" w:rsidR="000B0532" w:rsidRDefault="0076305C">
      <w:pPr>
        <w:ind w:firstLine="708"/>
        <w:jc w:val="both"/>
        <w:rPr>
          <w:rStyle w:val="Fontdeparagrafimplicit1"/>
          <w:i/>
        </w:rPr>
      </w:pPr>
      <w:r>
        <w:t xml:space="preserve">Pe rol se află soluţionarea cererii în contencios administrativ şi fiscal formulate de </w:t>
      </w:r>
      <w:bookmarkStart w:id="0" w:name="_Hlk188887060"/>
      <w:r>
        <w:t xml:space="preserve">reclamantul </w:t>
      </w:r>
      <w:r>
        <w:rPr>
          <w:rStyle w:val="Fontdeparagrafimplicit1"/>
          <w:b/>
        </w:rPr>
        <w:t xml:space="preserve">BA, </w:t>
      </w:r>
      <w:r>
        <w:t xml:space="preserve">în contradictoriu cu pârâtul </w:t>
      </w:r>
      <w:r>
        <w:rPr>
          <w:rStyle w:val="Fontdeparagrafimplicit1"/>
          <w:b/>
        </w:rPr>
        <w:t>INSTITUTUL NAŢIONAL PENTRU CERCETARE ŞI FORMARE CULTURALĂ</w:t>
      </w:r>
      <w:bookmarkEnd w:id="0"/>
      <w:r>
        <w:rPr>
          <w:rStyle w:val="Fontdeparagrafimplicit1"/>
          <w:b/>
        </w:rPr>
        <w:t xml:space="preserve">, </w:t>
      </w:r>
      <w:r>
        <w:t>având ca obiect „</w:t>
      </w:r>
      <w:r>
        <w:rPr>
          <w:rStyle w:val="Fontdeparagrafimplicit1"/>
          <w:i/>
        </w:rPr>
        <w:t>anulare act administrativ”.</w:t>
      </w:r>
    </w:p>
    <w:p w14:paraId="0F5DE3C8" w14:textId="06355FA6" w:rsidR="000B0532" w:rsidRDefault="0076305C">
      <w:pPr>
        <w:ind w:firstLine="709"/>
        <w:jc w:val="both"/>
      </w:pPr>
      <w:r>
        <w:t xml:space="preserve">Dezbaterile au avut loc în şedinţa publică din data de ...2025, fiind consemnate în încheierea de şedinţă de la acea dată, care face parte integrantă din prezenta, când Curtea, având nevoie de timp pentru a delibera, a amânat pronunțarea pentru termenul de azi, când hotărăşte următoarele: </w:t>
      </w:r>
    </w:p>
    <w:p w14:paraId="1FF82096" w14:textId="77777777" w:rsidR="000B0532" w:rsidRDefault="000B0532">
      <w:pPr>
        <w:ind w:firstLine="709"/>
        <w:jc w:val="both"/>
      </w:pPr>
    </w:p>
    <w:p w14:paraId="0D06E56D" w14:textId="77777777" w:rsidR="000B0532" w:rsidRDefault="0076305C">
      <w:pPr>
        <w:jc w:val="center"/>
        <w:rPr>
          <w:rStyle w:val="Fontdeparagrafimplicit1"/>
          <w:b/>
        </w:rPr>
      </w:pPr>
      <w:r>
        <w:rPr>
          <w:rStyle w:val="Fontdeparagrafimplicit1"/>
          <w:b/>
        </w:rPr>
        <w:t xml:space="preserve">CURTEA </w:t>
      </w:r>
    </w:p>
    <w:p w14:paraId="5C9C2C49" w14:textId="77777777" w:rsidR="000B0532" w:rsidRDefault="000B0532">
      <w:pPr>
        <w:jc w:val="both"/>
        <w:rPr>
          <w:rStyle w:val="Fontdeparagrafimplicit1"/>
        </w:rPr>
      </w:pPr>
    </w:p>
    <w:p w14:paraId="6E5BD45E" w14:textId="77777777" w:rsidR="000B0532" w:rsidRDefault="0076305C">
      <w:pPr>
        <w:ind w:firstLine="360"/>
        <w:jc w:val="both"/>
      </w:pPr>
      <w:r>
        <w:t>În urma deliberării, reţine următoarele:</w:t>
      </w:r>
    </w:p>
    <w:p w14:paraId="53EF10E9" w14:textId="77777777" w:rsidR="000B0532" w:rsidRDefault="000B0532">
      <w:pPr>
        <w:jc w:val="both"/>
      </w:pPr>
    </w:p>
    <w:p w14:paraId="156890BD" w14:textId="77777777" w:rsidR="000B0532" w:rsidRDefault="0076305C">
      <w:pPr>
        <w:pStyle w:val="Listparagraf1"/>
        <w:numPr>
          <w:ilvl w:val="0"/>
          <w:numId w:val="1"/>
        </w:numPr>
        <w:spacing w:after="0" w:line="240" w:lineRule="auto"/>
        <w:jc w:val="both"/>
        <w:rPr>
          <w:rStyle w:val="Fontdeparagrafimplicit1"/>
          <w:rFonts w:ascii="Times New Roman" w:hAnsi="Times New Roman"/>
          <w:b/>
          <w:sz w:val="24"/>
        </w:rPr>
      </w:pPr>
      <w:r>
        <w:rPr>
          <w:rStyle w:val="Fontdeparagrafimplicit1"/>
          <w:rFonts w:ascii="Times New Roman" w:hAnsi="Times New Roman"/>
          <w:b/>
          <w:sz w:val="24"/>
        </w:rPr>
        <w:t xml:space="preserve">Cererea de chemare în judecată </w:t>
      </w:r>
    </w:p>
    <w:p w14:paraId="6785712F" w14:textId="77777777" w:rsidR="000B0532" w:rsidRDefault="000B0532">
      <w:pPr>
        <w:ind w:firstLine="360"/>
        <w:jc w:val="both"/>
        <w:rPr>
          <w:rStyle w:val="Fontdeparagrafimplicit1"/>
        </w:rPr>
      </w:pPr>
    </w:p>
    <w:p w14:paraId="0553FFB4" w14:textId="5E2C7772" w:rsidR="000B0532" w:rsidRDefault="0076305C">
      <w:pPr>
        <w:ind w:firstLine="360"/>
        <w:jc w:val="both"/>
      </w:pPr>
      <w:r>
        <w:t>Reclamantul, dl. BA</w:t>
      </w:r>
      <w:r>
        <w:t>, în contradictoriu cu pârâtul Institutul Naţional pentru Cercetare şi Formare Culturală s-a adresat Curţii de Apel X şi a solicitat:</w:t>
      </w:r>
    </w:p>
    <w:p w14:paraId="028557E3" w14:textId="77777777" w:rsidR="000B0532" w:rsidRDefault="0076305C">
      <w:pPr>
        <w:pStyle w:val="Listparagraf1"/>
        <w:numPr>
          <w:ilvl w:val="0"/>
          <w:numId w:val="2"/>
        </w:numPr>
        <w:spacing w:after="0" w:line="259" w:lineRule="auto"/>
        <w:jc w:val="both"/>
        <w:rPr>
          <w:rStyle w:val="Fontdeparagrafimplicit1"/>
          <w:rFonts w:ascii="Times New Roman" w:hAnsi="Times New Roman"/>
          <w:sz w:val="24"/>
        </w:rPr>
      </w:pPr>
      <w:r>
        <w:rPr>
          <w:rStyle w:val="Fontdeparagrafimplicit1"/>
          <w:rFonts w:ascii="Times New Roman" w:hAnsi="Times New Roman"/>
          <w:sz w:val="24"/>
        </w:rPr>
        <w:t>Anularea rezultatului final acordat reclamantului la proba retroversiune din sesiunea de examinare 13-24 martie 2023;</w:t>
      </w:r>
    </w:p>
    <w:p w14:paraId="50895B7B" w14:textId="77777777" w:rsidR="000B0532" w:rsidRDefault="0076305C">
      <w:pPr>
        <w:pStyle w:val="Listparagraf1"/>
        <w:numPr>
          <w:ilvl w:val="0"/>
          <w:numId w:val="2"/>
        </w:numPr>
        <w:spacing w:after="0" w:line="259" w:lineRule="auto"/>
        <w:jc w:val="both"/>
        <w:rPr>
          <w:rStyle w:val="Fontdeparagrafimplicit1"/>
          <w:rFonts w:ascii="Times New Roman" w:hAnsi="Times New Roman"/>
          <w:sz w:val="24"/>
        </w:rPr>
      </w:pPr>
      <w:r>
        <w:rPr>
          <w:rStyle w:val="Fontdeparagrafimplicit1"/>
          <w:rFonts w:ascii="Times New Roman" w:hAnsi="Times New Roman"/>
          <w:sz w:val="24"/>
        </w:rPr>
        <w:t>Obligarea pârâtei la reevaluarea lucrării reclamantului la proba retroversiune din sesiunea de examinare 13-24 martie 2023;</w:t>
      </w:r>
    </w:p>
    <w:p w14:paraId="40876A7B" w14:textId="77777777" w:rsidR="000B0532" w:rsidRDefault="0076305C">
      <w:pPr>
        <w:pStyle w:val="Listparagraf1"/>
        <w:numPr>
          <w:ilvl w:val="0"/>
          <w:numId w:val="2"/>
        </w:numPr>
        <w:spacing w:after="0" w:line="259" w:lineRule="auto"/>
        <w:jc w:val="both"/>
        <w:rPr>
          <w:rStyle w:val="Fontdeparagrafimplicit1"/>
          <w:rFonts w:ascii="Times New Roman" w:hAnsi="Times New Roman"/>
          <w:sz w:val="24"/>
        </w:rPr>
      </w:pPr>
      <w:r>
        <w:rPr>
          <w:rStyle w:val="Fontdeparagrafimplicit1"/>
          <w:rFonts w:ascii="Times New Roman" w:hAnsi="Times New Roman"/>
          <w:sz w:val="24"/>
        </w:rPr>
        <w:t>Obligarea pârâtei la plata cheltuielilor de judecată.</w:t>
      </w:r>
    </w:p>
    <w:p w14:paraId="260CD7A3" w14:textId="77777777" w:rsidR="000B0532" w:rsidRDefault="0076305C">
      <w:pPr>
        <w:spacing w:line="259" w:lineRule="auto"/>
        <w:ind w:firstLine="709"/>
        <w:jc w:val="both"/>
      </w:pPr>
      <w:r>
        <w:t>În motivarea cererii, reclamantul a arătat că este avocat din anul 2009 şi asigură preponderent clienților vorbitori de limbă rusă servicii de asistenţă juridică, activitatea sa fiind recunoscută sub aspectul profesionalismului, inclusiv în contextul afluxului de refugiaţi din Ucraina. În acest context, reclamantul s-a perfecţionat profesional în mod continuu inclusiv sub aspectul abilităţilor de a traduce din/în limba rusă.</w:t>
      </w:r>
    </w:p>
    <w:p w14:paraId="55B951B8" w14:textId="77777777" w:rsidR="000B0532" w:rsidRDefault="0076305C">
      <w:pPr>
        <w:spacing w:line="259" w:lineRule="auto"/>
        <w:ind w:firstLine="709"/>
        <w:jc w:val="both"/>
      </w:pPr>
      <w:r>
        <w:t>La data de 22.03.2023, reclamantul a susținut examenul pentru traducători, din limba română în limba rusă (retroversiune), în domeniul științelor juridice, la data de 11.05.2023 reclamantul fiind declarat respins cu 6,30 p. Punctajul publicat în urma soluționării contestației sale a fost 5,15 (discrepanță față de punctajul inițial, de 6,30).</w:t>
      </w:r>
    </w:p>
    <w:p w14:paraId="4180E0F3" w14:textId="77777777" w:rsidR="000B0532" w:rsidRDefault="0076305C">
      <w:pPr>
        <w:spacing w:line="259" w:lineRule="auto"/>
        <w:ind w:firstLine="709"/>
        <w:jc w:val="both"/>
      </w:pPr>
      <w:r>
        <w:t>Reclamantul consideră că atât evaluarea inițială a lucrării, cât și evaluarea de comisia de contestație au fost realizate cu exces de putere.</w:t>
      </w:r>
    </w:p>
    <w:p w14:paraId="0842B3B5" w14:textId="77777777" w:rsidR="000B0532" w:rsidRDefault="0076305C">
      <w:pPr>
        <w:spacing w:line="259" w:lineRule="auto"/>
        <w:ind w:firstLine="709"/>
        <w:jc w:val="both"/>
      </w:pPr>
      <w:r>
        <w:t xml:space="preserve">Reclamantul consideră că subiectul avea un grad de dificultate cu mult mai sporit prin raportare la subiectele din anii anteriori (se solicita traducerea în limba rusă a unui text din Codul de procedură fiscală, fiind necesari termeni juridici, precum şi noțiuni din contabilitate </w:t>
      </w:r>
      <w:r>
        <w:lastRenderedPageBreak/>
        <w:t>și economie, în condițiile în care reclamantul a solicitat să fie admis la proba științe juridice, iar nu economice).</w:t>
      </w:r>
    </w:p>
    <w:p w14:paraId="01F4C9AD" w14:textId="77777777" w:rsidR="000B0532" w:rsidRDefault="0076305C">
      <w:pPr>
        <w:spacing w:line="259" w:lineRule="auto"/>
        <w:ind w:firstLine="709"/>
        <w:jc w:val="both"/>
      </w:pPr>
      <w:r>
        <w:t>Subiectele au fost selectate în mod arbitrar, fără a fi enunțat niciun criteriu obiectiv de asigurare a unui grad de dificultate constant pentru toate sesiunile de examinare din toți anii în care examenul a fost desfășurat. Conform art. 11 alin, c) din Regulament, „Membrii comisiei de examen prevăzuți la art. 10 alin. (1) lit. a)-c) ... stabilesc subiectele de examen prin tragere la sorți din cadrul subiectelor propuse de evaluatori, întocmind și semnând un proces-verbal în acest sens”. Consideră că lucrare</w:t>
      </w:r>
      <w:r>
        <w:t xml:space="preserve">a sa a fost subevaluată. </w:t>
      </w:r>
    </w:p>
    <w:p w14:paraId="26E997B0" w14:textId="77777777" w:rsidR="000B0532" w:rsidRDefault="0076305C">
      <w:pPr>
        <w:spacing w:line="259" w:lineRule="auto"/>
        <w:ind w:firstLine="709"/>
        <w:jc w:val="both"/>
      </w:pPr>
      <w:r>
        <w:t>Referitor la barem, arată lipsa transparenței în ceea ce privește modalitatea de evaluare și notare, respectiv faptul că nu a fost publicat baremul și acesta nu există, sau are o formă foarte generală, ce nu face nicio referire la subiectele examenului, fiind deficitar, susceptibil de subiectivitate și arbitrariu.</w:t>
      </w:r>
    </w:p>
    <w:p w14:paraId="6A6D0A5D" w14:textId="77777777" w:rsidR="000B0532" w:rsidRDefault="0076305C">
      <w:pPr>
        <w:spacing w:line="259" w:lineRule="auto"/>
        <w:ind w:firstLine="709"/>
        <w:jc w:val="both"/>
      </w:pPr>
      <w:r>
        <w:t xml:space="preserve">În acest sens, evaluarea și notarea lucrărilor s-a realizat cu încălcarea prevederilor exprese ale art. 11 alin, c) din Regulament, conform cărora „Membrii comisiei de examen prevăzuți la art. 10 alin. (1) lit. a)-...n) asigură distribuirea foilor de examen și a ciornelor către candidați, împreună cu subiectele de examen și baremul de evaluare; asigură sigilarea și ștampilarea lucrărilor și răspund de securitatea acestora”. </w:t>
      </w:r>
    </w:p>
    <w:p w14:paraId="743370F1" w14:textId="4656BE26" w:rsidR="000B0532" w:rsidRDefault="0076305C">
      <w:pPr>
        <w:spacing w:line="259" w:lineRule="auto"/>
        <w:ind w:firstLine="709"/>
        <w:jc w:val="both"/>
      </w:pPr>
      <w:r>
        <w:t>Referitor la evaluatori, arată că nu au fost publicate declarațiile de imparțialitate și conformitate a evaluatorilor membri în comisia de examene/comisia de soluționare a contestațiilor. Potrivit documentului „întrebări frecvente examen traducători”, publicat pe site-ul Institutului Național pentru Cercetare și Formare Culturală (</w:t>
      </w:r>
      <w:hyperlink r:id="rId7" w:history="1">
        <w:r w:rsidR="000B0532">
          <w:rPr>
            <w:rStyle w:val="Fontdeparagrafimplicit1"/>
            <w:color w:val="0563C1"/>
            <w:u w:val="single"/>
          </w:rPr>
          <w:t>https://www.culturadata.ro/wp-content/uploads/2021/08/FAO_ExamenTraducatori.pdf</w:t>
        </w:r>
      </w:hyperlink>
      <w:r>
        <w:t>).  la p. 3 se specifică faptul că pot avea calitatea de evaluatori inclusiv alți traducători autorizați. Or, în condițiile în care numărul traducătorilor autorizați pentru limba rusă în X este foarte mic, este foarte probabil ca membrii comisiei să fie chiar traducători la care reclamantul apelează în mod constant, fiind vădit interesul acestora de a propune subiecte cu grad nerezonabil de dificultate și de a acorda note care să nu asigure promovarea noilor candidați.</w:t>
      </w:r>
    </w:p>
    <w:p w14:paraId="7480C19D" w14:textId="77777777" w:rsidR="000B0532" w:rsidRDefault="000B0532">
      <w:pPr>
        <w:spacing w:line="259" w:lineRule="auto"/>
        <w:ind w:firstLine="709"/>
        <w:jc w:val="both"/>
      </w:pPr>
    </w:p>
    <w:p w14:paraId="0A908BD0" w14:textId="77777777" w:rsidR="000B0532" w:rsidRDefault="0076305C">
      <w:pPr>
        <w:pStyle w:val="Listparagraf1"/>
        <w:numPr>
          <w:ilvl w:val="0"/>
          <w:numId w:val="1"/>
        </w:numPr>
        <w:spacing w:after="0" w:line="259" w:lineRule="auto"/>
        <w:jc w:val="both"/>
        <w:rPr>
          <w:rStyle w:val="Fontdeparagrafimplicit1"/>
          <w:rFonts w:ascii="Times New Roman" w:hAnsi="Times New Roman"/>
          <w:b/>
          <w:sz w:val="24"/>
        </w:rPr>
      </w:pPr>
      <w:r>
        <w:rPr>
          <w:rStyle w:val="Fontdeparagrafimplicit1"/>
          <w:rFonts w:ascii="Times New Roman" w:hAnsi="Times New Roman"/>
          <w:b/>
          <w:sz w:val="24"/>
        </w:rPr>
        <w:t>Întâmpinarea</w:t>
      </w:r>
    </w:p>
    <w:p w14:paraId="66507411" w14:textId="77777777" w:rsidR="000B0532" w:rsidRDefault="000B0532">
      <w:pPr>
        <w:spacing w:line="259" w:lineRule="auto"/>
        <w:ind w:firstLine="709"/>
        <w:jc w:val="both"/>
        <w:rPr>
          <w:rStyle w:val="Fontdeparagrafimplicit1"/>
        </w:rPr>
      </w:pPr>
    </w:p>
    <w:p w14:paraId="37819149" w14:textId="2E84EBD9" w:rsidR="000B0532" w:rsidRDefault="0076305C">
      <w:pPr>
        <w:spacing w:line="259" w:lineRule="auto"/>
        <w:ind w:firstLine="709"/>
        <w:jc w:val="both"/>
      </w:pPr>
      <w:r>
        <w:t xml:space="preserve">Pârâtul INCFC, prin </w:t>
      </w:r>
      <w:r>
        <w:rPr>
          <w:rStyle w:val="Fontdeparagrafimplicit1"/>
          <w:b/>
        </w:rPr>
        <w:t>întâmpinare</w:t>
      </w:r>
      <w:r>
        <w:t xml:space="preserve"> la cererea de chemare în judecată, a prezentat situaţia de fapt şi a invocat excepția tardivității acțiunii. În drept, pârâtul a invocat art. 11 din Legea nr. 554/2004. Reclamantul a formulat o plângere prealabilă împotriva rezultatului obținut la proba retroversiune Română - Rusă, domeniul Științe Juridice, sesiunea martie 2023, recurs grațios ce a fost înregistrat sub nr. .../11.08.2023.</w:t>
      </w:r>
    </w:p>
    <w:p w14:paraId="00AF6096" w14:textId="0F1FD5C5" w:rsidR="000B0532" w:rsidRDefault="0076305C">
      <w:pPr>
        <w:spacing w:line="259" w:lineRule="auto"/>
        <w:ind w:firstLine="709"/>
        <w:jc w:val="both"/>
      </w:pPr>
      <w:r>
        <w:t>Pe fondul constatării omisiunii petentului de a atașa și documentele-suport la care a făcut trimitere în respectiva plângere prealabilă, i-au fost comunicate aceste neregularități semnalate de noi printr-o corespondență, nr. ..../28.08.2023.</w:t>
      </w:r>
    </w:p>
    <w:p w14:paraId="6318FD68" w14:textId="4FF667FA" w:rsidR="000B0532" w:rsidRDefault="0076305C">
      <w:pPr>
        <w:spacing w:line="259" w:lineRule="auto"/>
        <w:ind w:firstLine="709"/>
        <w:jc w:val="both"/>
      </w:pPr>
      <w:r>
        <w:t>Ulterior complinirii acestor lipsuri, răspunsul final al INCFC față de plângerea sa prealabilă, înregistrat sub nr. ....11.09.2023, i-a fost comunicat petentului/reclamant în data de 12.09.2023.</w:t>
      </w:r>
    </w:p>
    <w:p w14:paraId="50BE7159" w14:textId="77777777" w:rsidR="000B0532" w:rsidRDefault="0076305C">
      <w:pPr>
        <w:spacing w:line="259" w:lineRule="auto"/>
        <w:ind w:firstLine="709"/>
        <w:jc w:val="both"/>
      </w:pPr>
      <w:r>
        <w:t>Drept urmare, față de data înregistrării acțiunii introductive de instanță 16.05.2024, cererea de chemare în judecată a fost depusă cu încălcarea dispozițiilor legale privind termenul de prescripție.</w:t>
      </w:r>
    </w:p>
    <w:p w14:paraId="350F3E39" w14:textId="77777777" w:rsidR="000B0532" w:rsidRDefault="0076305C">
      <w:pPr>
        <w:spacing w:line="259" w:lineRule="auto"/>
        <w:ind w:firstLine="709"/>
        <w:jc w:val="both"/>
      </w:pPr>
      <w:r>
        <w:t xml:space="preserve">Pe fondul cauzei, pârâtul a solicitat respingerea cererii de chemare în judecată ca neîntemeiată. Pârâtul a prezentat etapele derulării examenului şi a subliniat că desfășurarea </w:t>
      </w:r>
      <w:r>
        <w:lastRenderedPageBreak/>
        <w:t>examenului de traducător din sesiunea ordinară 13-24 martie 2023, s-a efectuat conform procedurii prevăzute de Regulamentul aprobat prin O.M.C. nr. 2566/05.02.2020, cu respectarea prevederilor Cap. 2-3 din actul normativ mai sus rubricat, care stabilește etapele organizării examenului, respectiv ale desfășurării acestuia și, mai departe, ale Cap. 4 Evaluarea și notarea coroborat cu Anexele nr. 10 și 11 din același Regulament.</w:t>
      </w:r>
    </w:p>
    <w:p w14:paraId="24D2D0D9" w14:textId="77777777" w:rsidR="000B0532" w:rsidRDefault="0076305C">
      <w:pPr>
        <w:spacing w:line="259" w:lineRule="auto"/>
        <w:ind w:firstLine="709"/>
        <w:jc w:val="both"/>
      </w:pPr>
      <w:r>
        <w:t>Potrivit art. 34 alin. (4) din Regulament, după afișarea rezultatelor finale în urma contestațiilor, candidații au posibilitatea ca, în următoarele 10 zile, să solicite revederea lucrării și consultarea celor două referate de corectare întocmite de fiecare dintre experții care au reevaluat teza, în aceste documente fiind evidențiate greșelile și depunctările care justifică notele acordate de cei doi evaluatori care recorectează teza. Reclamantul nu a solicitat Comisiei să beneficieze de acest drept stabilit</w:t>
      </w:r>
      <w:r>
        <w:t xml:space="preserve"> prin Regulament.</w:t>
      </w:r>
    </w:p>
    <w:p w14:paraId="46A2DAE4" w14:textId="77777777" w:rsidR="000B0532" w:rsidRDefault="0076305C">
      <w:pPr>
        <w:spacing w:line="259" w:lineRule="auto"/>
        <w:ind w:firstLine="709"/>
        <w:jc w:val="both"/>
      </w:pPr>
      <w:r>
        <w:t>Cei 4 evaluatori desemnați a evalua lucrarea reclamantului - nr. 481, au o experiență în învățământul universitar, sunt specialiști în lingvistică și traduceri specializate, au o vastă experiență atât în traduceri literare, cât și non-literare (inclusiv juridice).</w:t>
      </w:r>
    </w:p>
    <w:p w14:paraId="70B4304C" w14:textId="77777777" w:rsidR="000B0532" w:rsidRDefault="0076305C">
      <w:pPr>
        <w:spacing w:line="259" w:lineRule="auto"/>
        <w:ind w:firstLine="709"/>
        <w:jc w:val="both"/>
      </w:pPr>
      <w:r>
        <w:t>Potrivit Regulamentului, art. 11 lit. p) și art. 31 lit. b), comisiile de examene și contestații asigură confidențialitatea privind numele evaluatorilor, acestea împreună cu noua legislația specifică G.D.P.R. determinând imposibilitatea detalierii privind identitatea acestora.</w:t>
      </w:r>
    </w:p>
    <w:p w14:paraId="4BADBAC9" w14:textId="77777777" w:rsidR="000B0532" w:rsidRDefault="0076305C">
      <w:pPr>
        <w:spacing w:line="259" w:lineRule="auto"/>
        <w:ind w:firstLine="709"/>
        <w:jc w:val="both"/>
      </w:pPr>
      <w:r>
        <w:t>Din analiza criticilor formulate de reclamant atât în cuprinsul plângerii sale prealabile, cât și în cuprinsul prezentei acțiuni, se reține lipsa oricărei critici întemeiate/valide împotriva actului de evaluare sau re-evaluare, clamându-se, în mod nejustificat, o lipsă de transparență a evaluării în procesul de examinare, respectiv de soluționare a contestațiilor, bazată pe o utopie - cunoașterea de către evaluatori a identității reclamantului și existența unui interes ocult al acestora de depunctare cu sco</w:t>
      </w:r>
      <w:r>
        <w:t>pul eliminării viitoarei concurențe, ori pe caracterul neadecvat disciplinei (Științe Juridice) al subiectelor selectate / gradul sporit de dificultate al acestora sau lipsa baremului de corectare.</w:t>
      </w:r>
    </w:p>
    <w:p w14:paraId="62E38F81" w14:textId="77777777" w:rsidR="000B0532" w:rsidRDefault="0076305C">
      <w:pPr>
        <w:spacing w:line="259" w:lineRule="auto"/>
        <w:ind w:firstLine="709"/>
        <w:jc w:val="both"/>
      </w:pPr>
      <w:r>
        <w:t>Referitor la lipsa de transparență a evaluării, pârâtul arată că procedura de organizare a examenului prevede că lucrarea candidatului este predată comisiei de examen, fiind sigilată și înregistrată cu un cod intern, apoi este trimisă către primul evaluator. După evaluarea primului evaluator, lucrarea primește o primă notă. Urmează evaluarea realizată de către al II-lea evaluator care, de asemenea, acordă a doua notă. Media celor două note reprezintă nota finală obținută de candidat.</w:t>
      </w:r>
    </w:p>
    <w:p w14:paraId="4F052393" w14:textId="77777777" w:rsidR="000B0532" w:rsidRDefault="0076305C">
      <w:pPr>
        <w:spacing w:line="259" w:lineRule="auto"/>
        <w:ind w:firstLine="709"/>
        <w:jc w:val="both"/>
      </w:pPr>
      <w:r>
        <w:t>Notele acordate se înregistrează în foi de notare separate pentru fiecare evaluator. După încheierea procesului de evaluare, foile de notare completate și semnate de fiecare evaluator sunt predate secretarului comisiei, împreună cu lucrările evaluate, pe bază de semnătură.</w:t>
      </w:r>
    </w:p>
    <w:p w14:paraId="1332A4D5" w14:textId="77777777" w:rsidR="000B0532" w:rsidRDefault="0076305C">
      <w:pPr>
        <w:spacing w:line="259" w:lineRule="auto"/>
        <w:ind w:firstLine="709"/>
        <w:jc w:val="both"/>
      </w:pPr>
      <w:r>
        <w:t>Pentru reevaluare (în urma depunerii unei contestații), alți doi evaluatori primesc, resigilate, tezele pentru care s-a depus contestație și le recorectează, tot separat și independent, întocmind câte un referat de recorectare/depunctare doar pe baza lucrării, cu evidențierea greșelilor.</w:t>
      </w:r>
    </w:p>
    <w:p w14:paraId="18EA3E79" w14:textId="77777777" w:rsidR="000B0532" w:rsidRDefault="0076305C">
      <w:pPr>
        <w:spacing w:line="259" w:lineRule="auto"/>
        <w:ind w:firstLine="709"/>
        <w:jc w:val="both"/>
      </w:pPr>
      <w:r>
        <w:t>Referitor la lipsa de transparență și conformitate a evaluării în urma depunerii contestațiilor, pârâtul a arătat că soluționarea contestațiilor este reglementată la Cap. V, art. 29 și urm. din actualul Regulament. Potrivit art. 31 lit. b) din Regulament, Comisia de soluționare a contestațiilor este obligată, la rândul său, să asigure confidențialitatea privind numele evaluatorilor desemnați pentru recorectarea lucrărilor, precum și ale celor care au participat la evaluare în cadrul sesiunii de examene. Ref</w:t>
      </w:r>
      <w:r>
        <w:t xml:space="preserve">eratele întocmite de către noii </w:t>
      </w:r>
      <w:r>
        <w:lastRenderedPageBreak/>
        <w:t>evaluatori se constituie drept anexe ale foilor de notare, datarea acestora nefiind o condiție obligatorie prevăzută prin Regulament, iar intervalul temporal ce consemnează această procedură este cel reflectat de datele de întocmire a proceselor-verbale de predare-primire a lucrărilor, între comisia de examen ori cea de soluționare a contestațiilor și examinatorii desemnați.</w:t>
      </w:r>
    </w:p>
    <w:p w14:paraId="6D6B592F" w14:textId="77777777" w:rsidR="000B0532" w:rsidRDefault="0076305C">
      <w:pPr>
        <w:spacing w:line="259" w:lineRule="auto"/>
        <w:ind w:firstLine="709"/>
        <w:jc w:val="both"/>
      </w:pPr>
      <w:r>
        <w:t>După încheierea probelor și pe durata evaluării/reevaluării nimeni (nici membrii Comisiei de examen/Comisiei de soluționare a contestațiilor, nici evaluatorii) nu au acces la numele candidaților: în fața candidatului, numele de pe lucrare este secretizat (prin sigilarea lucrării). Prin urmare, nu poate exista suspiciunea că notele primite de vreun candidat sunt rezultatul unei evaluări subiective.</w:t>
      </w:r>
    </w:p>
    <w:p w14:paraId="4A4946E0" w14:textId="77777777" w:rsidR="000B0532" w:rsidRDefault="0076305C">
      <w:pPr>
        <w:spacing w:line="259" w:lineRule="auto"/>
        <w:ind w:firstLine="709"/>
        <w:jc w:val="both"/>
      </w:pPr>
      <w:r>
        <w:t>Evaluatorii (fie cadre universitare, fie traducători cu experiență) nu au acces la numele candidaților, întrucât la momentul evaluării/reevaluării toate tezele au numele candidaților secretizat, lucrările candidaților fiind numerotate de la 1 la n și, pe tot parcursul procesului de evaluare/reevaluare, tezele circulă doar sub formă de numere/codul alocat inițial.</w:t>
      </w:r>
    </w:p>
    <w:p w14:paraId="7830E14E" w14:textId="77777777" w:rsidR="000B0532" w:rsidRDefault="0076305C">
      <w:pPr>
        <w:spacing w:line="259" w:lineRule="auto"/>
        <w:ind w:firstLine="709"/>
        <w:jc w:val="both"/>
      </w:pPr>
      <w:r>
        <w:t>Prin urmare, nu poate exista suspiciunea că notele primite de reclamant au putut fi asociate cu numele său, respectiv cu activitatea de avocat. Alegația potrivit căreia evaluatorii au recunoscut "numele candidaților ca vechi clienți" este total greșită.</w:t>
      </w:r>
    </w:p>
    <w:p w14:paraId="064056B0" w14:textId="77777777" w:rsidR="000B0532" w:rsidRDefault="0076305C">
      <w:pPr>
        <w:spacing w:line="259" w:lineRule="auto"/>
        <w:ind w:firstLine="709"/>
        <w:jc w:val="both"/>
      </w:pPr>
      <w:r>
        <w:t>Toți evaluatorii care sunt contractați să evalueze/reevalueze teze în cadrul unei sesiuni depun și își asumă declarații de imparțialitate, prin care se obligă să realizeze evaluări corecte, egale, imparțiale. Acești evaluatori își asumă cu mare responsabilitate faptul că sunt singurul filtru care trimite (sau nu) pe piața liberă a profesiei de traducător (și interpret) specialiști bine pregătiți și capabili să facă traducere (sau interpretariat) de înaltă corectitudine, precizie și fidelitate.</w:t>
      </w:r>
    </w:p>
    <w:p w14:paraId="6D4A6065" w14:textId="77777777" w:rsidR="000B0532" w:rsidRDefault="0076305C">
      <w:pPr>
        <w:spacing w:line="259" w:lineRule="auto"/>
        <w:ind w:firstLine="709"/>
        <w:jc w:val="both"/>
      </w:pPr>
      <w:r>
        <w:t>Referitor la caracterul neadecvat al subiectelor din cadrul probei retroversiune și gradul de dificultate al acestora şi la lipsa  baremului de corectare, pârâtul a arătat că “Textul din Codul de procedură fiscală” incriminat este, în esență, o normă legală asupra căreia, în primul rând, jurisconsulții sunt chemați să o analizeze, să o interpreteze, apoi să formuleze, după caz, opinii legale sau raționamente logico-juridice. În data de 22 martie 2023, subiectul în discuție (subiect nr. 68) a fost folosit pe</w:t>
      </w:r>
      <w:r>
        <w:t>ntru probe de retroversiune, pe domeniul științe juridice, pentru limbile maghiară, rusă, arabă, cehă, chineză (40 de candidați au susținut acest examen). Conform rezultatelor postate pe site, dintre tezele susținute au fost lucrări care au primit notă de promovare (inclusiv pe limba rusă au fost note de 8,10 și 9,15), iar la alte două teză de retroversiune pe același subiect s-au obținut note de 8,70 la proba de română-chineză și respectiv 9,10 la proba de română-cehă.</w:t>
      </w:r>
    </w:p>
    <w:p w14:paraId="59610750" w14:textId="77777777" w:rsidR="000B0532" w:rsidRDefault="0076305C">
      <w:pPr>
        <w:spacing w:line="259" w:lineRule="auto"/>
        <w:ind w:firstLine="709"/>
        <w:jc w:val="both"/>
      </w:pPr>
      <w:r>
        <w:t>Mai mult, conform Regulamentului, candidații pot folosi pe parcursul probelor de examen dicționare bilingve, generale sau de specialitate, fără nicio limitare a numărului acestora.</w:t>
      </w:r>
    </w:p>
    <w:p w14:paraId="7A627561" w14:textId="77777777" w:rsidR="000B0532" w:rsidRDefault="0076305C">
      <w:pPr>
        <w:spacing w:line="259" w:lineRule="auto"/>
        <w:ind w:firstLine="709"/>
        <w:jc w:val="both"/>
      </w:pPr>
      <w:r>
        <w:t>La aceste examene pentru obținerea certificatului de traducător, gradul de dificultate a subiectelor este unul ridicat, tocmai pentru că aceste examene sunt singura modalitate de verificare și de selecție a persoanelor care urmează apoi să fie autorizate ca traducători și interpreți de către Ministerul Justiției.</w:t>
      </w:r>
    </w:p>
    <w:p w14:paraId="2E3E0AF7" w14:textId="74C1C1F3" w:rsidR="000B0532" w:rsidRDefault="0076305C">
      <w:pPr>
        <w:spacing w:line="259" w:lineRule="auto"/>
        <w:ind w:firstLine="709"/>
        <w:jc w:val="both"/>
      </w:pPr>
      <w:r>
        <w:t>Evaluarea tezei candidatului BA nu este - așa cum se susține - rezultatul încălcării dispozițiilor legale incidente, în speță fiind respectată procedura de evaluare a competențelor sale profesionale, aceasta fiind efectuată în conformitate cu procedura reglementată prin dispozițiile legale.</w:t>
      </w:r>
    </w:p>
    <w:p w14:paraId="1D3781F8" w14:textId="77777777" w:rsidR="000B0532" w:rsidRDefault="000B0532">
      <w:pPr>
        <w:spacing w:line="259" w:lineRule="auto"/>
        <w:ind w:firstLine="709"/>
        <w:jc w:val="both"/>
      </w:pPr>
    </w:p>
    <w:p w14:paraId="7581D192" w14:textId="77777777" w:rsidR="000B0532" w:rsidRDefault="0076305C">
      <w:pPr>
        <w:pStyle w:val="Listparagraf1"/>
        <w:numPr>
          <w:ilvl w:val="0"/>
          <w:numId w:val="1"/>
        </w:numPr>
        <w:spacing w:after="0" w:line="259" w:lineRule="auto"/>
        <w:jc w:val="both"/>
        <w:rPr>
          <w:rStyle w:val="Fontdeparagrafimplicit1"/>
          <w:rFonts w:ascii="Times New Roman" w:hAnsi="Times New Roman"/>
          <w:b/>
          <w:sz w:val="24"/>
          <w:u w:val="single"/>
        </w:rPr>
      </w:pPr>
      <w:r>
        <w:rPr>
          <w:rStyle w:val="Fontdeparagrafimplicit1"/>
          <w:rFonts w:ascii="Times New Roman" w:hAnsi="Times New Roman"/>
          <w:b/>
          <w:sz w:val="24"/>
          <w:u w:val="single"/>
        </w:rPr>
        <w:lastRenderedPageBreak/>
        <w:t>Considerentele instanţei</w:t>
      </w:r>
    </w:p>
    <w:p w14:paraId="1051BD03" w14:textId="77777777" w:rsidR="000B0532" w:rsidRDefault="000B0532">
      <w:pPr>
        <w:spacing w:line="259" w:lineRule="auto"/>
        <w:ind w:firstLine="709"/>
        <w:jc w:val="both"/>
        <w:rPr>
          <w:rStyle w:val="Fontdeparagrafimplicit1"/>
        </w:rPr>
      </w:pPr>
    </w:p>
    <w:p w14:paraId="2ACCD004" w14:textId="77777777" w:rsidR="000B0532" w:rsidRDefault="0076305C">
      <w:pPr>
        <w:pStyle w:val="Listparagraf1"/>
        <w:numPr>
          <w:ilvl w:val="1"/>
          <w:numId w:val="1"/>
        </w:numPr>
        <w:spacing w:after="0" w:line="259" w:lineRule="auto"/>
        <w:jc w:val="both"/>
        <w:rPr>
          <w:rStyle w:val="Fontdeparagrafimplicit1"/>
          <w:rFonts w:ascii="Times New Roman" w:hAnsi="Times New Roman"/>
          <w:b/>
          <w:i/>
          <w:sz w:val="24"/>
        </w:rPr>
      </w:pPr>
      <w:r>
        <w:rPr>
          <w:rStyle w:val="Fontdeparagrafimplicit1"/>
          <w:rFonts w:ascii="Times New Roman" w:hAnsi="Times New Roman"/>
          <w:b/>
          <w:i/>
          <w:sz w:val="24"/>
        </w:rPr>
        <w:t>Situaţia de fapt:</w:t>
      </w:r>
    </w:p>
    <w:p w14:paraId="0E54FE93" w14:textId="63340571" w:rsidR="000B0532" w:rsidRDefault="0076305C">
      <w:pPr>
        <w:spacing w:line="259" w:lineRule="auto"/>
        <w:ind w:firstLine="709"/>
        <w:jc w:val="both"/>
      </w:pPr>
      <w:r>
        <w:t>Urmare examenului de traducător din sesiunea ordinară 13-24 martie 2023, la cele două probe de examen rusă-română științe juridice și română-rusă științe juridice, lucrarea reclamantului, dl. BA - teza nr. ... a primit următoarea evaluare: evaluator 1 - nota 6,00, evaluator 2 - nota 6,60, media 6,30. Reclamantul a fost declarat respins. Urmare contestaţiei, lucrarea reclamantului a fost reevaluată astfel: evaluare contestație evaluator 1 - nota 5,40 evaluator 2 - nota 4,90, media 5,15. Reclamantul a fost de</w:t>
      </w:r>
      <w:r>
        <w:t xml:space="preserve">clarat respins. </w:t>
      </w:r>
    </w:p>
    <w:p w14:paraId="6DB70E10" w14:textId="77777777" w:rsidR="000B0532" w:rsidRDefault="000B0532">
      <w:pPr>
        <w:spacing w:line="259" w:lineRule="auto"/>
        <w:jc w:val="both"/>
      </w:pPr>
    </w:p>
    <w:p w14:paraId="22A372A7" w14:textId="77777777" w:rsidR="000B0532" w:rsidRDefault="0076305C">
      <w:pPr>
        <w:pStyle w:val="Listparagraf1"/>
        <w:numPr>
          <w:ilvl w:val="1"/>
          <w:numId w:val="1"/>
        </w:numPr>
        <w:spacing w:after="0" w:line="259" w:lineRule="auto"/>
        <w:jc w:val="both"/>
        <w:rPr>
          <w:rStyle w:val="Fontdeparagrafimplicit1"/>
          <w:rFonts w:ascii="Times New Roman" w:hAnsi="Times New Roman"/>
          <w:b/>
          <w:i/>
          <w:sz w:val="24"/>
        </w:rPr>
      </w:pPr>
      <w:r>
        <w:rPr>
          <w:rStyle w:val="Fontdeparagrafimplicit1"/>
          <w:rFonts w:ascii="Times New Roman" w:hAnsi="Times New Roman"/>
          <w:b/>
          <w:i/>
          <w:sz w:val="24"/>
        </w:rPr>
        <w:t xml:space="preserve">Analiza în drept: </w:t>
      </w:r>
    </w:p>
    <w:p w14:paraId="73722770" w14:textId="77777777" w:rsidR="000B0532" w:rsidRDefault="000B0532">
      <w:pPr>
        <w:spacing w:line="259" w:lineRule="auto"/>
        <w:ind w:firstLine="709"/>
        <w:jc w:val="both"/>
        <w:rPr>
          <w:rStyle w:val="Fontdeparagrafimplicit1"/>
        </w:rPr>
      </w:pPr>
    </w:p>
    <w:p w14:paraId="7D5FEB6B" w14:textId="77777777" w:rsidR="000B0532" w:rsidRDefault="0076305C">
      <w:pPr>
        <w:pStyle w:val="Listparagraf1"/>
        <w:numPr>
          <w:ilvl w:val="2"/>
          <w:numId w:val="1"/>
        </w:numPr>
        <w:spacing w:after="0" w:line="259" w:lineRule="auto"/>
        <w:jc w:val="both"/>
        <w:rPr>
          <w:rStyle w:val="Fontdeparagrafimplicit1"/>
          <w:rFonts w:ascii="Times New Roman" w:hAnsi="Times New Roman"/>
          <w:sz w:val="24"/>
        </w:rPr>
      </w:pPr>
      <w:r>
        <w:rPr>
          <w:rStyle w:val="Fontdeparagrafimplicit1"/>
          <w:rFonts w:ascii="Times New Roman" w:hAnsi="Times New Roman"/>
          <w:i/>
          <w:sz w:val="24"/>
        </w:rPr>
        <w:t>În ceea ce priveşte excepţia tardivităţii</w:t>
      </w:r>
      <w:r>
        <w:rPr>
          <w:rStyle w:val="Fontdeparagrafimplicit1"/>
          <w:rFonts w:ascii="Times New Roman" w:hAnsi="Times New Roman"/>
          <w:sz w:val="24"/>
        </w:rPr>
        <w:t xml:space="preserve">, Curtea reţine: </w:t>
      </w:r>
    </w:p>
    <w:p w14:paraId="63D77243" w14:textId="77777777" w:rsidR="000B0532" w:rsidRDefault="0076305C">
      <w:pPr>
        <w:spacing w:line="259" w:lineRule="auto"/>
        <w:ind w:firstLine="708"/>
        <w:jc w:val="both"/>
      </w:pPr>
      <w:r>
        <w:t>Potrivit art. 11 alin. (1) din Legea nr. 554/2004, cererile prin care se solicită anularea unui act administrativ individual, a unui contract administrativ, recunoaşterea dreptului pretins şi repararea pagubei cauzate se pot introduce în termen de 6 luni de la: a) data comunicării răspunsului la plângerea prealabilă.</w:t>
      </w:r>
    </w:p>
    <w:p w14:paraId="5B47610F" w14:textId="3794BC3C" w:rsidR="000B0532" w:rsidRDefault="0076305C">
      <w:pPr>
        <w:spacing w:line="259" w:lineRule="auto"/>
        <w:ind w:firstLine="708"/>
        <w:jc w:val="both"/>
      </w:pPr>
      <w:r>
        <w:t xml:space="preserve">Cererea de chemare în judecată a fost depusă prin poştă la data de 16.05.2024 conform confirmării de primire de la fila 26 verso dosar a expeditorului Fan Courier. La aceeaşi dată acţiunea a fost înregistrată pe rolul Curţii de Apel X. </w:t>
      </w:r>
    </w:p>
    <w:p w14:paraId="5C636BCB" w14:textId="17B7FE0A" w:rsidR="000B0532" w:rsidRDefault="0076305C">
      <w:pPr>
        <w:spacing w:line="259" w:lineRule="auto"/>
        <w:jc w:val="both"/>
      </w:pPr>
      <w:r>
        <w:tab/>
        <w:t>La data de 11.08.2023, reclamantul a formulat plângerea prealabilă prin care a solicitat revocarea actului administrativ prin care i s-a soluţionat contestaţia administrativă împotriva rezultatului examenului şi a solicitat reevaluarea lucrării. La data de 28.08.2023 cu nr. ... (fila 77 dosar) pârâta a solicitat completarea plângerii cu documente. La data de 11.09.2025 sub nr. ... (fila 81 şi urm.) pârâta a formulat răspuns plângerii prealabile prin care a respins-o ca neîntemeiată. Răspunsul a fost expedi</w:t>
      </w:r>
      <w:r>
        <w:t>at prin Fan Courier la data de 12.09.2023 (fila 85), însă nu există o confirmare de primire a respectivei expedieri din partea reclamantului. În acest context, nefăcându-se dovada primirii răspunsului la plângerea prealabilă, rezultă că acţiunea reclamantului este formulată în termen. În concluzie, Curtea va respinge ca nefondată excepţia tardivităţii cererii.</w:t>
      </w:r>
    </w:p>
    <w:p w14:paraId="6D2B2170" w14:textId="77777777" w:rsidR="000B0532" w:rsidRDefault="0076305C">
      <w:pPr>
        <w:pStyle w:val="Listparagraf1"/>
        <w:numPr>
          <w:ilvl w:val="2"/>
          <w:numId w:val="1"/>
        </w:numPr>
        <w:spacing w:after="0" w:line="259" w:lineRule="auto"/>
        <w:jc w:val="both"/>
        <w:rPr>
          <w:rStyle w:val="Fontdeparagrafimplicit1"/>
          <w:rFonts w:ascii="Times New Roman" w:hAnsi="Times New Roman"/>
          <w:sz w:val="24"/>
        </w:rPr>
      </w:pPr>
      <w:r>
        <w:rPr>
          <w:rStyle w:val="Fontdeparagrafimplicit1"/>
          <w:rFonts w:ascii="Times New Roman" w:hAnsi="Times New Roman"/>
          <w:i/>
          <w:sz w:val="24"/>
        </w:rPr>
        <w:t>În ceea ce priveşte fondul litigiului</w:t>
      </w:r>
      <w:r>
        <w:rPr>
          <w:rStyle w:val="Fontdeparagrafimplicit1"/>
          <w:rFonts w:ascii="Times New Roman" w:hAnsi="Times New Roman"/>
          <w:sz w:val="24"/>
        </w:rPr>
        <w:t xml:space="preserve">, Curtea reţine: </w:t>
      </w:r>
    </w:p>
    <w:p w14:paraId="2AAEA599" w14:textId="77777777" w:rsidR="000B0532" w:rsidRDefault="0076305C">
      <w:pPr>
        <w:spacing w:line="259" w:lineRule="auto"/>
        <w:ind w:firstLine="709"/>
        <w:jc w:val="both"/>
      </w:pPr>
      <w:r>
        <w:t>Motivele de nelegalitate invocate de reclamant se referă la trei aspecte: subiectele, baremul şi evaluatorii.</w:t>
      </w:r>
    </w:p>
    <w:p w14:paraId="0913A53E" w14:textId="77777777" w:rsidR="000B0532" w:rsidRDefault="0076305C">
      <w:pPr>
        <w:spacing w:line="259" w:lineRule="auto"/>
        <w:ind w:firstLine="709"/>
        <w:jc w:val="both"/>
      </w:pPr>
      <w:r>
        <w:t xml:space="preserve">a) În ceea ce priveşte </w:t>
      </w:r>
      <w:r>
        <w:rPr>
          <w:rStyle w:val="Fontdeparagrafimplicit1"/>
          <w:i/>
        </w:rPr>
        <w:t>subiectele</w:t>
      </w:r>
      <w:r>
        <w:t xml:space="preserve">, reclamantul a invocat dispoziţiile art. 11 alin. c) din Regulamentul de examen, a susţinut gradul sporit de dificultate, iar subiectele au fost arbitrar stabilite, fără a fi asigurat vreun criteriu obiectiv de asigurare a unui grad de dificultate constant pentru toate sesiunile de examinare din toţi anii. </w:t>
      </w:r>
    </w:p>
    <w:p w14:paraId="51B6FA03" w14:textId="77777777" w:rsidR="000B0532" w:rsidRDefault="0076305C">
      <w:pPr>
        <w:spacing w:line="259" w:lineRule="auto"/>
        <w:ind w:firstLine="709"/>
        <w:jc w:val="both"/>
      </w:pPr>
      <w:r>
        <w:t>Curtea subliniază că un grad de dificultate a subiectelor nu poate fi cuantificat de instanţă, însă el este firesc în proceduri precum aceea la care a participat reclamantul, concursul fiind într-un domeniu specializat, acela de traducător certificat. Traducerea a vizat norme din Codul de procedură fiscală, prin urmare textul - subiect de examen are caracter juridic. Faptul că dispoziţiile Codului de procedură fiscală conţin şi termeni din domeniul economic (contabilitate) este firesc având în vedere domeni</w:t>
      </w:r>
      <w:r>
        <w:t xml:space="preserve">ul de reglementare al Codului respectiv, însă aceasta nu înseamnă că proba în sine a excedat domeniului/terminologiei juridice. </w:t>
      </w:r>
    </w:p>
    <w:p w14:paraId="73A231A8" w14:textId="77777777" w:rsidR="000B0532" w:rsidRDefault="0076305C">
      <w:pPr>
        <w:spacing w:line="259" w:lineRule="auto"/>
        <w:ind w:firstLine="709"/>
        <w:jc w:val="both"/>
      </w:pPr>
      <w:r>
        <w:lastRenderedPageBreak/>
        <w:t>Referitor la încălcarea art. 11 lit. c) din Regulament (Ordinul Ministerului Culturii nr. 2566/2020), Curtea reţine că potrivit acestor dispoziţii: membrii comisiei de examen prevăzuţi la art. 10 alin. (1) lit. a) - c) au următoarele atribuţii: c) stabilesc subiectele de examen prin tragere la sorţi din cadrul subiectelor propuse de evaluatori, întocmind şi semnând un proces-verbal în acest sens. Curtea observă că textul normativ se referă la selectarea în mod aleatoriu, prin tragere la sorţi a subiectelor,</w:t>
      </w:r>
      <w:r>
        <w:t xml:space="preserve"> aspect necontestat de reclamant. Regulamentul nu prevede niciun criteriu referitor la gradul de dificultate, însă acesta nici nu s-ar putea cuantifica, ci condiţia este aceea ca subiectele să facă parte din domeniul de concurs. Or, subiectul a vizat traducerea unor dispoziţii generale din Codul de procedură fiscală (fila 54), subiectul fiind din spectrul juridic. În plus, aşa cum se menţionează la fila 54 verso dosar, a fost permisă folosirea dicţionarelor bilingve, context în care nu se mai poate susţine </w:t>
      </w:r>
      <w:r>
        <w:t>o dificultate nerezonabilă a subiectelor, din moment ce candidaţii au avut acces la materiale ajutătoare în efectuarea traducerii. Pe de altă parte, aşa cum a arătat pârâtul, subiectul în discuție (subiectul nr. 68) a fost folosit pentru probe de retroversiune, în domeniul științe juridice, pentru mai multe limbi străine, iar nu doar pentru rusă, respectiv şi pentru limbile maghiară, arabă, cehă, chineză. Prin urmare, nu se poate reţine o exercitare abuzivă a competenţelor pârâtului în ceea ce priveşte stab</w:t>
      </w:r>
      <w:r>
        <w:t xml:space="preserve">ilirea subiectelor. </w:t>
      </w:r>
    </w:p>
    <w:p w14:paraId="305801CD" w14:textId="77777777" w:rsidR="000B0532" w:rsidRDefault="0076305C">
      <w:pPr>
        <w:spacing w:line="259" w:lineRule="auto"/>
        <w:ind w:firstLine="709"/>
        <w:jc w:val="both"/>
      </w:pPr>
      <w:r>
        <w:t xml:space="preserve">b) În ceea ce priveşte </w:t>
      </w:r>
      <w:r>
        <w:rPr>
          <w:rStyle w:val="Fontdeparagrafimplicit1"/>
          <w:i/>
        </w:rPr>
        <w:t>baremul</w:t>
      </w:r>
      <w:r>
        <w:t xml:space="preserve">, nu se poate invoca o încălcare a art. 11 lit. c) din Regulament întrucât membrii comisiei de examen au asigurat distribuirea foilor de examen și a ciornelor către candidați, împreună cu subiectele de examen și baremul de evaluare - baremul de evaluare se află pe verso-ul subiectului de examen – fila 54 verso dosar. De asemenea, nu se poate reţine o subiectivitate a baremului câtă vreme acesta determină pe fiecare criteriu punctajul, anume: respectarea sensului textului: 3p, corectitudinea la nivel </w:t>
      </w:r>
      <w:r>
        <w:t>sintactic şi morfologic: 3p, respectarea terminologiei specifice 3p; 1 p din oficiu. De asemenea în nota explicativă aferentă baremului se menţionează că pentru promovarea examenului sunt necesare traducerea integrală a textului şi finalizarea lucrării conform subiectului de examen şi că în situaţia în care în lucrarea redactată se constată omiterea a 25% sau mai mult din textul tradus, proba nu poate fi promovată. În acest context, baremul a oferit suficiente criterii de evaluare şi notare a lucrării.</w:t>
      </w:r>
    </w:p>
    <w:p w14:paraId="3B49F468" w14:textId="77777777" w:rsidR="000B0532" w:rsidRDefault="0076305C">
      <w:pPr>
        <w:spacing w:line="259" w:lineRule="auto"/>
        <w:ind w:firstLine="709"/>
        <w:jc w:val="both"/>
      </w:pPr>
      <w:r>
        <w:t>Referitor la susţinerea reclamantului conform căreia nu ar fi posibil ca pe acelaşi barem lucrarea sa să fie evaluată cu 6,30 p şi reevaluată cu 5,15 p (urmare contestaţiei). Curtea reţine că potrivit art. 33 alin. 6 din Regulament, în cazul în care, în urma contestării rezultatului obţinut la examen pentru o probă promovată, candidatul obţine o notă finală mai mică în urma reevaluării lucrării, se va lua în considerare media finală cea mai mare care îl avantajează pe candidat. În cazul reclamantului, acest</w:t>
      </w:r>
      <w:r>
        <w:t xml:space="preserve">a a fost declarat respins cu 6,30 p (nota iniţială a fost avută în vedere, fiind respectate prevederile art. 33 alin. 6 din Regulament). În ceea ce priveşte imposibilitatea din perspectiva reaprecierii notei ca urmare a contestaţiei, ca nota să fie mai mică decât aceea iniţială, Curtea nu este abilitată să facă aprecieri asupra evaluării efective făcute de către cele două comisii, evaluarea rezolvării subiectului fiind în competenţa de apreciere a comisiilor. </w:t>
      </w:r>
    </w:p>
    <w:p w14:paraId="1F3218F1" w14:textId="77777777" w:rsidR="000B0532" w:rsidRDefault="0076305C">
      <w:pPr>
        <w:spacing w:line="259" w:lineRule="auto"/>
        <w:ind w:firstLine="709"/>
        <w:jc w:val="both"/>
      </w:pPr>
      <w:r>
        <w:t xml:space="preserve">c) În ceea ce priveşte </w:t>
      </w:r>
      <w:r>
        <w:rPr>
          <w:rStyle w:val="Fontdeparagrafimplicit1"/>
          <w:i/>
        </w:rPr>
        <w:t>evaluatorii,</w:t>
      </w:r>
      <w:r>
        <w:t xml:space="preserve"> aşa cum a explicat pârâtul, aceştia (fie cadre universitare, fie traducători cu experiență), nu au acces la numele candidaților, întrucât la momentul evaluării/reevaluării toate tezele au numele candidaților secretizat, lucrările candidaților fiind numerotate de la 1 la n și, pe tot parcursul procesului de evaluare/reevaluare, tezele circulă doar sub formă de numere/codul alocat inițial.</w:t>
      </w:r>
    </w:p>
    <w:p w14:paraId="5FF3A340" w14:textId="77777777" w:rsidR="000B0532" w:rsidRDefault="0076305C">
      <w:pPr>
        <w:spacing w:line="259" w:lineRule="auto"/>
        <w:ind w:firstLine="709"/>
        <w:jc w:val="both"/>
      </w:pPr>
      <w:r>
        <w:lastRenderedPageBreak/>
        <w:t>Referitor la declaraţiile de imparţialitate ale membrilor comisiilor, rezultă din anexa 4 la regulament conţinutul respectivelor declaraţii. Regulamentul nu prevede publicarea respectivelor declaraţii pe site, aspect firesc întrucât s-ar cunoaşte şi persoanele care le-au formulat, deci s-ar cunoaşte comisiile de examen/contestaţii, ceea ce ar putea periclita obiectivitatea acestora. În acest context, declaraţiile au fost depuse la dosarul cauzei, în format anonimizat (filele 68-71).</w:t>
      </w:r>
    </w:p>
    <w:p w14:paraId="20CAB5F4" w14:textId="77777777" w:rsidR="000B0532" w:rsidRDefault="0076305C">
      <w:pPr>
        <w:spacing w:line="259" w:lineRule="auto"/>
        <w:ind w:firstLine="709"/>
        <w:jc w:val="both"/>
      </w:pPr>
      <w:r>
        <w:t>În ceea ce priveşte susţinerea că ar exista un interes al examinatorilor de a propune subiecte dificile pentru a nu se asigura promovarea candidaţilor, Curtea consideră că afirmaţia nu vizează nelegalitatea procedurii, ci este o apreciere subiectivă, prin care se doreşte a se susţine tot problema dificultăţii subiectului, aspect deja analizat de instanţă.</w:t>
      </w:r>
    </w:p>
    <w:p w14:paraId="1BB3141B" w14:textId="77777777" w:rsidR="000B0532" w:rsidRDefault="0076305C">
      <w:pPr>
        <w:spacing w:line="259" w:lineRule="auto"/>
        <w:ind w:firstLine="709"/>
        <w:jc w:val="both"/>
      </w:pPr>
      <w:r>
        <w:t xml:space="preserve">În ceea ce priveşte aportul profesional al reclamantului în ceea ce priveşte asistenţa juridică şi reprezentarea clienţilor vorbitori de limbă rusă, pârâtul nu a contestat sub acest aspect competenţa profesională a părţii reclamante, iar realizările profesionale ale părţii reclamante nu pot fi puse în discuţie în acest litigiu. </w:t>
      </w:r>
    </w:p>
    <w:p w14:paraId="401707B5" w14:textId="77777777" w:rsidR="000B0532" w:rsidRDefault="0076305C">
      <w:pPr>
        <w:spacing w:line="259" w:lineRule="auto"/>
        <w:ind w:firstLine="709"/>
        <w:jc w:val="both"/>
      </w:pPr>
      <w:r>
        <w:t>În concluzie, Curtea va respinge ca nefondată acţiunea reclamantului.</w:t>
      </w:r>
    </w:p>
    <w:p w14:paraId="4E8F7190" w14:textId="77777777" w:rsidR="000B0532" w:rsidRDefault="0076305C">
      <w:pPr>
        <w:spacing w:line="259" w:lineRule="auto"/>
        <w:ind w:firstLine="709"/>
        <w:jc w:val="both"/>
      </w:pPr>
      <w:r>
        <w:t xml:space="preserve">În baza art. 453 alin. 1 Cod procedură civilă, având în vedere culpa procesuală a reclamantului rezultată din pierderea procesului, îl va obliga la cheltuieli de judecată către pârât în sumă de 5950 lei reprezentând onorariu de avocat (filele 141-142). Curtea consideră că suma acordată este proporţională cu activitatea apărătorului în cauză, având în vedere că acesta s-a prezentat la toate termenele de judecată, a formulat întâmpinare cu conţinut amplu motivat şi a depus documentaţia aferentă examenului. </w:t>
      </w:r>
    </w:p>
    <w:p w14:paraId="70046DBD" w14:textId="77777777" w:rsidR="000B0532" w:rsidRDefault="000B0532">
      <w:pPr>
        <w:jc w:val="both"/>
      </w:pPr>
    </w:p>
    <w:p w14:paraId="74F2CFFC" w14:textId="77777777" w:rsidR="000B0532" w:rsidRDefault="0076305C">
      <w:pPr>
        <w:jc w:val="center"/>
        <w:rPr>
          <w:rStyle w:val="Fontdeparagrafimplicit1"/>
          <w:b/>
        </w:rPr>
      </w:pPr>
      <w:r>
        <w:rPr>
          <w:rStyle w:val="Fontdeparagrafimplicit1"/>
          <w:b/>
        </w:rPr>
        <w:t>PENTRU ACESTE MOTIVE,</w:t>
      </w:r>
      <w:r>
        <w:rPr>
          <w:rStyle w:val="Fontdeparagrafimplicit1"/>
          <w:b/>
        </w:rPr>
        <w:br/>
        <w:t>ÎN NUMELE LEGII</w:t>
      </w:r>
    </w:p>
    <w:p w14:paraId="2221FF25" w14:textId="77777777" w:rsidR="000B0532" w:rsidRDefault="0076305C">
      <w:pPr>
        <w:jc w:val="center"/>
        <w:rPr>
          <w:rStyle w:val="Fontdeparagrafimplicit1"/>
          <w:b/>
        </w:rPr>
      </w:pPr>
      <w:r>
        <w:rPr>
          <w:rStyle w:val="Fontdeparagrafimplicit1"/>
          <w:b/>
        </w:rPr>
        <w:t>HOTĂRĂŞTE:</w:t>
      </w:r>
    </w:p>
    <w:p w14:paraId="0D45E704" w14:textId="77777777" w:rsidR="000B0532" w:rsidRDefault="000B0532">
      <w:pPr>
        <w:jc w:val="center"/>
        <w:rPr>
          <w:rStyle w:val="Fontdeparagrafimplicit1"/>
          <w:b/>
        </w:rPr>
      </w:pPr>
    </w:p>
    <w:p w14:paraId="4DBC3D40" w14:textId="77777777" w:rsidR="000B0532" w:rsidRDefault="0076305C">
      <w:pPr>
        <w:ind w:firstLine="709"/>
        <w:jc w:val="both"/>
      </w:pPr>
      <w:r>
        <w:t>Respinge ca nefondată excepţia tardivităţii acţiunii, invocată de pârât.</w:t>
      </w:r>
    </w:p>
    <w:p w14:paraId="49868DF3" w14:textId="568F6979" w:rsidR="000B0532" w:rsidRDefault="0076305C">
      <w:pPr>
        <w:ind w:firstLine="709"/>
        <w:jc w:val="both"/>
      </w:pPr>
      <w:r>
        <w:t xml:space="preserve">Respinge acţiunea formulată de reclamantul </w:t>
      </w:r>
      <w:r>
        <w:rPr>
          <w:rStyle w:val="Fontdeparagrafimplicit1"/>
          <w:b/>
        </w:rPr>
        <w:t xml:space="preserve">BA, </w:t>
      </w:r>
      <w:r>
        <w:t xml:space="preserve">cu domiciliul în Str. ... nr. ..., bl. ..., sc. ..., et. ..., ap. ..., ..., X, în contradictoriu cu pârâtul </w:t>
      </w:r>
      <w:r>
        <w:rPr>
          <w:rStyle w:val="Fontdeparagrafimplicit1"/>
          <w:b/>
        </w:rPr>
        <w:t xml:space="preserve">INSTITUTUL NAŢIONAL PENTRU CERCETARE ŞI FORMARE CULTURALĂ, </w:t>
      </w:r>
      <w:r>
        <w:t>cu sediul procesual ales la C.A. ... ... în str. .. nr. ..., ..., X, ca nefondată.</w:t>
      </w:r>
    </w:p>
    <w:p w14:paraId="4A008AFA" w14:textId="77777777" w:rsidR="000B0532" w:rsidRDefault="0076305C">
      <w:pPr>
        <w:ind w:firstLine="709"/>
        <w:jc w:val="both"/>
      </w:pPr>
      <w:r>
        <w:t xml:space="preserve">Obligă reclamantul la cheltuieli de judecată către pârât în sumă de 5950 lei reprezentând onorariu de avocat. </w:t>
      </w:r>
    </w:p>
    <w:p w14:paraId="11E081A6" w14:textId="77777777" w:rsidR="000B0532" w:rsidRDefault="0076305C">
      <w:pPr>
        <w:ind w:firstLine="709"/>
        <w:jc w:val="both"/>
      </w:pPr>
      <w:r>
        <w:t>Cu recurs în termen de 15 zile de la comunicare.</w:t>
      </w:r>
    </w:p>
    <w:p w14:paraId="6CDA7533" w14:textId="5034212B" w:rsidR="000B0532" w:rsidRDefault="0076305C">
      <w:pPr>
        <w:ind w:firstLine="709"/>
        <w:jc w:val="both"/>
      </w:pPr>
      <w:r>
        <w:t>Recursul se depune la Curtea de Apel X.</w:t>
      </w:r>
    </w:p>
    <w:p w14:paraId="13CF12B3" w14:textId="639E0E0F" w:rsidR="000B0532" w:rsidRDefault="0076305C">
      <w:pPr>
        <w:ind w:firstLine="709"/>
        <w:jc w:val="both"/>
      </w:pPr>
      <w:r>
        <w:t xml:space="preserve">Pronunţată azi, </w:t>
      </w:r>
      <w:r>
        <w:rPr>
          <w:rStyle w:val="Fontdeparagrafimplicit1"/>
          <w:b/>
        </w:rPr>
        <w:t>....2025</w:t>
      </w:r>
      <w:r>
        <w:t>, prin punerea soluţiei la dispoziţia părţilor de către grefa instanţei.</w:t>
      </w:r>
    </w:p>
    <w:p w14:paraId="0A0D2988" w14:textId="77777777" w:rsidR="000B0532" w:rsidRDefault="000B0532">
      <w:pPr>
        <w:jc w:val="both"/>
      </w:pPr>
    </w:p>
    <w:p w14:paraId="35FF0B57" w14:textId="77777777" w:rsidR="000B0532" w:rsidRDefault="0076305C">
      <w:pPr>
        <w:rPr>
          <w:rStyle w:val="Fontdeparagrafimplicit1"/>
          <w:b/>
        </w:rPr>
      </w:pPr>
      <w:r>
        <w:t xml:space="preserve">                  </w:t>
      </w:r>
      <w:r>
        <w:rPr>
          <w:rStyle w:val="Fontdeparagrafimplicit1"/>
          <w:b/>
        </w:rPr>
        <w:t xml:space="preserve">Preşedinte                                                                             Grefier                                                                                                                        </w:t>
      </w:r>
    </w:p>
    <w:p w14:paraId="1462E6A5" w14:textId="714B7AAA" w:rsidR="000B0532" w:rsidRDefault="0076305C">
      <w:r>
        <w:t xml:space="preserve">                           A0017                                                                                                ....</w:t>
      </w:r>
    </w:p>
    <w:p w14:paraId="3136F9D8" w14:textId="77777777" w:rsidR="000B0532" w:rsidRDefault="000B0532"/>
    <w:p w14:paraId="251BAC43" w14:textId="77777777" w:rsidR="000B0532" w:rsidRDefault="000B0532"/>
    <w:p w14:paraId="31AC432F" w14:textId="77777777" w:rsidR="000B0532" w:rsidRDefault="000B0532"/>
    <w:p w14:paraId="389A286F" w14:textId="77777777" w:rsidR="000B0532" w:rsidRDefault="000B0532">
      <w:pPr>
        <w:rPr>
          <w:rStyle w:val="Fontdeparagrafimplicit1"/>
          <w:sz w:val="22"/>
        </w:rPr>
      </w:pPr>
    </w:p>
    <w:p w14:paraId="0D0DF34F" w14:textId="06E9F458" w:rsidR="000B0532" w:rsidRDefault="0076305C">
      <w:pPr>
        <w:jc w:val="both"/>
        <w:rPr>
          <w:rStyle w:val="Fontdeparagrafimplicit1"/>
          <w:i/>
          <w:sz w:val="22"/>
        </w:rPr>
      </w:pPr>
      <w:r>
        <w:rPr>
          <w:rStyle w:val="Fontdeparagrafimplicit1"/>
          <w:i/>
          <w:sz w:val="22"/>
        </w:rPr>
        <w:t>Red./Thred./A0017/4 ex.</w:t>
      </w:r>
    </w:p>
    <w:p w14:paraId="6B3BCE07" w14:textId="77777777" w:rsidR="000B0532" w:rsidRDefault="0076305C">
      <w:pPr>
        <w:jc w:val="both"/>
        <w:rPr>
          <w:rStyle w:val="Fontdeparagrafimplicit1"/>
          <w:i/>
          <w:sz w:val="22"/>
        </w:rPr>
      </w:pPr>
      <w:r>
        <w:rPr>
          <w:rStyle w:val="Fontdeparagrafimplicit1"/>
          <w:i/>
          <w:sz w:val="22"/>
        </w:rPr>
        <w:t>Com. 2 ex./…………………</w:t>
      </w:r>
    </w:p>
    <w:p w14:paraId="705BC273" w14:textId="77777777" w:rsidR="000B0532" w:rsidRDefault="000B0532">
      <w:pPr>
        <w:rPr>
          <w:rStyle w:val="Fontdeparagrafimplicit1"/>
          <w:sz w:val="22"/>
        </w:rPr>
      </w:pPr>
    </w:p>
    <w:p w14:paraId="0B3FA2CD" w14:textId="77777777" w:rsidR="000B0532" w:rsidRDefault="000B0532">
      <w:pPr>
        <w:rPr>
          <w:rStyle w:val="Fontdeparagrafimplicit1"/>
          <w:sz w:val="22"/>
        </w:rPr>
      </w:pPr>
    </w:p>
    <w:p w14:paraId="2355510A" w14:textId="77777777" w:rsidR="000B0532" w:rsidRDefault="000B0532">
      <w:pPr>
        <w:rPr>
          <w:rStyle w:val="Fontdeparagrafimplicit1"/>
          <w:sz w:val="22"/>
        </w:rPr>
      </w:pPr>
    </w:p>
    <w:p w14:paraId="1B12B9D0" w14:textId="77777777" w:rsidR="000B0532" w:rsidRDefault="000B0532">
      <w:pPr>
        <w:rPr>
          <w:rStyle w:val="Fontdeparagrafimplicit1"/>
          <w:sz w:val="22"/>
        </w:rPr>
      </w:pPr>
    </w:p>
    <w:p w14:paraId="386F177C" w14:textId="77777777" w:rsidR="000B0532" w:rsidRDefault="000B0532">
      <w:pPr>
        <w:spacing w:after="200" w:line="276" w:lineRule="auto"/>
        <w:rPr>
          <w:rStyle w:val="Fontdeparagrafimplicit1"/>
          <w:rFonts w:ascii="Calibri" w:hAnsi="Calibri"/>
          <w:sz w:val="22"/>
        </w:rPr>
      </w:pPr>
    </w:p>
    <w:p w14:paraId="18E4CF5C" w14:textId="77777777" w:rsidR="000B0532" w:rsidRDefault="000B0532">
      <w:pPr>
        <w:rPr>
          <w:rStyle w:val="Fontdeparagrafimplicit1"/>
          <w:sz w:val="22"/>
        </w:rPr>
      </w:pPr>
    </w:p>
    <w:p w14:paraId="1CF3B1B3" w14:textId="77777777" w:rsidR="000B0532" w:rsidRDefault="000B0532">
      <w:pPr>
        <w:rPr>
          <w:rStyle w:val="Fontdeparagrafimplicit1"/>
          <w:sz w:val="22"/>
        </w:rPr>
      </w:pPr>
    </w:p>
    <w:sectPr w:rsidR="000B0532">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554C" w14:textId="77777777" w:rsidR="0076305C" w:rsidRDefault="0076305C">
      <w:r>
        <w:separator/>
      </w:r>
    </w:p>
  </w:endnote>
  <w:endnote w:type="continuationSeparator" w:id="0">
    <w:p w14:paraId="0B3402E7" w14:textId="77777777" w:rsidR="0076305C" w:rsidRDefault="0076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FC90F" w14:textId="77777777" w:rsidR="000B0532" w:rsidRDefault="0076305C">
    <w:pPr>
      <w:pStyle w:val="Subsol1"/>
      <w:jc w:val="center"/>
    </w:pPr>
    <w:r>
      <w:fldChar w:fldCharType="begin"/>
    </w:r>
    <w:r>
      <w:instrText>PAGE   \* MERGEFORMAT</w:instrText>
    </w:r>
    <w:r>
      <w:fldChar w:fldCharType="separate"/>
    </w:r>
    <w:r>
      <w:t>#</w:t>
    </w:r>
    <w:r>
      <w:fldChar w:fldCharType="end"/>
    </w:r>
  </w:p>
  <w:p w14:paraId="41411705" w14:textId="77777777" w:rsidR="000B0532" w:rsidRDefault="000B0532">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4EA4" w14:textId="77777777" w:rsidR="0076305C" w:rsidRDefault="0076305C">
      <w:r>
        <w:separator/>
      </w:r>
    </w:p>
  </w:footnote>
  <w:footnote w:type="continuationSeparator" w:id="0">
    <w:p w14:paraId="709E7745" w14:textId="77777777" w:rsidR="0076305C" w:rsidRDefault="00763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BA09E5"/>
    <w:multiLevelType w:val="multilevel"/>
    <w:tmpl w:val="918AE464"/>
    <w:lvl w:ilvl="0">
      <w:start w:val="1"/>
      <w:numFmt w:val="decimal"/>
      <w:lvlText w:val="%1."/>
      <w:lvlJc w:val="left"/>
      <w:pPr>
        <w:ind w:left="720" w:hanging="360"/>
      </w:pPr>
    </w:lvl>
    <w:lvl w:ilvl="1">
      <w:start w:val="1"/>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43EB5047"/>
    <w:multiLevelType w:val="hybridMultilevel"/>
    <w:tmpl w:val="DC2E4FA0"/>
    <w:lvl w:ilvl="0" w:tplc="852C8686">
      <w:start w:val="1"/>
      <w:numFmt w:val="bullet"/>
      <w:lvlText w:val="-"/>
      <w:lvlJc w:val="left"/>
      <w:pPr>
        <w:ind w:left="1069" w:hanging="360"/>
      </w:pPr>
      <w:rPr>
        <w:rFonts w:ascii="Times New Roman" w:hAnsi="Times New Roman"/>
      </w:rPr>
    </w:lvl>
    <w:lvl w:ilvl="1" w:tplc="26A29040">
      <w:start w:val="1"/>
      <w:numFmt w:val="bullet"/>
      <w:lvlText w:val="o"/>
      <w:lvlJc w:val="left"/>
      <w:pPr>
        <w:ind w:left="1789" w:hanging="360"/>
      </w:pPr>
      <w:rPr>
        <w:rFonts w:ascii="Courier New" w:hAnsi="Courier New"/>
      </w:rPr>
    </w:lvl>
    <w:lvl w:ilvl="2" w:tplc="8208F136">
      <w:start w:val="1"/>
      <w:numFmt w:val="bullet"/>
      <w:lvlText w:val=""/>
      <w:lvlJc w:val="left"/>
      <w:pPr>
        <w:ind w:left="2509" w:hanging="360"/>
      </w:pPr>
      <w:rPr>
        <w:rFonts w:ascii="Wingdings" w:hAnsi="Wingdings"/>
      </w:rPr>
    </w:lvl>
    <w:lvl w:ilvl="3" w:tplc="66DEE868">
      <w:start w:val="1"/>
      <w:numFmt w:val="bullet"/>
      <w:lvlText w:val=""/>
      <w:lvlJc w:val="left"/>
      <w:pPr>
        <w:ind w:left="3229" w:hanging="360"/>
      </w:pPr>
      <w:rPr>
        <w:rFonts w:ascii="Symbol" w:hAnsi="Symbol"/>
      </w:rPr>
    </w:lvl>
    <w:lvl w:ilvl="4" w:tplc="839EEE8A">
      <w:start w:val="1"/>
      <w:numFmt w:val="bullet"/>
      <w:lvlText w:val="o"/>
      <w:lvlJc w:val="left"/>
      <w:pPr>
        <w:ind w:left="3949" w:hanging="360"/>
      </w:pPr>
      <w:rPr>
        <w:rFonts w:ascii="Courier New" w:hAnsi="Courier New"/>
      </w:rPr>
    </w:lvl>
    <w:lvl w:ilvl="5" w:tplc="A2947978">
      <w:start w:val="1"/>
      <w:numFmt w:val="bullet"/>
      <w:lvlText w:val=""/>
      <w:lvlJc w:val="left"/>
      <w:pPr>
        <w:ind w:left="4669" w:hanging="360"/>
      </w:pPr>
      <w:rPr>
        <w:rFonts w:ascii="Wingdings" w:hAnsi="Wingdings"/>
      </w:rPr>
    </w:lvl>
    <w:lvl w:ilvl="6" w:tplc="814A99B8">
      <w:start w:val="1"/>
      <w:numFmt w:val="bullet"/>
      <w:lvlText w:val=""/>
      <w:lvlJc w:val="left"/>
      <w:pPr>
        <w:ind w:left="5389" w:hanging="360"/>
      </w:pPr>
      <w:rPr>
        <w:rFonts w:ascii="Symbol" w:hAnsi="Symbol"/>
      </w:rPr>
    </w:lvl>
    <w:lvl w:ilvl="7" w:tplc="D75A166C">
      <w:start w:val="1"/>
      <w:numFmt w:val="bullet"/>
      <w:lvlText w:val="o"/>
      <w:lvlJc w:val="left"/>
      <w:pPr>
        <w:ind w:left="6109" w:hanging="360"/>
      </w:pPr>
      <w:rPr>
        <w:rFonts w:ascii="Courier New" w:hAnsi="Courier New"/>
      </w:rPr>
    </w:lvl>
    <w:lvl w:ilvl="8" w:tplc="A75E55A0">
      <w:start w:val="1"/>
      <w:numFmt w:val="bullet"/>
      <w:lvlText w:val=""/>
      <w:lvlJc w:val="left"/>
      <w:pPr>
        <w:ind w:left="6829" w:hanging="360"/>
      </w:pPr>
      <w:rPr>
        <w:rFonts w:ascii="Wingdings" w:hAnsi="Wingdings"/>
      </w:rPr>
    </w:lvl>
  </w:abstractNum>
  <w:num w:numId="1" w16cid:durableId="1223558043">
    <w:abstractNumId w:val="0"/>
  </w:num>
  <w:num w:numId="2" w16cid:durableId="2145124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67527&amp;id_departament=54&amp;id_sesiune=5931322&amp;id_user=1406&amp;id_institutie=2&amp;actiune=modifica"/>
  </w:docVars>
  <w:rsids>
    <w:rsidRoot w:val="000B0532"/>
    <w:rsid w:val="000B0532"/>
    <w:rsid w:val="0076305C"/>
    <w:rsid w:val="007B11FB"/>
    <w:rsid w:val="00834408"/>
    <w:rsid w:val="00834E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C3451"/>
  <w15:docId w15:val="{F29BFAF2-4784-4B73-9709-DDC0B281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13"/>
        <w:tab w:val="right" w:pos="9026"/>
      </w:tabs>
    </w:pPr>
    <w:rPr>
      <w:rFonts w:ascii="Calibri" w:hAnsi="Calibri"/>
      <w:sz w:val="22"/>
    </w:rPr>
  </w:style>
  <w:style w:type="paragraph" w:customStyle="1" w:styleId="Listparagraf1">
    <w:name w:val="Listă paragraf1"/>
    <w:basedOn w:val="Normal"/>
    <w:qFormat/>
    <w:pPr>
      <w:spacing w:after="160" w:line="256" w:lineRule="auto"/>
      <w:ind w:left="720"/>
      <w:contextualSpacing/>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ulturadata.ro/wp-content/uploads/2021/08/FAO_ExamenTraducator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3493</Words>
  <Characters>20266</Characters>
  <Application>Microsoft Office Word</Application>
  <DocSecurity>0</DocSecurity>
  <Lines>168</Lines>
  <Paragraphs>47</Paragraphs>
  <ScaleCrop>false</ScaleCrop>
  <Manager/>
  <Company/>
  <LinksUpToDate>false</LinksUpToDate>
  <CharactersWithSpaces>23712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2026-09-03T07:35:00Z</dcterms:created>
  <dcterms:modified xsi:type="dcterms:W3CDTF">2026-09-03T07:35:00Z</dcterms:modified>
  <cp:category/>
  <dc:identifier/>
  <cp:contentStatus/>
  <dc:language/>
  <cp:version/>
</cp:coreProperties>
</file>