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633461" w:rsidP="00633461">
      <w:pPr>
        <w:rPr>
          <w:b/>
        </w:rPr>
      </w:pPr>
      <w:r>
        <w:rPr>
          <w:b/>
        </w:rPr>
        <w:t>HOTĂRÂREA NR. 21</w:t>
      </w:r>
      <w:r>
        <w:rPr>
          <w:b/>
        </w:rPr>
        <w:t xml:space="preserve">                                                           CANDIDAT  A0009</w:t>
      </w:r>
    </w:p>
    <w:p w:rsidR="001259A2">
      <w:pPr>
        <w:rPr>
          <w:rStyle w:val="Fontdeparagrafimplicit"/>
          <w:sz w:val="16"/>
        </w:rPr>
      </w:pPr>
      <w:r>
        <w:rPr>
          <w:rStyle w:val="Fontdeparagrafimplicit"/>
          <w:sz w:val="16"/>
        </w:rPr>
        <w:t>Document finalizat</w:t>
      </w:r>
    </w:p>
    <w:p w:rsidR="001259A2">
      <w:r>
        <w:t>Cod ECLI    ECLI:RO:</w:t>
      </w:r>
      <w:r w:rsidR="00C62A68">
        <w:t>.............</w:t>
      </w:r>
    </w:p>
    <w:p w:rsidR="001259A2">
      <w:pPr>
        <w:pStyle w:val="Corptext"/>
        <w:spacing w:line="240" w:lineRule="auto"/>
        <w:rPr>
          <w:rStyle w:val="Fontdeparagrafimplicit"/>
          <w:b/>
          <w:lang w:val="ro-RO"/>
        </w:rPr>
      </w:pPr>
      <w:r>
        <w:t>Dosar</w:t>
      </w:r>
      <w:r>
        <w:t xml:space="preserve"> nr.</w:t>
      </w:r>
      <w:r>
        <w:t xml:space="preserve"> </w:t>
      </w:r>
      <w:r w:rsidR="00C62A68">
        <w:t>..............</w:t>
      </w:r>
    </w:p>
    <w:p w:rsidR="001259A2">
      <w:pPr>
        <w:pStyle w:val="Corptext"/>
        <w:spacing w:line="240" w:lineRule="auto"/>
        <w:rPr>
          <w:rStyle w:val="Fontdeparagrafimplicit"/>
          <w:b/>
          <w:lang w:val="ro-RO"/>
        </w:rPr>
      </w:pPr>
    </w:p>
    <w:p w:rsidR="001259A2">
      <w:pPr>
        <w:jc w:val="center"/>
      </w:pPr>
      <w:r>
        <w:t>R O M Â N I A</w:t>
      </w:r>
    </w:p>
    <w:p w:rsidR="00C62A68">
      <w:pPr>
        <w:jc w:val="center"/>
      </w:pPr>
      <w:r>
        <w:t xml:space="preserve">CURTEA DE APEL </w:t>
      </w:r>
      <w:r>
        <w:t>...........</w:t>
      </w:r>
    </w:p>
    <w:p w:rsidR="001259A2">
      <w:pPr>
        <w:jc w:val="center"/>
      </w:pPr>
      <w:r>
        <w:t xml:space="preserve">SECŢIA </w:t>
      </w:r>
      <w:r w:rsidR="00C62A68">
        <w:t>..........</w:t>
      </w:r>
      <w:r>
        <w:t>CONTENCIOS ADMINISTRATIV ŞI FISCAL</w:t>
      </w:r>
    </w:p>
    <w:p w:rsidR="001259A2">
      <w:pPr>
        <w:jc w:val="center"/>
        <w:rPr>
          <w:rStyle w:val="Fontdeparagrafimplicit"/>
          <w:b/>
          <w:i/>
          <w:u w:val="single"/>
        </w:rPr>
      </w:pPr>
    </w:p>
    <w:p w:rsidR="001259A2">
      <w:pPr>
        <w:jc w:val="center"/>
        <w:rPr>
          <w:rStyle w:val="Fontdeparagrafimplicit"/>
          <w:b/>
          <w:i/>
          <w:u w:val="single"/>
        </w:rPr>
      </w:pPr>
      <w:r>
        <w:rPr>
          <w:rStyle w:val="Fontdeparagrafimplicit"/>
          <w:b/>
          <w:i/>
          <w:u w:val="single"/>
        </w:rPr>
        <w:t>DECIZIA CIVILĂ NR.</w:t>
      </w:r>
      <w:r w:rsidR="00C62A68">
        <w:rPr>
          <w:rStyle w:val="Fontdeparagrafimplicit"/>
          <w:b/>
          <w:i/>
          <w:u w:val="single"/>
        </w:rPr>
        <w:t>........</w:t>
      </w:r>
    </w:p>
    <w:p w:rsidR="001259A2">
      <w:pPr>
        <w:jc w:val="center"/>
      </w:pPr>
      <w:r>
        <w:t xml:space="preserve">ŞEDINŢA PUBLICĂ DIN DATA DE </w:t>
      </w:r>
      <w:r w:rsidR="00C62A68">
        <w:t>..............</w:t>
      </w:r>
    </w:p>
    <w:p w:rsidR="001259A2">
      <w:pPr>
        <w:jc w:val="center"/>
      </w:pPr>
      <w:r>
        <w:t>CURTEA CONSTITUITĂ DIN:</w:t>
      </w:r>
    </w:p>
    <w:p w:rsidR="001259A2">
      <w:pPr>
        <w:jc w:val="center"/>
      </w:pPr>
      <w:r>
        <w:t xml:space="preserve">PREŞEDINTE: </w:t>
      </w:r>
      <w:r w:rsidR="00C62A68">
        <w:t>.................</w:t>
      </w:r>
    </w:p>
    <w:p w:rsidR="001259A2">
      <w:pPr>
        <w:jc w:val="center"/>
      </w:pPr>
      <w:r>
        <w:t xml:space="preserve">JUDECĂTOR: </w:t>
      </w:r>
      <w:r w:rsidR="00C62A68">
        <w:t>.................</w:t>
      </w:r>
    </w:p>
    <w:p w:rsidR="001259A2">
      <w:pPr>
        <w:jc w:val="center"/>
      </w:pPr>
      <w:r>
        <w:t xml:space="preserve">JUDECĂTOR: </w:t>
      </w:r>
      <w:r w:rsidR="00C62A68">
        <w:t>CANDIDAT A0009</w:t>
      </w:r>
    </w:p>
    <w:p w:rsidR="001259A2">
      <w:pPr>
        <w:jc w:val="center"/>
      </w:pPr>
      <w:r>
        <w:t xml:space="preserve">GREFIER: </w:t>
      </w:r>
      <w:r w:rsidR="00C62A68">
        <w:t>.................</w:t>
      </w:r>
    </w:p>
    <w:p w:rsidR="001259A2">
      <w:pPr>
        <w:jc w:val="both"/>
      </w:pPr>
    </w:p>
    <w:p w:rsidR="001259A2">
      <w:pPr>
        <w:ind w:firstLine="567"/>
        <w:jc w:val="both"/>
        <w:rPr>
          <w:rStyle w:val="Fontdeparagrafimplicit"/>
        </w:rPr>
      </w:pPr>
      <w:r>
        <w:t>Pe rol se află soluţionarea cererii de recurs formulată de recurentul-reclamant</w:t>
      </w:r>
      <w:r w:rsidR="00C62A68">
        <w:t xml:space="preserve"> AB </w:t>
      </w:r>
      <w:r>
        <w:t xml:space="preserve">împotriva sentinţei civile nr. </w:t>
      </w:r>
      <w:r w:rsidR="00C62A68">
        <w:t>..........</w:t>
      </w:r>
      <w:r>
        <w:t xml:space="preserve">, pronunţată de </w:t>
      </w:r>
      <w:r w:rsidR="00C62A68">
        <w:t>Tribunalul .........</w:t>
      </w:r>
      <w:r>
        <w:t xml:space="preserve">- Secţia conflicte de muncă, asigurări sociale şi contencios administrativ şi fiscal în dosarul nr. </w:t>
      </w:r>
      <w:r w:rsidR="00C62A68">
        <w:t>..............</w:t>
      </w:r>
      <w:r>
        <w:t xml:space="preserve">, în contradictoriu cu intimatul-pârât </w:t>
      </w:r>
      <w:r>
        <w:rPr>
          <w:rStyle w:val="Fontdeparagrafimplicit"/>
          <w:b/>
        </w:rPr>
        <w:t xml:space="preserve">INSPECTORATUL DE POLIŢIE JUDEŢEAN </w:t>
      </w:r>
      <w:r w:rsidR="00C62A68">
        <w:rPr>
          <w:rStyle w:val="Fontdeparagrafimplicit"/>
          <w:b/>
        </w:rPr>
        <w:t>T</w:t>
      </w:r>
      <w:r>
        <w:t xml:space="preserve">, în cauza având ca obiect </w:t>
      </w:r>
      <w:r>
        <w:rPr>
          <w:rStyle w:val="Fontdeparagrafimplicit"/>
          <w:i/>
        </w:rPr>
        <w:t>litigiu privind funcţionarii public statutari</w:t>
      </w:r>
      <w:r>
        <w:rPr>
          <w:rStyle w:val="Fontdeparagrafimplicit"/>
          <w:b/>
        </w:rPr>
        <w:t>.</w:t>
      </w:r>
    </w:p>
    <w:p w:rsidR="001259A2">
      <w:pPr>
        <w:ind w:firstLine="567"/>
        <w:jc w:val="both"/>
      </w:pPr>
      <w:r>
        <w:t>La apelul nominal făcut în şedinţa publică a răspuns intimatul-pârât prin consilier juridic care depune delegaţie la dosar în şedinţă publică, lipsind recurentul-reclamant.</w:t>
      </w:r>
    </w:p>
    <w:p w:rsidR="001259A2">
      <w:pPr>
        <w:ind w:firstLine="567"/>
        <w:jc w:val="both"/>
      </w:pPr>
      <w:r>
        <w:t>Procedura de citare este legal îndeplinită.</w:t>
      </w:r>
    </w:p>
    <w:p w:rsidR="001259A2">
      <w:pPr>
        <w:ind w:firstLine="567"/>
        <w:jc w:val="both"/>
      </w:pPr>
      <w:r>
        <w:t>S-a făcut referatul cauzei de către grefierul de şedinţă, care a învederat că s-a solicitat judecarea cauzei şi în lipsă, cauza se află la primul termen de judecată, după care:</w:t>
      </w:r>
    </w:p>
    <w:p w:rsidR="001259A2">
      <w:pPr>
        <w:tabs>
          <w:tab w:val="left" w:pos="4297"/>
        </w:tabs>
        <w:ind w:firstLine="567"/>
        <w:jc w:val="both"/>
      </w:pPr>
      <w:r>
        <w:t>La interpelarea instanţei intimatul-pârât prin consilier juridic arată că nu are cereri prealabile de formulat, excepţii de invocat sau probe noi de administrat în faza procesuală a recursului.</w:t>
      </w:r>
    </w:p>
    <w:p w:rsidR="001259A2">
      <w:pPr>
        <w:tabs>
          <w:tab w:val="left" w:pos="4297"/>
        </w:tabs>
        <w:ind w:firstLine="567"/>
        <w:jc w:val="both"/>
      </w:pPr>
      <w:r>
        <w:t>Curtea, reţinând că nu sunt cereri de formulat, constată cauza în stare de judecată şi acordă cuvântul asupra recursului.</w:t>
      </w:r>
    </w:p>
    <w:p w:rsidR="001259A2">
      <w:pPr>
        <w:tabs>
          <w:tab w:val="left" w:pos="4297"/>
        </w:tabs>
        <w:ind w:firstLine="567"/>
        <w:jc w:val="both"/>
      </w:pPr>
      <w:r>
        <w:t xml:space="preserve">Intimatul-pârât prin consilier juridic având cuvântul asupra recursului solicită respingerea acestuia ca nefondat, apreciind sentinţa civilă pronunţată ca fiind legală şi temeinică. Instanţa de fond a admis excepţia prematurităţii şi a respins acţiunea ca prematură. </w:t>
      </w:r>
    </w:p>
    <w:p w:rsidR="001259A2">
      <w:pPr>
        <w:ind w:firstLine="567"/>
        <w:jc w:val="both"/>
      </w:pPr>
      <w:r>
        <w:t xml:space="preserve">Curtea declară închise dezbaterile şi reţine cauza în pronunţare. </w:t>
      </w:r>
    </w:p>
    <w:p w:rsidR="001259A2">
      <w:pPr>
        <w:ind w:firstLine="540"/>
        <w:jc w:val="both"/>
      </w:pPr>
    </w:p>
    <w:p w:rsidR="001259A2">
      <w:pPr>
        <w:ind w:left="3540" w:firstLine="708"/>
        <w:rPr>
          <w:rStyle w:val="Fontdeparagrafimplicit"/>
          <w:b/>
        </w:rPr>
      </w:pPr>
      <w:r>
        <w:rPr>
          <w:rStyle w:val="Fontdeparagrafimplicit"/>
          <w:b/>
        </w:rPr>
        <w:t>CURTEA,</w:t>
      </w:r>
    </w:p>
    <w:p w:rsidR="001259A2">
      <w:pPr>
        <w:ind w:firstLine="708"/>
        <w:jc w:val="both"/>
        <w:rPr>
          <w:rStyle w:val="Fontdeparagrafimplicit"/>
        </w:rPr>
      </w:pPr>
    </w:p>
    <w:p w:rsidR="001259A2">
      <w:pPr>
        <w:tabs>
          <w:tab w:val="left" w:pos="0"/>
          <w:tab w:val="left" w:pos="993"/>
          <w:tab w:val="left" w:pos="9214"/>
        </w:tabs>
        <w:ind w:firstLine="567"/>
        <w:contextualSpacing/>
        <w:jc w:val="both"/>
        <w:rPr>
          <w:rStyle w:val="Fontdeparagrafimplicit"/>
          <w:b/>
        </w:rPr>
      </w:pPr>
      <w:r>
        <w:rPr>
          <w:rStyle w:val="Fontdeparagrafimplicit"/>
          <w:b/>
        </w:rPr>
        <w:t>Deliberând asupra prezentei cereri de recurs, constată următoarele:</w:t>
      </w:r>
    </w:p>
    <w:p w:rsidR="001259A2">
      <w:pPr>
        <w:tabs>
          <w:tab w:val="left" w:pos="0"/>
          <w:tab w:val="left" w:pos="993"/>
          <w:tab w:val="left" w:pos="9214"/>
        </w:tabs>
        <w:ind w:firstLine="567"/>
        <w:contextualSpacing/>
        <w:jc w:val="both"/>
      </w:pPr>
      <w:r>
        <w:t xml:space="preserve">Prin </w:t>
      </w:r>
      <w:r>
        <w:rPr>
          <w:rStyle w:val="Fontdeparagrafimplicit"/>
          <w:b/>
        </w:rPr>
        <w:t>sentinţa nr.</w:t>
      </w:r>
      <w:r w:rsidR="00104178">
        <w:rPr>
          <w:rStyle w:val="Fontdeparagrafimplicit"/>
          <w:b/>
        </w:rPr>
        <w:t>...........</w:t>
      </w:r>
      <w:r>
        <w:rPr>
          <w:rStyle w:val="Fontdeparagrafimplicit"/>
          <w:b/>
        </w:rPr>
        <w:t xml:space="preserve">, </w:t>
      </w:r>
      <w:r w:rsidR="00C62A68">
        <w:t>Tribunalul .........</w:t>
      </w:r>
      <w:r>
        <w:t xml:space="preserve">a respins ca nefondată excepţia lipsei calităţii procesuale pasive şi a admis excepţia prematurităţii, cu consecinţa respingerii acţiunii formulate de reclamantul </w:t>
      </w:r>
      <w:r w:rsidR="00C62A68">
        <w:t xml:space="preserve">AB </w:t>
      </w:r>
      <w:r>
        <w:t xml:space="preserve">în contradictoriu cu Inspectoratul Judeţean de Poliţie </w:t>
      </w:r>
      <w:r w:rsidR="00104178">
        <w:t>T</w:t>
      </w:r>
      <w:r>
        <w:t>, ca prematură.</w:t>
      </w:r>
    </w:p>
    <w:p w:rsidR="001259A2">
      <w:pPr>
        <w:tabs>
          <w:tab w:val="left" w:pos="0"/>
          <w:tab w:val="left" w:pos="993"/>
          <w:tab w:val="left" w:pos="9214"/>
        </w:tabs>
        <w:ind w:firstLine="567"/>
        <w:contextualSpacing/>
        <w:jc w:val="both"/>
        <w:rPr>
          <w:rStyle w:val="FontStyle14"/>
          <w:rFonts w:ascii="Times New Roman" w:hAnsi="Times New Roman"/>
        </w:rPr>
      </w:pPr>
      <w:r>
        <w:t xml:space="preserve">Pentru a pronunţa această soluţie, prima instanţă a reţinut, în esenţă, că </w:t>
      </w:r>
      <w:r>
        <w:rPr>
          <w:rStyle w:val="FontStyle14"/>
          <w:rFonts w:ascii="Times New Roman" w:hAnsi="Times New Roman"/>
        </w:rPr>
        <w:t>exerciţiul dreptului în litigiu a fost suspendat prin actele normative succesive</w:t>
      </w:r>
    </w:p>
    <w:p w:rsidR="001259A2">
      <w:pPr>
        <w:tabs>
          <w:tab w:val="left" w:pos="0"/>
          <w:tab w:val="left" w:pos="993"/>
          <w:tab w:val="left" w:pos="9214"/>
        </w:tabs>
        <w:ind w:firstLine="567"/>
        <w:contextualSpacing/>
        <w:jc w:val="both"/>
      </w:pPr>
      <w:r>
        <w:t xml:space="preserve">Împotriva acestei sentinţe, la data de 13.03.2017, a formulat </w:t>
      </w:r>
      <w:r>
        <w:rPr>
          <w:rStyle w:val="Fontdeparagrafimplicit"/>
          <w:b/>
        </w:rPr>
        <w:t>recurs</w:t>
      </w:r>
      <w:r>
        <w:t xml:space="preserve"> reclamantul </w:t>
      </w:r>
      <w:r w:rsidR="00104178">
        <w:t>AB</w:t>
      </w:r>
      <w:r>
        <w:t>, prin care a solicitat casarea sentinţei recurate şi, rejudecând, admiterea acţiunii.</w:t>
      </w:r>
    </w:p>
    <w:p w:rsidR="001259A2">
      <w:pPr>
        <w:tabs>
          <w:tab w:val="left" w:pos="0"/>
          <w:tab w:val="left" w:pos="993"/>
          <w:tab w:val="left" w:pos="9214"/>
        </w:tabs>
        <w:ind w:firstLine="567"/>
        <w:contextualSpacing/>
        <w:jc w:val="both"/>
      </w:pPr>
      <w:r>
        <w:t xml:space="preserve">În motivarea recursului, în esenţă, recurentul – reclamant a arătat că art. 20 din Legea nr. 284/2010 nu a fost abrogat, ci doar a fost suspendată aplicarea acestuia în mod temporar, astfel că se impunea respingerea excepţiei prematurirăţii. Prevederile legale menţionate de instanţa de fond au afectat nu existenţa drepturilor conferite de art. 20 din Legea nr. 284/2010, ci doar exerciţiul acestora. S-a mai arătat că recurentul-reclamant este titularul unui drept în sensul art. 1 din Protocolul nr. 1 la Convenţia Europeană a Drepturilor Omului. </w:t>
      </w:r>
    </w:p>
    <w:p w:rsidR="001259A2">
      <w:pPr>
        <w:tabs>
          <w:tab w:val="left" w:pos="0"/>
          <w:tab w:val="left" w:pos="993"/>
          <w:tab w:val="left" w:pos="9214"/>
        </w:tabs>
        <w:ind w:firstLine="567"/>
        <w:contextualSpacing/>
        <w:jc w:val="both"/>
      </w:pPr>
      <w:r>
        <w:t>În drept, recurentul a invocat art. 488 alin. 1 pct. 8 din Codul de procedură civilă.</w:t>
      </w:r>
    </w:p>
    <w:p w:rsidR="001259A2">
      <w:pPr>
        <w:tabs>
          <w:tab w:val="left" w:pos="0"/>
          <w:tab w:val="left" w:pos="993"/>
          <w:tab w:val="left" w:pos="9214"/>
        </w:tabs>
        <w:ind w:firstLine="567"/>
        <w:contextualSpacing/>
        <w:jc w:val="both"/>
      </w:pPr>
      <w:r>
        <w:t xml:space="preserve">La data de 24.04.2017, intimatul-pârât Inspectoratul Judeţean de Poliţie </w:t>
      </w:r>
      <w:r w:rsidR="00104178">
        <w:t>T</w:t>
      </w:r>
      <w:r>
        <w:t xml:space="preserve"> a depus la dosar </w:t>
      </w:r>
      <w:r>
        <w:rPr>
          <w:rStyle w:val="Fontdeparagrafimplicit"/>
          <w:b/>
        </w:rPr>
        <w:t>întâmpinare</w:t>
      </w:r>
      <w:r>
        <w:t>, prin care a solicitat, în principal, admiterea excepţiilor lipsei calităţii procesuale pasive şi prematurităţii, iar, în subsidiar, respingerea recursului ca neîntemeiat, susţinând că sentinţa recurată este legală sub aspectul fondului acţiunii.</w:t>
      </w:r>
    </w:p>
    <w:p w:rsidR="001259A2">
      <w:pPr>
        <w:tabs>
          <w:tab w:val="left" w:pos="0"/>
          <w:tab w:val="left" w:pos="993"/>
          <w:tab w:val="left" w:pos="9214"/>
        </w:tabs>
        <w:ind w:firstLine="567"/>
        <w:contextualSpacing/>
        <w:jc w:val="both"/>
      </w:pPr>
      <w:r>
        <w:t>În drept, intimatul-pârât a invocat art. 205 din Codul de procedură civilă.</w:t>
      </w:r>
    </w:p>
    <w:p w:rsidR="001259A2">
      <w:pPr>
        <w:tabs>
          <w:tab w:val="left" w:pos="0"/>
          <w:tab w:val="left" w:pos="993"/>
          <w:tab w:val="left" w:pos="9214"/>
        </w:tabs>
        <w:ind w:firstLine="567"/>
        <w:contextualSpacing/>
        <w:jc w:val="both"/>
      </w:pPr>
      <w:r>
        <w:rPr>
          <w:rStyle w:val="Fontdeparagrafimplicit"/>
          <w:b/>
          <w:u w:val="single"/>
        </w:rPr>
        <w:t>Analizând sentinţa recurată prin prisma motivelor de casare invocate şi a actelor şi lucrărilor dosarului</w:t>
      </w:r>
      <w:r>
        <w:t>, Curtea apreciază ca nefondată calea de atac declarată, pentru următoarele considerente:</w:t>
      </w:r>
    </w:p>
    <w:p w:rsidR="001259A2">
      <w:pPr>
        <w:tabs>
          <w:tab w:val="left" w:pos="0"/>
          <w:tab w:val="left" w:pos="993"/>
          <w:tab w:val="left" w:pos="9214"/>
        </w:tabs>
        <w:ind w:firstLine="567"/>
        <w:contextualSpacing/>
        <w:jc w:val="both"/>
      </w:pPr>
      <w:r>
        <w:t>Prin cererea de chemare în judecată, reclamantul a solicitat constatarea calităţii sale de creditor faţă de pârât, în temeiul Legii – cadru nr. 284/2010, anexa VII, secţiunea a 3-a, art. 20, şi obligarea acestuia din urmă la plata sumelor de bani reprezentând ajutor la trecerea în rezervă, cu penalităţi de întârziere şi dobânzi calculate până la plata integrală a sumelor de bani.</w:t>
      </w:r>
    </w:p>
    <w:p w:rsidR="001259A2">
      <w:pPr>
        <w:tabs>
          <w:tab w:val="left" w:pos="0"/>
          <w:tab w:val="left" w:pos="993"/>
          <w:tab w:val="left" w:pos="9214"/>
        </w:tabs>
        <w:ind w:firstLine="567"/>
        <w:contextualSpacing/>
        <w:jc w:val="both"/>
      </w:pPr>
      <w:r>
        <w:t>Astfel, temeiul de drept (dispoziţia legală reglementând ajutorul la trecerea în rezervă pretins de către reclamant) este art. 20 alin.(1) din Secţiunea a 3-a a Anexei VII la Legea nr. 284/2010, iar din lecturarea sentinţei recurate reiese că prima instanţă a analizat cererea de chemare în judecată din perspectiva prevederii legale invocate de către reclamant.</w:t>
      </w:r>
    </w:p>
    <w:p w:rsidR="001259A2">
      <w:pPr>
        <w:tabs>
          <w:tab w:val="left" w:pos="0"/>
          <w:tab w:val="left" w:pos="993"/>
          <w:tab w:val="left" w:pos="9214"/>
        </w:tabs>
        <w:ind w:firstLine="567"/>
        <w:contextualSpacing/>
        <w:jc w:val="both"/>
      </w:pPr>
      <w:r>
        <w:t>Decizia nr. 16/2015 pronunţată de Înalta Curte de Casaţie şi Justiţie - Completul pentru dezlegarea unor chestiuni de drept, prin care s-a dat o interpretare dispoziţiilor art. 9 din Legea nr. 118/2010 privind unele măsuri necesare în vederea restabilirii echilibrului bugetar, cu modificările şi completările ulterioare, urmează a fi valorificată de către Curte cu ocazia verificării modului în care prima instanţă a interpretat şi aplicat art. 20 alin.(1) din Secţiunea a 3-a a Anexei VII la Legea nr. 284/2010.</w:t>
      </w:r>
    </w:p>
    <w:p w:rsidR="001259A2">
      <w:pPr>
        <w:tabs>
          <w:tab w:val="left" w:pos="0"/>
          <w:tab w:val="left" w:pos="993"/>
          <w:tab w:val="left" w:pos="9214"/>
        </w:tabs>
        <w:ind w:firstLine="567"/>
        <w:contextualSpacing/>
        <w:jc w:val="both"/>
      </w:pPr>
      <w:r>
        <w:t xml:space="preserve">Potrivit </w:t>
      </w:r>
      <w:r>
        <w:rPr>
          <w:rStyle w:val="Fontdeparagrafimplicit"/>
          <w:b/>
        </w:rPr>
        <w:t>art. 20 alin.(1) din Secţiunea a 3-a a Anexei VII la Legea nr. 284/2010</w:t>
      </w:r>
      <w:r>
        <w:t xml:space="preserve"> privind salarizarea unitară a personalului plătit din fonduri publice, </w:t>
      </w:r>
      <w:r>
        <w:rPr>
          <w:rStyle w:val="Fontdeparagrafimplicit"/>
          <w:i/>
        </w:rPr>
        <w:t>la trecerea în rezervă sau direct în retragere, respectiv la încetarea raporturilor de serviciu, cu drept la pensie, personalul militar, poliţiştii şi funcţionarii publici cu statut special din sistemul administraţiei penitenciare, pentru activitatea depusă, în funcţie de vechimea efectivă ca militar, poliţist, funcţionar public cu statut special din sistemul administraţiei penitenciare şi personal civil în instituţiile publice de apărare, ordine publică şi siguranţă naţională, beneficiază de un ajutor stabilit în raport cu solda funcţiei de bază, respectiv salariul funcţiei de bază avută/avut în luna schimbării poziţiei de activitate</w:t>
      </w:r>
      <w:r>
        <w:t>.</w:t>
      </w:r>
    </w:p>
    <w:p w:rsidR="001259A2">
      <w:pPr>
        <w:tabs>
          <w:tab w:val="left" w:pos="0"/>
          <w:tab w:val="left" w:pos="993"/>
          <w:tab w:val="left" w:pos="9214"/>
        </w:tabs>
        <w:ind w:firstLine="567"/>
        <w:contextualSpacing/>
        <w:jc w:val="both"/>
      </w:pPr>
      <w:r>
        <w:t xml:space="preserve">Prin </w:t>
      </w:r>
      <w:r>
        <w:rPr>
          <w:rStyle w:val="Fontdeparagrafimplicit"/>
          <w:b/>
        </w:rPr>
        <w:t>art. 13 din Legea nr. 285/2010</w:t>
      </w:r>
      <w:r>
        <w:t xml:space="preserve"> privind salarizarea în anul 2011 a personalului plătit din fonduri publice s-a prevăzut că </w:t>
      </w:r>
      <w:r>
        <w:rPr>
          <w:rStyle w:val="Fontdeparagrafimplicit"/>
          <w:i/>
          <w:u w:val="single"/>
        </w:rPr>
        <w:t>în anul 2011</w:t>
      </w:r>
      <w:r>
        <w:rPr>
          <w:rStyle w:val="Fontdeparagrafimplicit"/>
          <w:i/>
        </w:rPr>
        <w:t>, dispoziţiile legale privind acordarea ajutoarelor sau, după caz, indemnizaţiilor la ieşirea la pensie, retragere, încetarea raporturilor de serviciu ori la trecerea în rezervă nu se aplică</w:t>
      </w:r>
      <w:r>
        <w:t>.</w:t>
      </w:r>
    </w:p>
    <w:p w:rsidR="001259A2">
      <w:pPr>
        <w:tabs>
          <w:tab w:val="left" w:pos="0"/>
          <w:tab w:val="left" w:pos="993"/>
          <w:tab w:val="left" w:pos="9214"/>
        </w:tabs>
        <w:ind w:firstLine="567"/>
        <w:contextualSpacing/>
        <w:jc w:val="both"/>
      </w:pPr>
      <w:r>
        <w:t xml:space="preserve">Prin </w:t>
      </w:r>
      <w:r>
        <w:rPr>
          <w:rStyle w:val="Fontdeparagrafimplicit"/>
          <w:b/>
        </w:rPr>
        <w:t>articolul unicdin Legea nr. 283/2011</w:t>
      </w:r>
      <w:r>
        <w:t xml:space="preserve"> privind aprobarea O.U.G. nr. 80/2010 pentru completarea art. 11 din Ordonanţa de urgenţă a Guvernului nr. 37/2008 privind reglementarea unor măsuri financiare în domeniul bugetar s-a prevăzut că se aprobă O.U.G. nr. 80/2010 cu următoarele modificări şi completări: […] 9. </w:t>
      </w:r>
      <w:r>
        <w:rPr>
          <w:rStyle w:val="Fontdeparagrafimplicit"/>
          <w:i/>
          <w:u w:val="single"/>
        </w:rPr>
        <w:t>În anul 2012</w:t>
      </w:r>
      <w:r>
        <w:rPr>
          <w:rStyle w:val="Fontdeparagrafimplicit"/>
          <w:i/>
        </w:rPr>
        <w:t xml:space="preserve"> nu se acordă ajutoarele sau, după caz, indemnizaţiile la ieşirea la pensie, retragere, încetarea raporturilor de serviciu ori la trecerea în rezervă</w:t>
      </w:r>
      <w:r>
        <w:t>.</w:t>
      </w:r>
    </w:p>
    <w:p w:rsidR="001259A2">
      <w:pPr>
        <w:tabs>
          <w:tab w:val="left" w:pos="0"/>
          <w:tab w:val="left" w:pos="993"/>
          <w:tab w:val="left" w:pos="9214"/>
        </w:tabs>
        <w:ind w:firstLine="567"/>
        <w:contextualSpacing/>
        <w:jc w:val="both"/>
      </w:pPr>
      <w:r>
        <w:t xml:space="preserve">Prin </w:t>
      </w:r>
      <w:r>
        <w:rPr>
          <w:rStyle w:val="Fontdeparagrafimplicit"/>
          <w:b/>
        </w:rPr>
        <w:t>art. 10 alin.(1) din O.U.G. nr. 103/2013</w:t>
      </w:r>
      <w:r>
        <w:t xml:space="preserve"> privind salarizarea personalului plătit din fonduri publice în anul 2014, precum şi alte măsuri în domeniul cheltuielilor publice s-a prevăzut că </w:t>
      </w:r>
      <w:r>
        <w:rPr>
          <w:rStyle w:val="Fontdeparagrafimplicit"/>
          <w:i/>
          <w:u w:val="single"/>
        </w:rPr>
        <w:t>în anul 2014</w:t>
      </w:r>
      <w:r>
        <w:rPr>
          <w:rStyle w:val="Fontdeparagrafimplicit"/>
          <w:i/>
        </w:rPr>
        <w:t xml:space="preserve"> nu se acordă ajutoarele sau, după caz, indemnizaţiile la ieşirea la pensie, retragere, încetarea raporturilor de serviciu ori la trecerea în rezervă</w:t>
      </w:r>
      <w:r>
        <w:t>.</w:t>
      </w:r>
    </w:p>
    <w:p w:rsidR="001259A2">
      <w:pPr>
        <w:tabs>
          <w:tab w:val="left" w:pos="0"/>
          <w:tab w:val="left" w:pos="993"/>
          <w:tab w:val="left" w:pos="9214"/>
        </w:tabs>
        <w:ind w:firstLine="567"/>
        <w:contextualSpacing/>
        <w:jc w:val="both"/>
      </w:pPr>
      <w:r>
        <w:t xml:space="preserve">Prin </w:t>
      </w:r>
      <w:r>
        <w:rPr>
          <w:rStyle w:val="Fontdeparagrafimplicit"/>
          <w:b/>
        </w:rPr>
        <w:t>art. 9 alin.(1) din O.U.G. nr. 83/2014</w:t>
      </w:r>
      <w:r>
        <w:t xml:space="preserve"> privind salarizarea personalului plătit din fonduri publice în anul 2015, precum şi alte măsuri în domeniul cheltuielilor publice s-a stabilit că </w:t>
      </w:r>
      <w:r>
        <w:rPr>
          <w:rStyle w:val="Fontdeparagrafimplicit"/>
          <w:i/>
          <w:u w:val="single"/>
        </w:rPr>
        <w:t>în anul 2015</w:t>
      </w:r>
      <w:r>
        <w:rPr>
          <w:rStyle w:val="Fontdeparagrafimplicit"/>
          <w:i/>
        </w:rPr>
        <w:t>, dispoziţiile legale privind acordarea ajutoarelor sau, după caz, indemnizaţiilor la ieşirea la pensie, retragere, încetarea raporturilor de serviciu ori la trecerea în rezervă nu se aplică</w:t>
      </w:r>
      <w:r>
        <w:t>.</w:t>
      </w:r>
    </w:p>
    <w:p w:rsidR="001259A2">
      <w:pPr>
        <w:tabs>
          <w:tab w:val="left" w:pos="0"/>
          <w:tab w:val="left" w:pos="993"/>
          <w:tab w:val="left" w:pos="9214"/>
        </w:tabs>
        <w:ind w:firstLine="567"/>
        <w:contextualSpacing/>
        <w:jc w:val="both"/>
      </w:pPr>
      <w:r>
        <w:t xml:space="preserve">Prin </w:t>
      </w:r>
      <w:r>
        <w:rPr>
          <w:rStyle w:val="Fontdeparagrafimplicit"/>
          <w:b/>
        </w:rPr>
        <w:t>Decizia nr. 16/2015 pronunţată de Înalta Curte de Casaţie şi Justiţie - Completul pentru dezlegarea unor chestiuni de drept</w:t>
      </w:r>
      <w:r>
        <w:t xml:space="preserve"> s-a stabilit că </w:t>
      </w:r>
      <w:r>
        <w:rPr>
          <w:rStyle w:val="Fontdeparagrafimplicit"/>
          <w:i/>
        </w:rPr>
        <w:t xml:space="preserve">dispoziţiile art. 9 din Legea nr. 118/2010 privind unele măsuri necesare în vederea restabilirii echilibrului bugetar, </w:t>
      </w:r>
      <w:r>
        <w:rPr>
          <w:rStyle w:val="Fontdeparagrafimplicit"/>
          <w:i/>
        </w:rPr>
        <w:t>cu modificările şi completările ulterioare, vizează exerciţiul dreptului la acordarea ajutoarelor sau, după caz, indemnizaţiilor, în sensul că acesta este suspendat în perioada 3 iulie-31 decembrie 2010, şi nu existenţa acestui drept</w:t>
      </w:r>
      <w:r>
        <w:t xml:space="preserve">. </w:t>
      </w:r>
    </w:p>
    <w:p w:rsidR="001259A2">
      <w:pPr>
        <w:tabs>
          <w:tab w:val="left" w:pos="0"/>
          <w:tab w:val="left" w:pos="993"/>
          <w:tab w:val="left" w:pos="9214"/>
        </w:tabs>
        <w:ind w:firstLine="567"/>
        <w:contextualSpacing/>
        <w:jc w:val="both"/>
      </w:pPr>
      <w:r>
        <w:t xml:space="preserve">În motivarea deciziei menţionate, instanţa supremă, analizând actele normative succesive privind dreptul la acordarea de ajutoare la ieşirea la pensie, retragere ori la trecerea în rezervă, inclusiv art. 20 din anexa nr. VII la Legea nr. 284/2010, a reţinut: </w:t>
      </w:r>
      <w:r>
        <w:rPr>
          <w:rStyle w:val="Fontdeparagrafimplicit"/>
          <w:i/>
        </w:rPr>
        <w:t xml:space="preserve">din interpretarea normelor legale enunţate rezultă că voinţa legiuitorului nu a fost aceea de eliminare a beneficiilor acordate unor categorii socioprofesionale, respectiv de încetare a existenţei dreptului la acordarea de ajutoare/indemnizaţii, ci doar de </w:t>
      </w:r>
      <w:r>
        <w:rPr>
          <w:rStyle w:val="Fontdeparagrafimplicit"/>
          <w:b/>
          <w:i/>
        </w:rPr>
        <w:t>suspendare a exerciţiului acestui drept</w:t>
      </w:r>
      <w:r>
        <w:rPr>
          <w:rStyle w:val="Fontdeparagrafimplicit"/>
          <w:i/>
        </w:rPr>
        <w:t>. Raţiunea acestei interpretări este impusă şi de succesiunea în timp a actelor normative prin care legiuitorul a dispus, cu caracter temporar, măsura neaplicării dispoziţiilor legale privind ajutoarele/indemnizaţiile în anii 2011-2015. Sub acest aspect, relativ la măsurile financiare instituite prin Legea nr. 283/2011 pentru anul 2012, Curtea Constituţională a reţinut că aceste măsuri nu aduc atingere înseşi substanţei drepturilor băneşti vizate, ci doar amână acordarea ajutoarelor/indemnizaţiilor pe o perioadă limitată de timp, pentru a nu se crea o datorie bugetară imposibil de acoperit, în contextul unui echilibru financiar marcat de criză (deciziile nr. 1.576 din 7 decembrie 2011 şi nr. 291 din 23 mai 2013). Prin urmare, se impune a se reţine că efectele dispoziţiilor art. 9 din Legea nr. 118/2010 au vizat exerciţiul dreptului la acordarea de ajutoare/indemnizaţii, în sensul suspendării acestuia în perioada 3 iulie-31 decembrie 2010, şi nu existenţa acestui drept</w:t>
      </w:r>
      <w:r>
        <w:t>.</w:t>
      </w:r>
    </w:p>
    <w:p w:rsidR="001259A2">
      <w:pPr>
        <w:tabs>
          <w:tab w:val="left" w:pos="0"/>
          <w:tab w:val="left" w:pos="993"/>
          <w:tab w:val="left" w:pos="9214"/>
        </w:tabs>
        <w:ind w:firstLine="567"/>
        <w:contextualSpacing/>
        <w:jc w:val="both"/>
      </w:pPr>
      <w:r>
        <w:t xml:space="preserve">În acord cu decizia instanţei supreme, Curtea reţine că art. 13 din Legea nr. 285/2010, articolul unic din Legea nr. 283/2011, art. 10 alin.(1) din O.U.G. nr. 103/2013 şi art. 9 alin.(1) din O.U.G. nr. 83/2014 nu au afectat existenţa dreptului la ajutorul la trecerea în rezervă (nu au suprimat dreptul de a primi acest ajutor), ci doar exerciţiul acestui drept, în sensul că în perioada 2011 - 2015 acest ajutor nu s-a acordat. La această concluzie a ajuns şi prima instanţă, aceasta menţionând în mod corect că ”dispoziţiile art. 10 din O.U.G. n.103/2013 interzic aplicarea în 2014 a dispoziţiilor privind ajutoarele”, nu că dreptul ar fi fost suprimat sau ”interzis”, cum a susţinut recurentul - reclamant. </w:t>
      </w:r>
    </w:p>
    <w:p w:rsidR="001259A2">
      <w:pPr>
        <w:tabs>
          <w:tab w:val="left" w:pos="0"/>
          <w:tab w:val="left" w:pos="993"/>
          <w:tab w:val="left" w:pos="9214"/>
        </w:tabs>
        <w:ind w:firstLine="567"/>
        <w:contextualSpacing/>
        <w:jc w:val="both"/>
      </w:pPr>
      <w:r>
        <w:t xml:space="preserve">Argumentele prezentate prin Decizia nr. 16/2015 nu sugerează că prevederile Legii nr. 285/2010, ale Legii nr. 283/2011, ale O.U.G. nr. 103/2013 şi ale O.U.G. nr. 83/2014 nu pot fi luate în considerare. Faptul că instanţa supremă a stabilit că exerciţiul dreptului la acordarea ajutoarelor sau, după caz, indemnizaţiilor, este suspendat în perioada </w:t>
      </w:r>
      <w:r>
        <w:rPr>
          <w:rStyle w:val="Fontdeparagrafimplicit"/>
          <w:i/>
        </w:rPr>
        <w:t>3 iulie-31 decembrie 2010</w:t>
      </w:r>
      <w:r>
        <w:t xml:space="preserve"> (nu şi ulterior) este doar consecinţa limitelor în care instanţa a fost învestită, solicitarea de interpretare vizând  art. 9 din Legea nr. 118/2010 (începând cu data intrării în vigoare a prezentei legi nu se mai acordă ajutoare sau, după caz, indemnizaţii la ieşirea la pensie, retragere ori la trecerea în rezervă), pe perioada de până la data de 1 ianuarie 2011 – data intrării în vigoare a Legii nr. 285/2010. </w:t>
      </w:r>
    </w:p>
    <w:p w:rsidR="001259A2">
      <w:pPr>
        <w:tabs>
          <w:tab w:val="left" w:pos="0"/>
          <w:tab w:val="left" w:pos="993"/>
          <w:tab w:val="left" w:pos="9214"/>
        </w:tabs>
        <w:ind w:firstLine="567"/>
        <w:contextualSpacing/>
        <w:jc w:val="both"/>
      </w:pPr>
      <w:r>
        <w:t xml:space="preserve">Astfel, faptul că instanţa supremă a menţionat că exerciţiul dreptului la acordarea ajutoarelor sau, după caz, indemnizaţiilor, este suspendat în perioada 3 iulie-31 decembrie 2010 </w:t>
      </w:r>
      <w:r>
        <w:rPr>
          <w:rStyle w:val="Fontdeparagrafimplicit"/>
          <w:b/>
        </w:rPr>
        <w:t>nu</w:t>
      </w:r>
      <w:r>
        <w:t xml:space="preserve"> poate fi înţeles în sensul că exerciţiul dreptului la acordarea ajutoarelor sau, după caz, indemnizaţiilor, este suspendat </w:t>
      </w:r>
      <w:r>
        <w:rPr>
          <w:rStyle w:val="Fontdeparagrafimplicit"/>
          <w:i/>
        </w:rPr>
        <w:t>doar</w:t>
      </w:r>
      <w:r>
        <w:t xml:space="preserve"> în perioada 3 iulie-31 decembrie 2010.</w:t>
      </w:r>
    </w:p>
    <w:p w:rsidR="001259A2">
      <w:pPr>
        <w:tabs>
          <w:tab w:val="left" w:pos="0"/>
          <w:tab w:val="left" w:pos="993"/>
          <w:tab w:val="left" w:pos="9214"/>
        </w:tabs>
        <w:ind w:firstLine="567"/>
        <w:contextualSpacing/>
        <w:jc w:val="both"/>
      </w:pPr>
      <w:r>
        <w:t>În consecinţă, prima instanţă, respingând acţiunea, nu a încălcat Decizia nr. 16/2015 a Înaltei Curţi de Casaţie şi Justiţie – Completul pentru dezlegarea unei chestiuni de drept, şi a făcut o interpretare şi o aplicare corectă a art. 13 din Legea nr. 285/2010, articolul unic din Legea nr. 283/2011, art. 10 alin.(1) din O.U.G. nr. 103/2013 şi art. 9 alin.(1) din O.U.G. nr. 83/2014, dispoziţii prin care s-a prevăzut în mod expres că nu se acordă ajutorul la trecerea în rezervă în perioada 2011 - 2015.</w:t>
      </w:r>
    </w:p>
    <w:p w:rsidR="001259A2">
      <w:pPr>
        <w:tabs>
          <w:tab w:val="left" w:pos="0"/>
          <w:tab w:val="left" w:pos="993"/>
          <w:tab w:val="left" w:pos="9214"/>
        </w:tabs>
        <w:ind w:firstLine="567"/>
        <w:contextualSpacing/>
        <w:jc w:val="both"/>
      </w:pPr>
      <w:r>
        <w:t>În cauză, soluţia de respingere a acţiunii nu a fost justificată de caracterul limitat sau de neacordarea fondurilor bugetare aprobate anual cu destinaţia de plăţi a drepturilor prevăzute de art. 20 din Legea nr. 284/2010, ci de faptul că dispoziţiile legale mai sus enunţate prevăd în mod expres neacordarea ajutorului în discuţie, iar obligarea pârâtului la plata ajutorului ar echivala cu nerespectarea acestora.</w:t>
      </w:r>
    </w:p>
    <w:p w:rsidR="001259A2">
      <w:pPr>
        <w:tabs>
          <w:tab w:val="left" w:pos="0"/>
          <w:tab w:val="left" w:pos="993"/>
          <w:tab w:val="left" w:pos="9214"/>
        </w:tabs>
        <w:ind w:firstLine="567"/>
        <w:contextualSpacing/>
        <w:jc w:val="both"/>
      </w:pPr>
      <w:r>
        <w:t xml:space="preserve">Curtea reţine de asemenea că pentru motivele pentru care pârâtul nu poate fi obligat la plata ajutorului la trecerea în rezervă, nici reclamantului nu i se poate recunoaşte calitatea de creditor faţă de pârât în privinţa aceluiaşi ajutor. </w:t>
      </w:r>
    </w:p>
    <w:p w:rsidR="001259A2">
      <w:pPr>
        <w:tabs>
          <w:tab w:val="left" w:pos="0"/>
          <w:tab w:val="left" w:pos="993"/>
          <w:tab w:val="left" w:pos="9214"/>
        </w:tabs>
        <w:ind w:firstLine="567"/>
        <w:contextualSpacing/>
        <w:jc w:val="both"/>
      </w:pPr>
      <w:r>
        <w:t>Suspendarea exerciţiului dreptului determină caracterul neexigibil al creanţei pretinse este reclamant. Dreptul a luat naştere la momentul la care reclamantul a îndeplinit condiţiile prevăzute de lege, însă realizarea acestuia este afectată de termenele stabilite de legislaţia analizată mai sus. În consecinţă, nu se poate reţine că dreptul ar fi fost suprimat, retroactiv, contrar art. 1 din Protocolul nr. 1 la Convenţia Europeană a Drepturilor Omului.</w:t>
      </w:r>
    </w:p>
    <w:p w:rsidR="001259A2">
      <w:pPr>
        <w:tabs>
          <w:tab w:val="left" w:pos="0"/>
          <w:tab w:val="left" w:pos="993"/>
          <w:tab w:val="left" w:pos="9214"/>
        </w:tabs>
        <w:ind w:firstLine="567"/>
        <w:contextualSpacing/>
        <w:jc w:val="both"/>
      </w:pPr>
      <w:r>
        <w:t xml:space="preserve">De altfel, asupra naturii drepturilor acordate cu prilejul trecerii în rezervă, Curtea Constituţională a statuat, prin Decizia nr. 334/2014, că ajutoarele ori indemnizaţiile la care se referă art. 13 alin. (1) din Legea nr. 285/2010 </w:t>
      </w:r>
      <w:r>
        <w:rPr>
          <w:rStyle w:val="Fontdeparagrafimplicit"/>
          <w:lang w:val="en-US"/>
        </w:rPr>
        <w:t>[</w:t>
      </w:r>
      <w:r>
        <w:t>ajutoarele sau, după caz, indemnizaţiile la ieşirea la pensie, retragere, încetarea raporturilor de serviciu ori la trecerea în rezervă nu se aplică</w:t>
      </w:r>
      <w:r>
        <w:rPr>
          <w:rStyle w:val="Fontdeparagrafimplicit"/>
          <w:lang w:val="en-US"/>
        </w:rPr>
        <w:t>]</w:t>
      </w:r>
      <w:r>
        <w:t xml:space="preserve"> nu fac parte dintre drepturile ori libertăţile fundamentale, astfel că legiuitorul este liber să dispună cu privire la conţinutul, limitele şi condiţiile de acordare a acestora, precum şi să dispună diminuarea ori chiar încetarea acordării acestora, fără a fi necesară întrunirea condiţiilor stabilite de art. 53 din Legea fundamentală (articol potrivit căruia (1) exerciţiul unor drepturi sau al unor libertăţi poate fi restrâns numai prin lege şi numai dacă se impune, după caz, pentru: apărarea securităţii naţionale, a ordinii, a sănătăţii ori a moralei publice, a drepturilor şi a libertăţilor cetăţenilor; desfăşurarea instrucţiei penale; prevenirea consecinţelor unei calamităţi naturale, ale unui dezastru ori ale unui sinistru deosebit de grav. (2) Restrângerea poate fi dispusă numai dacă este </w:t>
      </w:r>
      <w:r>
        <w:rPr>
          <w:rStyle w:val="Fontdeparagrafimplicit"/>
          <w:i/>
        </w:rPr>
        <w:t>necesară într-o societate democratică</w:t>
      </w:r>
      <w:r>
        <w:t xml:space="preserve">. Măsura trebuie să fie </w:t>
      </w:r>
      <w:r>
        <w:rPr>
          <w:rStyle w:val="Fontdeparagrafimplicit"/>
          <w:i/>
        </w:rPr>
        <w:t>proporţională</w:t>
      </w:r>
      <w:r>
        <w:t xml:space="preserve"> cu situaţia care a determinat-o, să fie aplicată în mod </w:t>
      </w:r>
      <w:r>
        <w:rPr>
          <w:rStyle w:val="Fontdeparagrafimplicit"/>
          <w:i/>
        </w:rPr>
        <w:t>nediscriminatoriu</w:t>
      </w:r>
      <w:r>
        <w:t xml:space="preserve"> şi </w:t>
      </w:r>
      <w:r>
        <w:rPr>
          <w:rStyle w:val="Fontdeparagrafimplicit"/>
          <w:i/>
        </w:rPr>
        <w:t>fără a aduce atingere existenţei dreptului sau a libertăţii</w:t>
      </w:r>
      <w:r>
        <w:t>); indemnizaţiile acordate cu prilejul ieşirii la pensie, retragerii, încetării raporturilor de serviciu ori trecerii în rezervă "reprezintă beneficii acordate anumitor categorii socioprofesionale în virtutea statutului special al acestora, fără a avea însă un temei constituţional".</w:t>
      </w:r>
    </w:p>
    <w:p w:rsidR="001259A2">
      <w:pPr>
        <w:tabs>
          <w:tab w:val="left" w:pos="0"/>
          <w:tab w:val="left" w:pos="993"/>
          <w:tab w:val="left" w:pos="9214"/>
        </w:tabs>
        <w:ind w:firstLine="567"/>
        <w:contextualSpacing/>
        <w:jc w:val="both"/>
      </w:pPr>
      <w:r>
        <w:t>În concluzie, pentru motivele de fapt şi de drept menţionate, apreciind că nu pot fi reţinute ca întemeiate criticile formulate de către recurentul - reclamant, Curtea, în temeiul art. 20 din Legea nr. 554/2004 şi art. 496 alin. (1) din C.proc.civ., va respinge ca nefondată calea de atac declarată.</w:t>
      </w:r>
    </w:p>
    <w:p w:rsidR="001259A2">
      <w:pPr>
        <w:jc w:val="both"/>
        <w:rPr>
          <w:rStyle w:val="Fontdeparagrafimplicit"/>
          <w:b/>
        </w:rPr>
      </w:pPr>
    </w:p>
    <w:p w:rsidR="001259A2">
      <w:pPr>
        <w:jc w:val="center"/>
        <w:rPr>
          <w:rStyle w:val="Fontdeparagrafimplicit"/>
          <w:b/>
        </w:rPr>
      </w:pPr>
      <w:r>
        <w:rPr>
          <w:rStyle w:val="Fontdeparagrafimplicit"/>
          <w:b/>
        </w:rPr>
        <w:t>PENTRU ACESTE MOTIVE</w:t>
      </w:r>
    </w:p>
    <w:p w:rsidR="001259A2">
      <w:pPr>
        <w:jc w:val="center"/>
        <w:rPr>
          <w:rStyle w:val="Fontdeparagrafimplicit"/>
          <w:b/>
        </w:rPr>
      </w:pPr>
      <w:r>
        <w:rPr>
          <w:rStyle w:val="Fontdeparagrafimplicit"/>
          <w:b/>
        </w:rPr>
        <w:t>ÎN NUMELE LEGII</w:t>
      </w:r>
    </w:p>
    <w:p w:rsidR="001259A2">
      <w:pPr>
        <w:jc w:val="center"/>
        <w:rPr>
          <w:rStyle w:val="Fontdeparagrafimplicit"/>
          <w:b/>
        </w:rPr>
      </w:pPr>
      <w:r>
        <w:rPr>
          <w:rStyle w:val="Fontdeparagrafimplicit"/>
          <w:b/>
        </w:rPr>
        <w:t>DISPUNE:</w:t>
      </w:r>
    </w:p>
    <w:p w:rsidR="001259A2">
      <w:pPr>
        <w:jc w:val="both"/>
        <w:rPr>
          <w:rStyle w:val="Fontdeparagrafimplicit"/>
        </w:rPr>
      </w:pPr>
    </w:p>
    <w:p w:rsidR="001259A2">
      <w:pPr>
        <w:ind w:firstLine="567"/>
        <w:jc w:val="both"/>
      </w:pPr>
      <w:r>
        <w:t>Respinge recursul formulată de recurentul-reclamant</w:t>
      </w:r>
      <w:r w:rsidR="00104178">
        <w:t xml:space="preserve"> </w:t>
      </w:r>
      <w:r w:rsidR="00C62A68">
        <w:t>AB</w:t>
      </w:r>
      <w:r w:rsidR="00104178">
        <w:t xml:space="preserve"> </w:t>
      </w:r>
      <w:r>
        <w:t>cu domiciliul în</w:t>
      </w:r>
      <w:r w:rsidR="00104178">
        <w:t xml:space="preserve"> ............</w:t>
      </w:r>
      <w:r>
        <w:t>, str.</w:t>
      </w:r>
      <w:r w:rsidR="00104178">
        <w:t>......., bl........, et......., ap........, jud.......</w:t>
      </w:r>
      <w:r>
        <w:t xml:space="preserve">, împotriva sentinţei civile nr. </w:t>
      </w:r>
      <w:r w:rsidR="00C62A68">
        <w:t>..........</w:t>
      </w:r>
      <w:r>
        <w:t xml:space="preserve">, pronunţată de </w:t>
      </w:r>
      <w:r w:rsidR="00C62A68">
        <w:t>Tribunalul .........</w:t>
      </w:r>
      <w:r>
        <w:t xml:space="preserve">- Secţia conflicte de muncă, asigurări sociale şi contencios administrativ şi fiscal în dosarul nr. </w:t>
      </w:r>
      <w:r w:rsidR="00C62A68">
        <w:t>..............</w:t>
      </w:r>
      <w:r>
        <w:t xml:space="preserve">, în contradictoriu cu intimatul-pârât INSPECTORATUL DE POLIŢIE JUDEŢEAN </w:t>
      </w:r>
      <w:r w:rsidR="00C62A68">
        <w:t>T</w:t>
      </w:r>
      <w:r>
        <w:t xml:space="preserve"> cu sediul în</w:t>
      </w:r>
      <w:r w:rsidR="00104178">
        <w:t xml:space="preserve"> .........</w:t>
      </w:r>
      <w:r>
        <w:t>, str.</w:t>
      </w:r>
      <w:r w:rsidR="00104178">
        <w:t>......, nr.........., jud.........</w:t>
      </w:r>
      <w:r>
        <w:t>, ca nefondat.</w:t>
      </w:r>
    </w:p>
    <w:p w:rsidR="001259A2">
      <w:pPr>
        <w:ind w:firstLine="567"/>
        <w:jc w:val="both"/>
      </w:pPr>
      <w:r>
        <w:t>Definitivă.</w:t>
      </w:r>
    </w:p>
    <w:p w:rsidR="001259A2">
      <w:pPr>
        <w:ind w:firstLine="567"/>
        <w:jc w:val="both"/>
      </w:pPr>
      <w:r>
        <w:t xml:space="preserve">Pronunţată în şedinţă publică azi, </w:t>
      </w:r>
      <w:r w:rsidR="00C62A68">
        <w:t>..............</w:t>
      </w:r>
      <w:r>
        <w:t>.</w:t>
      </w:r>
    </w:p>
    <w:p w:rsidR="001259A2">
      <w:pPr>
        <w:ind w:firstLine="708"/>
        <w:jc w:val="both"/>
      </w:pPr>
    </w:p>
    <w:p w:rsidR="001259A2">
      <w:pPr>
        <w:ind w:firstLine="708"/>
        <w:jc w:val="both"/>
      </w:pPr>
    </w:p>
    <w:p w:rsidR="001259A2">
      <w:pPr>
        <w:rPr>
          <w:rStyle w:val="Fontdeparagrafimplicit"/>
          <w:b/>
        </w:rPr>
      </w:pPr>
      <w:r>
        <w:rPr>
          <w:rStyle w:val="Fontdeparagrafimplicit"/>
          <w:b/>
        </w:rPr>
        <w:t xml:space="preserve">     PREŞEDINTE,</w:t>
      </w:r>
      <w:r>
        <w:rPr>
          <w:rStyle w:val="Fontdeparagrafimplicit"/>
          <w:b/>
        </w:rPr>
        <w:tab/>
        <w:t xml:space="preserve"> JUDECĂTOR,                        JUDECĂTOR,</w:t>
      </w:r>
    </w:p>
    <w:p w:rsidR="001259A2">
      <w:pPr>
        <w:rPr>
          <w:rStyle w:val="Fontdeparagrafimplicit"/>
          <w:b/>
        </w:rPr>
      </w:pPr>
      <w:r>
        <w:t xml:space="preserve">     .................                   </w:t>
      </w:r>
      <w:r w:rsidR="00C62A68">
        <w:t>.................</w:t>
      </w:r>
      <w:r w:rsidR="00633461">
        <w:t xml:space="preserve">           </w:t>
      </w:r>
      <w:r>
        <w:t xml:space="preserve">          </w:t>
      </w:r>
      <w:r w:rsidR="00633461">
        <w:t xml:space="preserve">  </w:t>
      </w:r>
      <w:r w:rsidR="00C62A68">
        <w:t>CANDIDAT A0009</w:t>
      </w:r>
    </w:p>
    <w:p w:rsidR="001259A2">
      <w:pPr>
        <w:ind w:firstLine="708"/>
      </w:pPr>
      <w:r>
        <w:tab/>
      </w:r>
    </w:p>
    <w:p w:rsidR="001259A2"/>
    <w:p w:rsidR="001259A2">
      <w:pPr>
        <w:tabs>
          <w:tab w:val="left" w:pos="708"/>
          <w:tab w:val="left" w:pos="1416"/>
          <w:tab w:val="left" w:pos="2124"/>
          <w:tab w:val="left" w:pos="2832"/>
          <w:tab w:val="left" w:pos="3540"/>
          <w:tab w:val="left" w:pos="4248"/>
          <w:tab w:val="left" w:pos="4956"/>
          <w:tab w:val="left" w:pos="5664"/>
          <w:tab w:val="left" w:pos="6372"/>
          <w:tab w:val="left" w:pos="7080"/>
          <w:tab w:val="left" w:pos="8023"/>
        </w:tabs>
      </w:pPr>
      <w:r>
        <w:tab/>
      </w:r>
      <w:r>
        <w:tab/>
      </w:r>
      <w:r>
        <w:tab/>
      </w:r>
      <w:r>
        <w:tab/>
      </w:r>
      <w:r>
        <w:tab/>
      </w:r>
      <w:r>
        <w:tab/>
      </w:r>
      <w:r>
        <w:tab/>
      </w:r>
      <w:r>
        <w:tab/>
      </w:r>
      <w:r>
        <w:tab/>
      </w:r>
      <w:r>
        <w:tab/>
      </w:r>
      <w:r>
        <w:rPr>
          <w:rStyle w:val="Fontdeparagrafimplicit"/>
          <w:b/>
        </w:rPr>
        <w:t>GREFIER,</w:t>
      </w:r>
      <w:r>
        <w:tab/>
      </w:r>
      <w:r>
        <w:tab/>
      </w:r>
      <w:r>
        <w:tab/>
      </w:r>
      <w:r>
        <w:tab/>
      </w:r>
      <w:r>
        <w:tab/>
      </w:r>
      <w:r>
        <w:tab/>
      </w:r>
      <w:r>
        <w:tab/>
      </w:r>
      <w:r>
        <w:tab/>
        <w:t xml:space="preserve">                        </w:t>
      </w:r>
      <w:r w:rsidR="00104178">
        <w:t xml:space="preserve">            </w:t>
      </w:r>
      <w:r>
        <w:t xml:space="preserve"> </w:t>
      </w:r>
      <w:r w:rsidR="00C62A68">
        <w:t>.................</w:t>
      </w:r>
    </w:p>
    <w:p w:rsidR="001259A2">
      <w:pPr>
        <w:tabs>
          <w:tab w:val="left" w:pos="708"/>
          <w:tab w:val="left" w:pos="1416"/>
          <w:tab w:val="left" w:pos="2124"/>
          <w:tab w:val="left" w:pos="2832"/>
          <w:tab w:val="left" w:pos="3540"/>
          <w:tab w:val="left" w:pos="4248"/>
          <w:tab w:val="left" w:pos="4956"/>
          <w:tab w:val="left" w:pos="5664"/>
          <w:tab w:val="left" w:pos="6372"/>
          <w:tab w:val="left" w:pos="7080"/>
          <w:tab w:val="left" w:pos="8023"/>
        </w:tabs>
      </w:pPr>
    </w:p>
    <w:p w:rsidR="001259A2">
      <w:pPr>
        <w:tabs>
          <w:tab w:val="left" w:pos="708"/>
          <w:tab w:val="left" w:pos="1416"/>
          <w:tab w:val="left" w:pos="2124"/>
          <w:tab w:val="left" w:pos="2832"/>
          <w:tab w:val="left" w:pos="3540"/>
          <w:tab w:val="left" w:pos="4248"/>
          <w:tab w:val="left" w:pos="4956"/>
          <w:tab w:val="left" w:pos="5664"/>
          <w:tab w:val="left" w:pos="6372"/>
          <w:tab w:val="left" w:pos="7080"/>
          <w:tab w:val="left" w:pos="8023"/>
        </w:tabs>
        <w:rPr>
          <w:rStyle w:val="Fontdeparagrafimplicit"/>
          <w:sz w:val="16"/>
        </w:rPr>
      </w:pPr>
    </w:p>
    <w:p w:rsidR="001259A2">
      <w:pPr>
        <w:rPr>
          <w:rStyle w:val="Fontdeparagrafimplicit"/>
          <w:b/>
          <w:sz w:val="16"/>
        </w:rPr>
      </w:pPr>
    </w:p>
    <w:p w:rsidR="001259A2">
      <w:pPr>
        <w:rPr>
          <w:rStyle w:val="Fontdeparagrafimplicit"/>
          <w:sz w:val="16"/>
        </w:rPr>
      </w:pPr>
      <w:r>
        <w:rPr>
          <w:rStyle w:val="Fontdeparagrafimplicit"/>
          <w:sz w:val="16"/>
        </w:rPr>
        <w:t>Red./Tehnored. CANDIDAT A0009</w:t>
      </w:r>
      <w:r w:rsidR="00633461">
        <w:rPr>
          <w:rStyle w:val="Fontdeparagrafimplicit"/>
          <w:sz w:val="16"/>
        </w:rPr>
        <w:t>/4 ex.</w:t>
      </w:r>
    </w:p>
    <w:p w:rsidR="00104178">
      <w:pPr>
        <w:rPr>
          <w:rStyle w:val="Fontdeparagrafimplicit"/>
          <w:sz w:val="16"/>
        </w:rPr>
      </w:pPr>
      <w:r>
        <w:rPr>
          <w:rStyle w:val="Fontdeparagrafimplicit"/>
          <w:sz w:val="16"/>
        </w:rPr>
        <w:t xml:space="preserve">Data redactării : </w:t>
      </w:r>
      <w:r>
        <w:rPr>
          <w:rStyle w:val="Fontdeparagrafimplicit"/>
          <w:sz w:val="16"/>
        </w:rPr>
        <w:t>.........</w:t>
      </w:r>
    </w:p>
    <w:p w:rsidR="001259A2">
      <w:pPr>
        <w:rPr>
          <w:rStyle w:val="Fontdeparagrafimplicit"/>
          <w:sz w:val="16"/>
        </w:rPr>
      </w:pPr>
      <w:r>
        <w:rPr>
          <w:rStyle w:val="Fontdeparagrafimplicit"/>
          <w:sz w:val="16"/>
        </w:rPr>
        <w:t xml:space="preserve">Sentinţa civilă nr. </w:t>
      </w:r>
      <w:r w:rsidR="00C62A68">
        <w:rPr>
          <w:rStyle w:val="Fontdeparagrafimplicit"/>
          <w:sz w:val="16"/>
        </w:rPr>
        <w:t>..........</w:t>
      </w:r>
      <w:r>
        <w:rPr>
          <w:rStyle w:val="Fontdeparagrafimplicit"/>
          <w:sz w:val="16"/>
        </w:rPr>
        <w:t xml:space="preserve">, pronunţată de </w:t>
      </w:r>
      <w:r w:rsidR="00C62A68">
        <w:rPr>
          <w:rStyle w:val="Fontdeparagrafimplicit"/>
          <w:sz w:val="16"/>
        </w:rPr>
        <w:t>Tribunalul .........</w:t>
      </w:r>
      <w:r>
        <w:rPr>
          <w:rStyle w:val="Fontdeparagrafimplicit"/>
          <w:sz w:val="16"/>
        </w:rPr>
        <w:t xml:space="preserve">- Secţia conflicte de muncă, asigurări sociale şi contencios administrativ şi fiscal în dosarul nr. </w:t>
      </w:r>
      <w:r w:rsidR="00C62A68">
        <w:rPr>
          <w:rStyle w:val="Fontdeparagrafimplicit"/>
          <w:sz w:val="16"/>
        </w:rPr>
        <w:t>..............</w:t>
      </w:r>
      <w:r>
        <w:rPr>
          <w:rStyle w:val="Fontdeparagrafimplicit"/>
          <w:sz w:val="16"/>
        </w:rPr>
        <w:t>.</w:t>
      </w:r>
    </w:p>
    <w:p w:rsidR="001259A2" w:rsidP="00104178">
      <w:pPr>
        <w:rPr>
          <w:rStyle w:val="Fontdeparagrafimplicit"/>
          <w:sz w:val="16"/>
        </w:rPr>
      </w:pPr>
      <w:r>
        <w:rPr>
          <w:rStyle w:val="Fontdeparagrafimplicit"/>
          <w:sz w:val="16"/>
        </w:rPr>
        <w:t xml:space="preserve">Judecător fond : </w:t>
      </w:r>
      <w:r w:rsidR="00104178">
        <w:rPr>
          <w:rStyle w:val="Fontdeparagrafimplicit"/>
          <w:sz w:val="16"/>
        </w:rPr>
        <w:t>...........</w:t>
      </w:r>
    </w:p>
    <w:p w:rsidR="001259A2">
      <w:pPr>
        <w:ind w:left="-1560" w:firstLine="426"/>
        <w:rPr>
          <w:rStyle w:val="Fontdeparagrafimplicit"/>
          <w:sz w:val="16"/>
        </w:rPr>
      </w:pPr>
    </w:p>
    <w:p w:rsidR="001259A2">
      <w:pPr>
        <w:ind w:firstLine="720"/>
        <w:jc w:val="right"/>
        <w:rPr>
          <w:rStyle w:val="Fontdeparagrafimplicit"/>
          <w:sz w:val="16"/>
        </w:rPr>
      </w:pPr>
      <w:r>
        <w:rPr>
          <w:rStyle w:val="Fontdeparagrafimplicit"/>
          <w:sz w:val="16"/>
        </w:rPr>
        <w:t>Lucrat 2 comunicări la data de _____________</w:t>
      </w:r>
    </w:p>
    <w:p w:rsidR="001259A2">
      <w:pPr>
        <w:ind w:firstLine="720"/>
        <w:jc w:val="right"/>
        <w:rPr>
          <w:rStyle w:val="Fontdeparagrafimplicit"/>
          <w:sz w:val="16"/>
        </w:rPr>
      </w:pPr>
    </w:p>
    <w:p w:rsidR="001259A2">
      <w:pPr>
        <w:ind w:firstLine="720"/>
        <w:jc w:val="right"/>
        <w:rPr>
          <w:rStyle w:val="Fontdeparagrafimplicit"/>
          <w:sz w:val="16"/>
        </w:rPr>
      </w:pPr>
    </w:p>
    <w:p w:rsidR="001259A2">
      <w:pPr>
        <w:ind w:firstLine="720"/>
        <w:jc w:val="right"/>
        <w:rPr>
          <w:rStyle w:val="Fontdeparagrafimplicit"/>
          <w:sz w:val="16"/>
        </w:rPr>
      </w:pPr>
      <w:r>
        <w:rPr>
          <w:rStyle w:val="Fontdeparagrafimplicit"/>
          <w:sz w:val="16"/>
        </w:rPr>
        <w:t>semnătură grefier__________________</w:t>
      </w:r>
    </w:p>
    <w:p w:rsidR="001259A2">
      <w:pPr>
        <w:ind w:firstLine="720"/>
        <w:jc w:val="right"/>
        <w:rPr>
          <w:rStyle w:val="Fontdeparagrafimplicit"/>
          <w:sz w:val="16"/>
        </w:rPr>
      </w:pPr>
    </w:p>
    <w:p w:rsidR="001259A2">
      <w:pPr>
        <w:rPr>
          <w:rStyle w:val="Fontdeparagrafimplicit"/>
          <w:b/>
          <w:sz w:val="16"/>
        </w:rPr>
      </w:pPr>
    </w:p>
    <w:p w:rsidR="001259A2">
      <w:pPr>
        <w:rPr>
          <w:rStyle w:val="Fontdeparagrafimplicit"/>
          <w:sz w:val="16"/>
        </w:rPr>
      </w:pPr>
    </w:p>
    <w:sectPr w:rsidSect="001259A2">
      <w:pgSz w:w="11906" w:h="16838"/>
      <w:pgMar w:top="851" w:right="851" w:bottom="851" w:left="1985"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hyphenationZone w:val="425"/>
  <w:characterSpacingControl w:val="doNotCompress"/>
  <w:compat/>
  <w:rsids>
    <w:rsidRoot w:val="001259A2"/>
    <w:rsid w:val="00104178"/>
    <w:rsid w:val="001259A2"/>
    <w:rsid w:val="005C3ACA"/>
    <w:rsid w:val="00633461"/>
    <w:rsid w:val="00C62A68"/>
  </w:rsids>
  <w:docVars>
    <w:docVar w:name="url" w:val="http://10.1.48.53:80/ecris_cdms/document_upload.aspx?id_document=200000002642978&amp;id_departament=5&amp;id_sesiune=2260419&amp;id_user=996&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9A2"/>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1259A2"/>
    <w:pPr>
      <w:keepNext/>
      <w:jc w:val="center"/>
      <w:outlineLvl w:val="0"/>
    </w:pPr>
    <w:rPr>
      <w:b/>
      <w:sz w:val="28"/>
      <w:lang w:val="en-US"/>
    </w:rPr>
  </w:style>
  <w:style w:type="paragraph" w:styleId="NormalWeb">
    <w:name w:val="Normal (Web)"/>
    <w:basedOn w:val="Normal"/>
    <w:rsid w:val="001259A2"/>
    <w:pPr>
      <w:spacing w:before="100" w:beforeAutospacing="1" w:after="100" w:afterAutospacing="1"/>
    </w:pPr>
  </w:style>
  <w:style w:type="paragraph" w:customStyle="1" w:styleId="Corptext">
    <w:name w:val="Corp text"/>
    <w:basedOn w:val="Normal"/>
    <w:link w:val="CorptextCaracter"/>
    <w:rsid w:val="001259A2"/>
    <w:pPr>
      <w:widowControl w:val="0"/>
      <w:spacing w:line="288" w:lineRule="auto"/>
    </w:pPr>
    <w:rPr>
      <w:lang w:val="en-US"/>
    </w:rPr>
  </w:style>
  <w:style w:type="character" w:styleId="LineNumber">
    <w:name w:val="line number"/>
    <w:basedOn w:val="DefaultParagraphFont"/>
    <w:semiHidden/>
    <w:rsid w:val="001259A2"/>
  </w:style>
  <w:style w:type="character" w:styleId="Hyperlink">
    <w:name w:val="Hyperlink"/>
    <w:rsid w:val="001259A2"/>
    <w:rPr>
      <w:color w:val="0000FF"/>
      <w:u w:val="single"/>
    </w:rPr>
  </w:style>
  <w:style w:type="character" w:customStyle="1" w:styleId="Fontdeparagrafimplicit">
    <w:name w:val="Font de paragraf implicit"/>
    <w:rsid w:val="001259A2"/>
  </w:style>
  <w:style w:type="character" w:customStyle="1" w:styleId="CorptextCaracter">
    <w:name w:val="Corp text Caracter"/>
    <w:link w:val="Corptext"/>
    <w:rsid w:val="001259A2"/>
    <w:rPr>
      <w:lang w:val="en-US"/>
    </w:rPr>
  </w:style>
  <w:style w:type="character" w:customStyle="1" w:styleId="FontStyle14">
    <w:name w:val="Font Style14"/>
    <w:rsid w:val="001259A2"/>
    <w:rPr>
      <w:rFonts w:ascii="Arial" w:hAnsi="Arial"/>
      <w:sz w:val="24"/>
    </w:rPr>
  </w:style>
  <w:style w:type="table" w:styleId="TableSimple1">
    <w:name w:val="Table Simple 1"/>
    <w:basedOn w:val="TableNormal"/>
    <w:rsid w:val="001259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1259A2"/>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17</ap:TotalTime>
  <ap:Pages>5</ap:Pages>
  <ap:Words>2383</ap:Words>
  <ap:Characters>13825</ap:Characters>
  <ap:Application>Microsoft Office Word</ap:Application>
  <ap:DocSecurity>0</ap:DocSecurity>
  <ap:Lines>115</ap:Lines>
  <ap:Paragraphs>32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16176</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