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rPr>
      </w:pPr>
      <w:r>
        <w:rPr>
          <w:color w:val="BFBFBF"/>
        </w:rPr>
        <w:t>Document finalizat</w:t>
      </w:r>
    </w:p>
    <w:p>
      <w:pPr>
        <w:pStyle w:val="Normal"/>
        <w:rPr>
          <w:b/>
        </w:rPr>
      </w:pPr>
      <w:r>
        <w:rPr>
          <w:b/>
        </w:rPr>
        <w:t>Hot. 16</w:t>
      </w:r>
    </w:p>
    <w:p>
      <w:pPr>
        <w:pStyle w:val="Normal"/>
        <w:rPr>
          <w:b/>
        </w:rPr>
      </w:pPr>
      <w:r>
        <w:rPr>
          <w:b/>
        </w:rPr>
        <w:t>Dosar nr. D1</w:t>
      </w:r>
    </w:p>
    <w:p>
      <w:pPr>
        <w:pStyle w:val="Normal"/>
        <w:jc w:val="center"/>
        <w:rPr>
          <w:b/>
        </w:rPr>
      </w:pPr>
      <w:r>
        <w:rPr>
          <w:b/>
        </w:rPr>
        <w:t>R O M Â N I A</w:t>
      </w:r>
    </w:p>
    <w:p>
      <w:pPr>
        <w:pStyle w:val="Normal"/>
        <w:jc w:val="center"/>
        <w:rPr>
          <w:b/>
        </w:rPr>
      </w:pPr>
      <w:r>
        <w:rPr>
          <w:b/>
        </w:rPr>
        <w:t>CURTEA DE APEL ...</w:t>
      </w:r>
    </w:p>
    <w:p>
      <w:pPr>
        <w:pStyle w:val="Normal"/>
        <w:jc w:val="center"/>
        <w:rPr>
          <w:b/>
          <w:lang w:val="en-US"/>
        </w:rPr>
      </w:pPr>
      <w:r>
        <w:rPr>
          <w:b/>
        </w:rPr>
        <w:t xml:space="preserve">CPJ-SECŢIA ... </w:t>
      </w:r>
    </w:p>
    <w:p>
      <w:pPr>
        <w:pStyle w:val="Normal"/>
        <w:rPr>
          <w:b/>
        </w:rPr>
      </w:pPr>
      <w:r>
        <w:rPr>
          <w:b/>
        </w:rPr>
      </w:r>
    </w:p>
    <w:p>
      <w:pPr>
        <w:pStyle w:val="Normal"/>
        <w:jc w:val="center"/>
        <w:rPr>
          <w:b/>
        </w:rPr>
      </w:pPr>
      <w:r>
        <w:rPr>
          <w:b/>
        </w:rPr>
        <w:t>DECIZIA PENALĂ NR. ...</w:t>
      </w:r>
    </w:p>
    <w:p>
      <w:pPr>
        <w:pStyle w:val="Normal"/>
        <w:jc w:val="center"/>
        <w:rPr>
          <w:b/>
        </w:rPr>
      </w:pPr>
      <w:r>
        <w:rPr>
          <w:b/>
        </w:rPr>
      </w:r>
    </w:p>
    <w:p>
      <w:pPr>
        <w:pStyle w:val="Normal"/>
        <w:jc w:val="center"/>
        <w:rPr>
          <w:b/>
        </w:rPr>
      </w:pPr>
      <w:r>
        <w:rPr>
          <w:b/>
        </w:rPr>
        <w:t>Şedinţa </w:t>
      </w:r>
      <w:bookmarkStart w:name="tip_sedinta" w:id="0"/>
      <w:r>
        <w:rPr>
          <w:b/>
        </w:rPr>
        <w:t>publică</w:t>
      </w:r>
      <w:bookmarkEnd w:id="0"/>
      <w:r>
        <w:rPr>
          <w:b/>
        </w:rPr>
        <w:t xml:space="preserve"> din data de .. </w:t>
      </w:r>
    </w:p>
    <w:p>
      <w:pPr>
        <w:pStyle w:val="Normal"/>
        <w:jc w:val="center"/>
        <w:rPr>
          <w:b/>
        </w:rPr>
      </w:pPr>
      <w:r>
        <w:rPr>
          <w:b/>
        </w:rPr>
      </w:r>
    </w:p>
    <w:p>
      <w:pPr>
        <w:pStyle w:val="Normal"/>
        <w:jc w:val="center"/>
        <w:rPr>
          <w:b/>
        </w:rPr>
      </w:pPr>
      <w:r>
        <w:rPr>
          <w:b/>
        </w:rPr>
        <w:t>Instanţa constituită cu:</w:t>
      </w:r>
    </w:p>
    <w:p>
      <w:pPr>
        <w:pStyle w:val="Normal"/>
        <w:jc w:val="center"/>
        <w:rPr>
          <w:b/>
        </w:rPr>
      </w:pPr>
      <w:r>
        <w:rPr>
          <w:b/>
        </w:rPr>
        <w:t xml:space="preserve">PREŞEDINTE: A0013 </w:t>
      </w:r>
    </w:p>
    <w:p>
      <w:pPr>
        <w:pStyle w:val="Normal"/>
        <w:jc w:val="center"/>
        <w:rPr>
          <w:b/>
        </w:rPr>
      </w:pPr>
      <w:r>
        <w:rPr>
          <w:b/>
        </w:rPr>
        <w:t xml:space="preserve">Judecător: ... </w:t>
      </w:r>
    </w:p>
    <w:p>
      <w:pPr>
        <w:pStyle w:val="Normal"/>
        <w:jc w:val="center"/>
        <w:rPr>
          <w:b/>
        </w:rPr>
      </w:pPr>
      <w:r>
        <w:rPr>
          <w:b/>
        </w:rPr>
        <w:t xml:space="preserve">Grefier: ... </w:t>
      </w:r>
    </w:p>
    <w:p>
      <w:pPr>
        <w:pStyle w:val="Normal"/>
        <w:jc w:val="center"/>
        <w:rPr/>
      </w:pPr>
      <w:r>
        <w:rPr/>
      </w:r>
    </w:p>
    <w:p>
      <w:pPr>
        <w:pStyle w:val="Normal"/>
        <w:jc w:val="center"/>
        <w:rPr>
          <w:b/>
        </w:rPr>
      </w:pPr>
      <w:r>
        <w:rPr>
          <w:b/>
        </w:rPr>
        <w:t>Ministerul Public - D.I.I.C.O.T - Serviciul Teritorial ...</w:t>
      </w:r>
    </w:p>
    <w:p>
      <w:pPr>
        <w:pStyle w:val="Normal"/>
        <w:jc w:val="center"/>
        <w:rPr>
          <w:b/>
        </w:rPr>
      </w:pPr>
      <w:r>
        <w:rPr>
          <w:b/>
        </w:rPr>
        <w:t xml:space="preserve">reprezentat de procuror .... </w:t>
      </w:r>
    </w:p>
    <w:p>
      <w:pPr>
        <w:pStyle w:val="Normal"/>
        <w:jc w:val="center"/>
        <w:rPr/>
      </w:pPr>
      <w:r>
        <w:rPr/>
      </w:r>
    </w:p>
    <w:p>
      <w:pPr>
        <w:pStyle w:val="Normal"/>
        <w:ind w:firstLine="709"/>
        <w:jc w:val="both"/>
        <w:rPr>
          <w:b/>
        </w:rPr>
      </w:pPr>
      <w:r>
        <w:rPr>
          <w:b/>
        </w:rPr>
        <w:t>Pe rol se află soluţionarea contestaţiile formulate de inculpaţii A1 şi A2, împotriva încheierii penale din data de IP1, a Tribunalului ... pronunţată în dosarul nr. D1.</w:t>
      </w:r>
    </w:p>
    <w:p>
      <w:pPr>
        <w:pStyle w:val="Normal"/>
        <w:ind w:firstLine="709"/>
        <w:jc w:val="both"/>
        <w:rPr/>
      </w:pPr>
      <w:r>
        <w:rPr/>
        <w:t xml:space="preserve">La apelul nominal făcut în şedinţă </w:t>
      </w:r>
      <w:bookmarkStart w:name="tip_sedinta_copie_1" w:id="1"/>
      <w:r>
        <w:rPr/>
        <w:t>publică</w:t>
      </w:r>
      <w:bookmarkEnd w:id="1"/>
      <w:r>
        <w:rPr/>
        <w:t xml:space="preserve"> a răspuns:</w:t>
      </w:r>
    </w:p>
    <w:p>
      <w:pPr>
        <w:pStyle w:val="Normal"/>
        <w:ind w:firstLine="709"/>
        <w:jc w:val="both"/>
        <w:rPr/>
      </w:pPr>
      <w:r>
        <w:rPr/>
        <w:t xml:space="preserve">- </w:t>
      </w:r>
      <w:r>
        <w:rPr>
          <w:i/>
        </w:rPr>
        <w:t>inculpata contestatoare A1,</w:t>
      </w:r>
      <w:r>
        <w:rPr/>
        <w:t xml:space="preserve"> prin intermediul videoconferinței, în prezent aflată sub imperiul măsurii arestării preventive în Penitenciarul...</w:t>
      </w:r>
      <w:r>
        <w:rPr>
          <w:i/>
        </w:rPr>
        <w:t>, asistată de avocat Av1</w:t>
      </w:r>
      <w:r>
        <w:rPr/>
        <w:t>, în substituirea apărătorului ales, avocat Av2;</w:t>
      </w:r>
    </w:p>
    <w:p>
      <w:pPr>
        <w:pStyle w:val="Normal"/>
        <w:ind w:firstLine="709"/>
        <w:jc w:val="both"/>
        <w:rPr/>
      </w:pPr>
      <w:r>
        <w:rPr/>
        <w:t xml:space="preserve">- </w:t>
      </w:r>
      <w:r>
        <w:rPr>
          <w:i/>
        </w:rPr>
        <w:t>inculpatul contestator A2,</w:t>
      </w:r>
      <w:r>
        <w:rPr/>
        <w:t xml:space="preserve"> în prezent aflat sub imperiul măsurii arestării preventive în Penitenciarul ..., </w:t>
      </w:r>
      <w:r>
        <w:rPr>
          <w:i/>
        </w:rPr>
        <w:t>asistat de avocat Av3</w:t>
      </w:r>
      <w:r>
        <w:rPr/>
        <w:t xml:space="preserve">, în substituirea apărătorului desemnat din oficiu, avocat Av4. </w:t>
      </w:r>
    </w:p>
    <w:p>
      <w:pPr>
        <w:pStyle w:val="Normal"/>
        <w:ind w:firstLine="709"/>
        <w:jc w:val="both"/>
        <w:rPr/>
      </w:pPr>
      <w:r>
        <w:rPr/>
        <w:t xml:space="preserve">S-a făcut </w:t>
      </w:r>
      <w:bookmarkStart w:name="tip_doc_despre_cauza" w:id="2"/>
      <w:r>
        <w:rPr/>
        <w:t>referatul</w:t>
      </w:r>
      <w:bookmarkEnd w:id="2"/>
      <w:r>
        <w:rPr/>
        <w:t xml:space="preserve"> cauzei de către </w:t>
      </w:r>
      <w:bookmarkStart w:name="functia_celui_care_f" w:id="3"/>
      <w:r>
        <w:rPr/>
        <w:t>grefier</w:t>
      </w:r>
      <w:bookmarkEnd w:id="3"/>
      <w:r>
        <w:rPr/>
        <w:t xml:space="preserve">ul de şedinţă care precizează că este primul termen de judecată acordat în vederea soluţionării contestaţiilor, iar procedura de citare este legal îndeplinită. </w:t>
      </w:r>
    </w:p>
    <w:p>
      <w:pPr>
        <w:pStyle w:val="Normal"/>
        <w:ind w:firstLine="709"/>
        <w:jc w:val="both"/>
        <w:rPr/>
      </w:pPr>
      <w:r>
        <w:rPr/>
        <w:t>Avocat Av3 depune la dosarul cauzei delegaţia de substituire cu seria ...6/2024.</w:t>
      </w:r>
    </w:p>
    <w:p>
      <w:pPr>
        <w:pStyle w:val="Normal"/>
        <w:ind w:firstLine="709"/>
        <w:jc w:val="both"/>
        <w:rPr/>
      </w:pPr>
      <w:r>
        <w:rPr/>
        <w:t>Avocat Av1 depune la dosarul cauzei delegaţia de substituire cu seria ...1/2024.</w:t>
      </w:r>
    </w:p>
    <w:p>
      <w:pPr>
        <w:pStyle w:val="Normal"/>
        <w:ind w:firstLine="709"/>
        <w:jc w:val="both"/>
        <w:rPr/>
      </w:pPr>
      <w:bookmarkStart w:name="_Hlk182671111" w:id="4"/>
      <w:r>
        <w:rPr/>
        <w:t>La interpelarea</w:t>
      </w:r>
      <w:r>
        <w:rPr>
          <w:b/>
        </w:rPr>
        <w:t xml:space="preserve"> preşedintelui completului </w:t>
      </w:r>
      <w:r>
        <w:rPr/>
        <w:t xml:space="preserve">apărătorii precizează că au luat legătura cu inculpaţii. </w:t>
      </w:r>
    </w:p>
    <w:p>
      <w:pPr>
        <w:pStyle w:val="Normal"/>
        <w:ind w:firstLine="709"/>
        <w:jc w:val="both"/>
        <w:rPr/>
      </w:pPr>
      <w:r>
        <w:rPr/>
        <w:t>Totodată,</w:t>
      </w:r>
      <w:r>
        <w:rPr>
          <w:b/>
        </w:rPr>
        <w:t xml:space="preserve"> </w:t>
      </w:r>
      <w:r>
        <w:rPr/>
        <w:t>interpelaţi fiind de către</w:t>
      </w:r>
      <w:r>
        <w:rPr>
          <w:b/>
        </w:rPr>
        <w:t xml:space="preserve"> preşedintele completului </w:t>
      </w:r>
      <w:r>
        <w:rPr/>
        <w:t xml:space="preserve">apărătorii şi procurorul precizează că nu au chestiuni prealabile de invocat. </w:t>
      </w:r>
    </w:p>
    <w:p>
      <w:pPr>
        <w:pStyle w:val="Normal"/>
        <w:spacing w:before="0" w:after="0"/>
        <w:ind w:firstLine="709"/>
        <w:contextualSpacing/>
        <w:jc w:val="both"/>
        <w:rPr>
          <w:i/>
          <w:i/>
        </w:rPr>
      </w:pPr>
      <w:r>
        <w:rPr>
          <w:i/>
        </w:rPr>
        <w:t xml:space="preserve">Nemaifiind alte solicitări de soluţionat, Curtea constată contestaţiile formulate în stare de judecată şi acord cuvântul asupra acestora. </w:t>
      </w:r>
    </w:p>
    <w:p>
      <w:pPr>
        <w:pStyle w:val="Normal"/>
        <w:spacing w:before="0" w:after="0"/>
        <w:ind w:firstLine="709"/>
        <w:contextualSpacing/>
        <w:jc w:val="both"/>
        <w:rPr/>
      </w:pPr>
      <w:r>
        <w:rPr>
          <w:b/>
        </w:rPr>
        <w:t xml:space="preserve">Avocat Av3 pentru inculpatul A2, având cuvântul, </w:t>
      </w:r>
      <w:r>
        <w:rPr/>
        <w:t>solicită admiterea contestaţiei.</w:t>
      </w:r>
      <w:bookmarkEnd w:id="4"/>
    </w:p>
    <w:p>
      <w:pPr>
        <w:pStyle w:val="Normal"/>
        <w:spacing w:before="0" w:after="0"/>
        <w:ind w:firstLine="709"/>
        <w:contextualSpacing/>
        <w:jc w:val="both"/>
        <w:rPr/>
      </w:pPr>
      <w:r>
        <w:rPr/>
        <w:t xml:space="preserve">Arată că principalele motive ale solicitării de înlocuire a măsurii arestării preventive cu măsura arestului la domiciliu sunt reprezentate de situaţia medicală a familiei sale, respectiv situaţia medicală a fiului acestuia, astfel cum rezultă din înscrisurile depuse la dosarul cauzei, şi a soţiei inculpatului, acesta din urmă nefiind avută în vedere până în prezent. </w:t>
      </w:r>
    </w:p>
    <w:p>
      <w:pPr>
        <w:pStyle w:val="Normal"/>
        <w:spacing w:before="0" w:after="0"/>
        <w:ind w:firstLine="709"/>
        <w:contextualSpacing/>
        <w:jc w:val="both"/>
        <w:rPr/>
      </w:pPr>
      <w:r>
        <w:rPr/>
        <w:t xml:space="preserve">În acest sens, precizează că soţia este cea care are grijă de fiul lor, acesta urmând să sufere o intervenţie chirurgicală la un picior, împrejurare ce ar duce la imposibilitatea de a avea grijă de copil. </w:t>
      </w:r>
    </w:p>
    <w:p>
      <w:pPr>
        <w:pStyle w:val="Normal"/>
        <w:spacing w:before="0" w:after="0"/>
        <w:ind w:firstLine="709"/>
        <w:contextualSpacing/>
        <w:jc w:val="both"/>
        <w:rPr/>
      </w:pPr>
      <w:r>
        <w:rPr/>
        <w:t xml:space="preserve">Apreciază că etapa procesuală, fiind stabilită pronunţarea în cauză, şi atitudinea procesuală a inculpatul permite a se avea în vedere la acest moment înlocuire măsurii preventive. Inculpatul nu a afectat buna desfăşurare a procesului nici în faza de urmărire penală şi nici în faţa instanţei de fond, iar amânarea pronunţării este stabilită la începutul lunii decembrie. Susţine că inculpatul a înţeles consecinţele pe care le-ar suferi dacă nu ar respecta obligaţiile ce i s-ar impune prin înlocuirea măsurii. </w:t>
      </w:r>
    </w:p>
    <w:p>
      <w:pPr>
        <w:pStyle w:val="Normal"/>
        <w:spacing w:before="0" w:after="0"/>
        <w:ind w:firstLine="709"/>
        <w:contextualSpacing/>
        <w:jc w:val="both"/>
        <w:rPr/>
      </w:pPr>
      <w:r>
        <w:rPr>
          <w:b/>
        </w:rPr>
        <w:t xml:space="preserve">Avocat Av1 pentru inculpata A1, având cuvântul, </w:t>
      </w:r>
      <w:r>
        <w:rPr/>
        <w:t xml:space="preserve">solicită admiterea contestaţiei. </w:t>
      </w:r>
    </w:p>
    <w:p>
      <w:pPr>
        <w:pStyle w:val="Normal"/>
        <w:spacing w:before="0" w:after="0"/>
        <w:ind w:firstLine="709"/>
        <w:contextualSpacing/>
        <w:jc w:val="both"/>
        <w:rPr/>
      </w:pPr>
      <w:r>
        <w:rPr/>
        <w:t xml:space="preserve">Susţine că cererea de înlocuire a măsurii preventive este admisibilă prin raportare la circumstanţele personale şi de fapt ale cauzei, inculpata recunoscând o scurtă implicaţie în cauză. Inculpata nu are antecedente penale, are o vârstă înaintată şi a petrecut o perioadă lungă de timp sub imperiul măsurii arestării preventive. </w:t>
      </w:r>
    </w:p>
    <w:p>
      <w:pPr>
        <w:pStyle w:val="Normal"/>
        <w:spacing w:before="0" w:after="0"/>
        <w:ind w:firstLine="709"/>
        <w:contextualSpacing/>
        <w:jc w:val="both"/>
        <w:rPr/>
      </w:pPr>
      <w:r>
        <w:rPr/>
        <w:t xml:space="preserve">Subliniază că prin raportare la scopul prevăzut de legiuitor prin măsurile preventive şi la faptul că în cauză nu există indicii că prin înlocuirea măsurii arestării preventive cu cea a arestului la domiciliu aceasta ar putea îngreuna activitatea de cercetare judecătorească ulterioară sau s-ar extrage de la eventuala executare a pedepsei. </w:t>
      </w:r>
    </w:p>
    <w:p>
      <w:pPr>
        <w:pStyle w:val="Normal"/>
        <w:spacing w:before="0" w:after="0"/>
        <w:ind w:firstLine="709"/>
        <w:contextualSpacing/>
        <w:jc w:val="both"/>
        <w:rPr/>
      </w:pPr>
      <w:r>
        <w:rPr/>
        <w:t xml:space="preserve">Solicită că în cauză instanţa poate da dovadă de clemenţă faţă de inculpată, având în vedere aspectele prezentate. </w:t>
      </w:r>
    </w:p>
    <w:p>
      <w:pPr>
        <w:pStyle w:val="Normal"/>
        <w:spacing w:before="0" w:after="0"/>
        <w:ind w:firstLine="709"/>
        <w:contextualSpacing/>
        <w:jc w:val="both"/>
        <w:rPr/>
      </w:pPr>
      <w:r>
        <w:rPr>
          <w:b/>
        </w:rPr>
        <w:t xml:space="preserve">Procurorul, având cuvântul, </w:t>
      </w:r>
      <w:r>
        <w:rPr/>
        <w:t xml:space="preserve">solicită respingerea contestaţiilor, ca nefondate. </w:t>
      </w:r>
    </w:p>
    <w:p>
      <w:pPr>
        <w:pStyle w:val="Normal"/>
        <w:spacing w:before="0" w:after="0"/>
        <w:ind w:firstLine="709"/>
        <w:contextualSpacing/>
        <w:jc w:val="both"/>
        <w:rPr/>
      </w:pPr>
      <w:r>
        <w:rPr/>
        <w:t xml:space="preserve">Susţine că prin criticile expuse de către apărare nu vin să arate la acest moment caracterul fondat al contestaţiei. </w:t>
      </w:r>
    </w:p>
    <w:p>
      <w:pPr>
        <w:pStyle w:val="Normal"/>
        <w:spacing w:before="0" w:after="0"/>
        <w:ind w:firstLine="709"/>
        <w:contextualSpacing/>
        <w:jc w:val="both"/>
        <w:rPr/>
      </w:pPr>
      <w:r>
        <w:rPr/>
        <w:t xml:space="preserve">Referitor la analiza efectuată de către judecătorul din cadrul Tribunalului ... în privinţa fiecărui inculpat, susţine că în mod corect nu au fost reţinute elemente care să justifice în prezent o modificare a prevenţiei. </w:t>
      </w:r>
    </w:p>
    <w:p>
      <w:pPr>
        <w:pStyle w:val="Normal"/>
        <w:spacing w:before="0" w:after="0"/>
        <w:ind w:firstLine="709"/>
        <w:contextualSpacing/>
        <w:jc w:val="both"/>
        <w:rPr/>
      </w:pPr>
      <w:r>
        <w:rPr/>
        <w:t>În ceea ce priveşte gravitatea acuzaţiei şi periculozitatea inculpaţilor aspectele pe care instanţa le-a reţinut vin să arate caracterul actual al sării de pericol.</w:t>
      </w:r>
    </w:p>
    <w:p>
      <w:pPr>
        <w:pStyle w:val="Normal"/>
        <w:spacing w:before="0" w:after="0"/>
        <w:ind w:firstLine="709"/>
        <w:contextualSpacing/>
        <w:jc w:val="both"/>
        <w:rPr/>
      </w:pPr>
      <w:r>
        <w:rPr/>
        <w:t xml:space="preserve">Motivele arătate de inculpaţi în susţinere a cererii de înlocuire susţine că acestea nu reprezintă motive noi sau intervenite ulterior privării de libertate şi care să nu fi fost aduse la cunoştinţa judecătorilor de drepturi şi libertăţi sau a celui de cameră preliminară şi de fond. </w:t>
      </w:r>
    </w:p>
    <w:p>
      <w:pPr>
        <w:pStyle w:val="Normal"/>
        <w:spacing w:before="0" w:after="0"/>
        <w:ind w:firstLine="709"/>
        <w:contextualSpacing/>
        <w:jc w:val="both"/>
        <w:rPr/>
      </w:pPr>
      <w:r>
        <w:rPr/>
        <w:t xml:space="preserve">De asemenea, arată că durata măsurii preventive, astfel cum a arătat şi instanţă de fond nu există elemente de fapt noi intervenite şi prin raportare la gravitatea acuzaţiei, la comportamentul inculpaţilor şi la stadiul procedurii prevenţia nu apare ca fiind una excesivă, iar cererile formulate de inculpaţi au fost în mod corect respinse. </w:t>
      </w:r>
    </w:p>
    <w:p>
      <w:pPr>
        <w:pStyle w:val="Normal"/>
        <w:spacing w:before="0" w:after="0"/>
        <w:ind w:firstLine="709"/>
        <w:contextualSpacing/>
        <w:jc w:val="both"/>
        <w:rPr/>
      </w:pPr>
      <w:r>
        <w:rPr/>
        <w:t>Interpelată fiind către</w:t>
      </w:r>
      <w:r>
        <w:rPr>
          <w:b/>
        </w:rPr>
        <w:t xml:space="preserve"> preşedintele completului, </w:t>
      </w:r>
      <w:r>
        <w:rPr/>
        <w:t>inculpata A1</w:t>
      </w:r>
      <w:r>
        <w:rPr>
          <w:b/>
        </w:rPr>
        <w:t xml:space="preserve"> </w:t>
      </w:r>
      <w:r>
        <w:rPr/>
        <w:t>precizează că este fiica lui... şi ..., născută la ....</w:t>
      </w:r>
    </w:p>
    <w:p>
      <w:pPr>
        <w:pStyle w:val="Normal"/>
        <w:spacing w:before="0" w:after="0"/>
        <w:ind w:firstLine="709"/>
        <w:contextualSpacing/>
        <w:jc w:val="both"/>
        <w:rPr/>
      </w:pPr>
      <w:r>
        <w:rPr>
          <w:b/>
        </w:rPr>
        <w:t xml:space="preserve">Inculpata A1, având ultimul cuvânt, </w:t>
      </w:r>
      <w:r>
        <w:rPr/>
        <w:t xml:space="preserve">solicită admiterea contestaţiei, precizând că regretă faptele şi îşi doreşte să fie alături de familie. </w:t>
      </w:r>
    </w:p>
    <w:p>
      <w:pPr>
        <w:pStyle w:val="Normal"/>
        <w:spacing w:before="0" w:after="0"/>
        <w:ind w:firstLine="709"/>
        <w:contextualSpacing/>
        <w:jc w:val="both"/>
        <w:rPr/>
      </w:pPr>
      <w:r>
        <w:rPr/>
        <w:t xml:space="preserve"> </w:t>
      </w:r>
      <w:r>
        <w:rPr/>
        <w:t xml:space="preserve">Interpelat fiind către </w:t>
      </w:r>
      <w:r>
        <w:rPr>
          <w:b/>
        </w:rPr>
        <w:t>preşedintele completului</w:t>
      </w:r>
      <w:r>
        <w:rPr/>
        <w:t>, inculpatul A2 precizează că este fiul ... şi .., născut la ....</w:t>
      </w:r>
    </w:p>
    <w:p>
      <w:pPr>
        <w:pStyle w:val="Normal"/>
        <w:spacing w:before="0" w:after="0"/>
        <w:ind w:firstLine="709"/>
        <w:contextualSpacing/>
        <w:jc w:val="both"/>
        <w:rPr/>
      </w:pPr>
      <w:r>
        <w:rPr>
          <w:b/>
        </w:rPr>
        <w:t xml:space="preserve">Inculpatul A2, având ultimul cuvânt, </w:t>
      </w:r>
      <w:r>
        <w:rPr/>
        <w:t xml:space="preserve">solicită admiterea contestaţiei, precizând că soţia sa are o bătătura la un deget şi poate purta încălţăminte. Arată că îşi doreşte să poată avea grijă de copilul său care suferă  de afecţiuni medicale. </w:t>
      </w:r>
    </w:p>
    <w:p>
      <w:pPr>
        <w:pStyle w:val="Normal"/>
        <w:spacing w:before="0" w:after="0"/>
        <w:ind w:firstLine="709"/>
        <w:contextualSpacing/>
        <w:jc w:val="both"/>
        <w:rPr/>
      </w:pPr>
      <w:r>
        <w:rPr/>
        <w:t xml:space="preserve">Avocat Av3 depune referatele în vederea achitării onorariului avocaţial pentru apărătorul desemnat din oficiu. </w:t>
      </w:r>
    </w:p>
    <w:p>
      <w:pPr>
        <w:pStyle w:val="Normal"/>
        <w:ind w:firstLine="709"/>
        <w:jc w:val="both"/>
        <w:rPr>
          <w:i/>
          <w:i/>
        </w:rPr>
      </w:pPr>
      <w:bookmarkStart w:name="_Hlk163653971" w:id="5"/>
      <w:r>
        <w:rPr>
          <w:i/>
        </w:rPr>
        <w:t>După declararea dezbaterilor închise, Curtea reţine cauza spre deliberare și pronunţare, soluția urmând a fi pusă la dispoziţia inculpaţilor şi a procurorului, prin mijlocirea grefei instanţei.</w:t>
      </w:r>
      <w:bookmarkEnd w:id="5"/>
    </w:p>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rPr>
      </w:pPr>
      <w:r>
        <w:rPr>
          <w:b/>
        </w:rPr>
      </w:r>
    </w:p>
    <w:p>
      <w:pPr>
        <w:pStyle w:val="Normal"/>
        <w:jc w:val="center"/>
        <w:rPr>
          <w:b/>
        </w:rPr>
      </w:pPr>
      <w:r>
        <w:rPr>
          <w:b/>
        </w:rPr>
        <w:t xml:space="preserve">CURTEA DE APEL, </w:t>
      </w:r>
    </w:p>
    <w:p>
      <w:pPr>
        <w:pStyle w:val="Normal"/>
        <w:jc w:val="center"/>
        <w:rPr>
          <w:b/>
        </w:rPr>
      </w:pPr>
      <w:r>
        <w:rPr>
          <w:b/>
        </w:rPr>
      </w:r>
    </w:p>
    <w:p>
      <w:pPr>
        <w:pStyle w:val="Normal"/>
        <w:ind w:firstLine="708"/>
        <w:jc w:val="both"/>
        <w:rPr>
          <w:b/>
        </w:rPr>
      </w:pPr>
      <w:bookmarkStart w:name="_Hlk179193930" w:id="6"/>
      <w:r>
        <w:rPr>
          <w:b/>
        </w:rPr>
        <w:t>Deliberând asupra contestaţiilor penale de faţă, constată următoarele:</w:t>
      </w:r>
      <w:bookmarkStart w:name="_Hlk178773464" w:id="7"/>
      <w:bookmarkStart w:name="_Hlk178861181" w:id="8"/>
    </w:p>
    <w:p>
      <w:pPr>
        <w:pStyle w:val="Normal"/>
        <w:ind w:firstLine="708"/>
        <w:jc w:val="both"/>
        <w:rPr>
          <w:b/>
        </w:rPr>
      </w:pPr>
      <w:r>
        <w:rPr/>
        <w:t>Prin încheierea din data de IP1, pronunţată în dosarul nr.  D1, Tribunalul ..., a dispus respingerea, ca neîntemeiate, cererile inculpaţilor  formulate de inculpaţii A1 şi A2.</w:t>
      </w:r>
    </w:p>
    <w:p>
      <w:pPr>
        <w:pStyle w:val="Normal"/>
        <w:suppressAutoHyphens w:val="true"/>
        <w:ind w:firstLine="709"/>
        <w:jc w:val="both"/>
        <w:rPr/>
      </w:pPr>
      <w:r>
        <w:rPr/>
        <w:t>Pentru a dispune astfel, instanța de fond a reținut ca prin</w:t>
      </w:r>
      <w:bookmarkStart w:name="_Hlk179379885" w:id="9"/>
      <w:bookmarkEnd w:id="7"/>
      <w:bookmarkEnd w:id="8"/>
      <w:r>
        <w:rPr/>
        <w:t xml:space="preserve"> rechizitoriul din data de ..., emis în dosarul nr. D2 al Parchetului de pe lângă Înalta Curte de Casaţie şi Justiţie – Direcţia de Investigare a Infracțiunilor de Criminalitate Organizată și Terorism – Serviciul Teritorial ..., s-a dispus trimiterea în judecată a inculpaţilor:</w:t>
      </w:r>
    </w:p>
    <w:p>
      <w:pPr>
        <w:pStyle w:val="Normal"/>
        <w:suppressAutoHyphens w:val="true"/>
        <w:ind w:right="74" w:firstLine="709"/>
        <w:jc w:val="both"/>
        <w:rPr/>
      </w:pPr>
      <w:bookmarkStart w:name="_Hlk170996807" w:id="10"/>
      <w:r>
        <w:rPr/>
        <w:t>-A3 zis A3, pentru săvârșirea infracţiunii de efectuarea, fără autorizaţie eliberată în condiţiile legii, de operaţiuni cu substanţe susceptibile de a avea efecte psihoactive în formă continuată, faptă prevăzută de art. 16 alin. (1) din Legea 194/2011 republicată, cu aplicarea art. 35 alin. (1) Cod penal.</w:t>
      </w:r>
    </w:p>
    <w:p>
      <w:pPr>
        <w:pStyle w:val="Normal"/>
        <w:suppressAutoHyphens w:val="true"/>
        <w:ind w:right="74" w:firstLine="709"/>
        <w:jc w:val="both"/>
        <w:rPr/>
      </w:pPr>
      <w:r>
        <w:rPr/>
        <w:t>-A1, pentru săvârșirea infracţiunii de efectuarea, fără autorizaţie eliberată în condiţiile legii, de operaţiuni cu substanţe susceptibile de a avea efecte psihoactive în formă continuată, faptă prevăzută de art. 16 alin. (1) din Legea 194/2011 republicată, cu aplicarea art. 35 alin. (1) Cod penal.</w:t>
      </w:r>
    </w:p>
    <w:p>
      <w:pPr>
        <w:pStyle w:val="Normal"/>
        <w:suppressAutoHyphens w:val="true"/>
        <w:ind w:right="74" w:firstLine="709"/>
        <w:jc w:val="both"/>
        <w:rPr/>
      </w:pPr>
      <w:r>
        <w:rPr/>
        <w:t>-A3, pentru săvârșirea infracţiunii de efectuarea, fără autorizaţie eliberată în condiţiile legii, de operaţiuni cu substanţe susceptibile de a avea efecte psihoactive, faptă prevăzută de art. 16 alin. (1) din Legea 194/2011 republicată.</w:t>
      </w:r>
    </w:p>
    <w:p>
      <w:pPr>
        <w:pStyle w:val="Normal"/>
        <w:suppressAutoHyphens w:val="true"/>
        <w:ind w:right="74" w:firstLine="709"/>
        <w:jc w:val="both"/>
        <w:rPr/>
      </w:pPr>
      <w:r>
        <w:rPr/>
        <w:t>-A4, pentru comiterea infracțiunii de efectuarea, fără autorizaţie eliberată în condiţiile legii, de operaţiuni cu substanţe susceptibile de a avea efecte psihoactive în formă continuată, faptă prevăzută de art. 16 alin. (1) din Legea 194/2011 republicată, cu aplicarea art. 35 alin. 1 Cod penal și cu aplicarea art. 41 alin. (1) Cod penal.</w:t>
      </w:r>
    </w:p>
    <w:p>
      <w:pPr>
        <w:pStyle w:val="Normal"/>
        <w:suppressAutoHyphens w:val="true"/>
        <w:ind w:right="74" w:firstLine="709"/>
        <w:jc w:val="both"/>
        <w:rPr/>
      </w:pPr>
      <w:r>
        <w:rPr/>
        <w:t>-A5, pentru comiterea infracțiunii de efectuarea, fără autorizaţie eliberată în condiţiile legii, de operaţiuni cu substanţe susceptibile de a avea efecte psihoactive în formă continuată, faptă prevăzută de art. 16 alin. (1) din Legea 194/2011 republicată, cu aplicarea art. 35 alin. 1 Cod penal.</w:t>
      </w:r>
    </w:p>
    <w:p>
      <w:pPr>
        <w:pStyle w:val="Normal"/>
        <w:suppressAutoHyphens w:val="true"/>
        <w:ind w:right="74" w:firstLine="709"/>
        <w:jc w:val="both"/>
        <w:rPr/>
      </w:pPr>
      <w:r>
        <w:rPr/>
        <w:t>-A6 Zis A6, pentru săvârșirea infracţiunii de efectuarea, fără autorizaţie eliberată în condiţiile legii, de operaţiuni cu substanţe susceptibile de a avea efecte psihoactive, faptă prevăzută de art. 16 alin. (1) din Legea 194/2011 republicată.</w:t>
      </w:r>
    </w:p>
    <w:p>
      <w:pPr>
        <w:pStyle w:val="Normal"/>
        <w:suppressAutoHyphens w:val="true"/>
        <w:ind w:right="74" w:firstLine="709"/>
        <w:jc w:val="both"/>
        <w:rPr/>
      </w:pPr>
      <w:r>
        <w:rPr/>
        <w:t>-A7 zisă A7, pentru săvârșirea infracţiunii de efectuarea, fără autorizaţie eliberată în condiţiile legii, de operaţiuni cu substanţe susceptibile de a avea efecte psihoactive în formă continuată, faptă prevăzută de art. 16 alin. (1) din Legea 194/2011 republicată, cu aplicarea art. 35 alin. (1) Cod penal.</w:t>
      </w:r>
    </w:p>
    <w:p>
      <w:pPr>
        <w:pStyle w:val="Normal"/>
        <w:suppressAutoHyphens w:val="true"/>
        <w:ind w:right="74" w:firstLine="709"/>
        <w:jc w:val="both"/>
        <w:rPr/>
      </w:pPr>
      <w:r>
        <w:rPr/>
        <w:t>-A2 Zis A2, pentru comiterea infracțiunii de efectuarea, fără autorizaţie eliberată în condiţiile legii, de operaţiuni cu substanţe susceptibile de a avea efecte psihoactive în formă continuată, faptă prevăzută de art. 16 alin. (1) din Legea 194/2011 republicată, cu aplicarea art. 35 alin. 1 Cod penal, cu aplicarea art. 77 lit. d Cod penal.</w:t>
      </w:r>
    </w:p>
    <w:p>
      <w:pPr>
        <w:pStyle w:val="Normal"/>
        <w:suppressAutoHyphens w:val="true"/>
        <w:ind w:right="74" w:firstLine="709"/>
        <w:jc w:val="both"/>
        <w:rPr/>
      </w:pPr>
      <w:bookmarkStart w:name="_Hlk170996807" w:id="11"/>
      <w:r>
        <w:rPr/>
        <w:t>-A8 zis A8, pentru săvârșirea infracţiunii de efectuarea, fără autorizaţie eliberată în condiţiile legii, de operaţiuni cu substanţe susceptibile de a avea efecte psihoactive, faptă prevăzută de art. 16 alin. (1) din Legea 194/2011 republicată.</w:t>
      </w:r>
      <w:bookmarkEnd w:id="11"/>
    </w:p>
    <w:p>
      <w:pPr>
        <w:pStyle w:val="Normal"/>
        <w:suppressAutoHyphens w:val="true"/>
        <w:ind w:firstLine="709"/>
        <w:jc w:val="both"/>
        <w:rPr/>
      </w:pPr>
      <w:r>
        <w:rPr>
          <w:color w:val="000000"/>
        </w:rPr>
        <w:t>Prin actul de sesizare a instanței s-a reținut, în esență, că i</w:t>
      </w:r>
      <w:r>
        <w:rPr/>
        <w:t>nculpata A1, în baza unei rezoluții infracționale unice, î</w:t>
      </w:r>
      <w:r>
        <w:rPr>
          <w:color w:val="000000"/>
        </w:rPr>
        <w:t xml:space="preserve">n </w:t>
      </w:r>
      <w:r>
        <w:rPr/>
        <w:t>perioada 10.01.2024-31.01.2024</w:t>
      </w:r>
      <w:r>
        <w:rPr>
          <w:color w:val="000000"/>
        </w:rPr>
        <w:t xml:space="preserve">, cu intenție directă, fără a avea calitatea de operator potrivit art. 2 lit. b din Legea nr. 194/2011 și fără a deține autorizație, a efectuat operațiuni cu produse, știind că acestea sunt susceptibile a avea efecte psihoactive (2 acte materiale), după cum urmează: </w:t>
      </w:r>
    </w:p>
    <w:p>
      <w:pPr>
        <w:pStyle w:val="Normal"/>
        <w:suppressAutoHyphens w:val="true"/>
        <w:spacing w:before="0" w:after="0"/>
        <w:ind w:right="-2" w:firstLine="709"/>
        <w:contextualSpacing/>
        <w:jc w:val="both"/>
        <w:rPr/>
      </w:pPr>
      <w:r>
        <w:rPr/>
        <w:t>-într-una din zilele lunii ianuarie 2024, a vândut pentru fiul său A3 zis A3, cu suma de 100 lei colaboratorului cu identitate reală M1, 3 doze constituite din 0,35 grame fragmente vegetale pe care s-a pus în evidență S1, substanță psihoactivă nouă notificată în anul 2019, în clasa cannabinoizilor sintetici.</w:t>
      </w:r>
    </w:p>
    <w:p>
      <w:pPr>
        <w:pStyle w:val="Normal"/>
        <w:suppressAutoHyphens w:val="true"/>
        <w:spacing w:before="0" w:after="0"/>
        <w:ind w:right="-2" w:firstLine="709"/>
        <w:contextualSpacing/>
        <w:jc w:val="both"/>
        <w:rPr/>
      </w:pPr>
      <w:r>
        <w:rPr/>
        <w:t>-într-una din zilele lunii ianuarie 2024 a vândut pentru fiul său A3 zis A3, cu suma de 40 lei colaboratorului cu identitate reală M1, o doză constituită din 0,08 grame fragmente vegetale pe care s-a pus în evidență S1, substanță psihoactivă nouă notificată în anul 2019, în clasa cannabinoizilor sintetici.</w:t>
      </w:r>
    </w:p>
    <w:p>
      <w:pPr>
        <w:pStyle w:val="Normal"/>
        <w:suppressAutoHyphens w:val="true"/>
        <w:ind w:firstLine="709"/>
        <w:jc w:val="both"/>
        <w:rPr/>
      </w:pPr>
      <w:r>
        <w:rPr/>
        <w:t xml:space="preserve">Inculpatul A2, în baza unei rezoluții infracționale unice, în perioada noiembrie - 31 ianuarie 2024, cu intenție directă, fără a avea calitatea de operator potrivit art. 2 lit. b din legea nr. 194/2011 și fără a deține autorizație, a efectuat operațiuni cu produse, știind că acestea sunt susceptibile a avea efecte psihoactive (5 acte materiale), după cum urmează: </w:t>
      </w:r>
    </w:p>
    <w:p>
      <w:pPr>
        <w:pStyle w:val="Normal"/>
        <w:suppressAutoHyphens w:val="true"/>
        <w:ind w:firstLine="709"/>
        <w:jc w:val="both"/>
        <w:rPr/>
      </w:pPr>
      <w:r>
        <w:rPr/>
        <w:t>-într-una din zilele lunii noiembrie 2023, a vândut, cu suma de 100 lei colaboratorului cu identitate reală M1, 2 doze constituite din 0,27 grame fragmente vegetale în care s-a pus în evidență S2 substanță psihoactivă nouă notificată în anul 2015, în clasa cannabinoizilor sintetici și S1, substanță psihoactivă nouă notificată în anul 2019, în clasa cannabinoizilor sintetici.</w:t>
      </w:r>
    </w:p>
    <w:p>
      <w:pPr>
        <w:pStyle w:val="Normal"/>
        <w:suppressAutoHyphens w:val="true"/>
        <w:ind w:firstLine="709"/>
        <w:jc w:val="both"/>
        <w:rPr/>
      </w:pPr>
      <w:r>
        <w:rPr/>
        <w:t>-în ziua de 30.11.2023, numitul A2 a comercializat prin intermediul fiului său minor M2, în schimbul sumei de 80 lei, unei persoane pe nume F1 două doze de substanțe cu efect psihoactiv, cel mai probabil S2 și S1;</w:t>
      </w:r>
    </w:p>
    <w:p>
      <w:pPr>
        <w:pStyle w:val="Normal"/>
        <w:suppressAutoHyphens w:val="true"/>
        <w:ind w:firstLine="709"/>
        <w:jc w:val="both"/>
        <w:rPr/>
      </w:pPr>
      <w:r>
        <w:rPr/>
        <w:t>-în ziua de 30.11.2023, numitul A2 a comercializat prin intermediul fiului său minor M2, în schimbul sumei de 90 lei, unei persoane pe nume F2 două doze de substanțe cu efect psihoactiv, cel mai probabil S2 și S1;</w:t>
      </w:r>
    </w:p>
    <w:p>
      <w:pPr>
        <w:pStyle w:val="Normal"/>
        <w:suppressAutoHyphens w:val="true"/>
        <w:ind w:firstLine="709"/>
        <w:jc w:val="both"/>
        <w:rPr/>
      </w:pPr>
      <w:r>
        <w:rPr/>
        <w:t>-în ziua de 30.11.2023, numitul A2 a comercializat prin intermediul fiului său minor M2, în schimbul sumei de 360 lei, numiților F3 și F4 10 doze de substanțe cu efect psihoactiv, cel mai probabil S2 și S1;</w:t>
      </w:r>
    </w:p>
    <w:p>
      <w:pPr>
        <w:pStyle w:val="Normal"/>
        <w:suppressAutoHyphens w:val="true"/>
        <w:ind w:firstLine="709"/>
        <w:jc w:val="both"/>
        <w:rPr/>
      </w:pPr>
      <w:r>
        <w:rPr/>
        <w:t>-în ziua de 30.11.2023, numitul A2 a comercializat prin intermediul fiului său minor M2, în schimbul sumei de 32 lei, unei persoane pe nume F5 o doză de substanțe cu efect psihoactiv, cel mai probabil S2 și S1.</w:t>
      </w:r>
    </w:p>
    <w:p>
      <w:pPr>
        <w:pStyle w:val="Normal"/>
        <w:suppressAutoHyphens w:val="true"/>
        <w:ind w:firstLine="709"/>
        <w:jc w:val="both"/>
        <w:rPr/>
      </w:pPr>
      <w:r>
        <w:rPr/>
        <w:t>În cursul urmăririi penale, prin încheierea judecătorului de drepturi şi libertăţi nr. IP2 din ..., pronunţată în dosarul D3 al Tribunalului ..., s-a dispus arestarea preventivă a inculpaților A1, A4, A2 și A7, pe o durată de 30 de zile, începând cu data de ... şi până la data de 05.03.2024, inclusiv.</w:t>
      </w:r>
    </w:p>
    <w:p>
      <w:pPr>
        <w:pStyle w:val="Normal"/>
        <w:suppressAutoHyphens w:val="true"/>
        <w:ind w:firstLine="709"/>
        <w:jc w:val="both"/>
        <w:rPr/>
      </w:pPr>
      <w:r>
        <w:rPr/>
        <w:t>Măsura arestării preventive luată față de inculpaţii A1, A4, A2 și A7 a fost ulterior prelungită, prin încheierea judecătorului de drepturi şi libertăţi nr. IP3 din ..., pronunţată în dosarul D4 al Tribunalului .. (pe o durată de 30 de zile, începând cu data de 06.03.2024 şi până la data de 04.04.2024, inclusiv), prin încheierea judecătorului de drepturi şi libertăţi nr. IP4 din ..., pronunţată în dosarul D5 al Tribunalului.... (pe o durată de 30 de zile, începând cu data de 05.04.2024 şi până la data de 04.05.2024, inclusiv) şi prin încheierea judecătorului de drepturi şi libertăţi nr. IP5 din  ..., pronunţată în dosarul D6 al Tribunalului.... (pe o durată de 30 de zile, începând cu data de 05.05.2024 şi până la data de 03.06.2024, inclusiv).</w:t>
      </w:r>
    </w:p>
    <w:p>
      <w:pPr>
        <w:pStyle w:val="Normal"/>
        <w:suppressAutoHyphens w:val="true"/>
        <w:ind w:right="-2" w:firstLine="709"/>
        <w:jc w:val="both"/>
        <w:rPr/>
      </w:pPr>
      <w:r>
        <w:rPr/>
        <w:t>La luarea măsurii arestării preventive și ulterior, la prelungirea acesteia, judecătorul de drepturi și libertăți a reținut, în esență, că, la acel moment, în cauză existau probe și indicii temeinice care susțineau suspiciunea rezonabilă că inculpaţii A1, A4, A2 și A7 ar fi comis faptele imputate și s-a constatat îndeplinită condiția prevăzută de art. 223 alin. (2) din Codul de procedură penală, în sensul că lăsarea în libertate a inculpaţilor creează o stare de pericol concret pentru ordinea publică ce rezultă în special din gravitatea deosebită a faptelor imputate, iar privarea de libertate a inculpaţilor se impune pentru a se asigura buna desfășurare a procesului penal și pentru prevenirea săvârșirii de noi infracțiuni.</w:t>
      </w:r>
    </w:p>
    <w:p>
      <w:pPr>
        <w:pStyle w:val="Normal"/>
        <w:suppressAutoHyphens w:val="true"/>
        <w:ind w:right="-2" w:firstLine="709"/>
        <w:jc w:val="both"/>
        <w:rPr/>
      </w:pPr>
      <w:r>
        <w:rPr/>
        <w:t>La data de 24.05.2024, Parchetul de pe lângă Înalta Curte de Casaţie şi Justiţie – Direcţia de Investigare a Infracțiunilor de Criminalitate Organizată și Terorism – Serviciul Teritorial ... a sesizat instanța cu rechizitoriu, cauza fiind înregistrată sub nr. D7.</w:t>
      </w:r>
    </w:p>
    <w:p>
      <w:pPr>
        <w:pStyle w:val="Normal"/>
        <w:suppressAutoHyphens w:val="true"/>
        <w:spacing w:before="0" w:after="0"/>
        <w:ind w:right="-2" w:firstLine="709"/>
        <w:contextualSpacing/>
        <w:jc w:val="both"/>
        <w:rPr/>
      </w:pPr>
      <w:r>
        <w:rPr/>
        <w:t>Prin încheierea de cameră preliminară nr. IP6 din data de ..., pronunţată în dosarul nr. D7/a1,  judecătorul de cameră preliminară din cadrul Tribunalului.... a constatat competenţa instanţei, legalitatea sesisării instanţei prin rechizitoriul întocmit în data de ..., în dosarul de urmărire penală nr. D2 al Parchetului de pe lângă Înalta Curte de Casaţie şi Justiţie – Direcţia de Investigare a Infracțiunilor de Criminalitate Organizată și Terorism – Serviciul Teritorial ... şi a dispus începerea judecăţii în prezenta cauză penală.</w:t>
      </w:r>
    </w:p>
    <w:p>
      <w:pPr>
        <w:pStyle w:val="Normal"/>
        <w:suppressAutoHyphens w:val="true"/>
        <w:spacing w:before="0" w:after="0"/>
        <w:ind w:right="-2" w:firstLine="709"/>
        <w:contextualSpacing/>
        <w:jc w:val="both"/>
        <w:rPr/>
      </w:pPr>
      <w:r>
        <w:rPr/>
        <w:t>Ca urmare a rămânerii definitive a încheierii pronunţate în procedura de cameră preliminară, în cauză a fost stabilit primul termen de judecată la data de 04 septembrie 2024, când cauza a fost amânată, la solicitarea inculpaţilor A5, A4 şi A3, zis A3, pentru pregătirea apărării.</w:t>
      </w:r>
    </w:p>
    <w:p>
      <w:pPr>
        <w:pStyle w:val="Normal"/>
        <w:suppressAutoHyphens w:val="true"/>
        <w:spacing w:before="0" w:after="0"/>
        <w:ind w:right="-2" w:firstLine="709"/>
        <w:contextualSpacing/>
        <w:jc w:val="both"/>
        <w:rPr/>
      </w:pPr>
      <w:r>
        <w:rPr/>
        <w:t>La termenul de judecată din data de 19 septembrie 2024, instanţa a admis cererile inculpaţilor A3 zis A3, A1, A4, A5, A2 și A7, A6, A8 şi A3 de judecare a cauzei în procedură simplificată, cauza fiind amânată pentru data de 01 octombrie 2024, pentru a da inculpaţilor posibilitatea de a depune înscrisuri în circumstanțiere.</w:t>
      </w:r>
    </w:p>
    <w:p>
      <w:pPr>
        <w:pStyle w:val="Normal"/>
        <w:suppressAutoHyphens w:val="true"/>
        <w:spacing w:before="0" w:after="0"/>
        <w:ind w:right="-2" w:firstLine="709"/>
        <w:contextualSpacing/>
        <w:jc w:val="both"/>
        <w:rPr/>
      </w:pPr>
      <w:r>
        <w:rPr/>
        <w:t>La termenul de judecată din data de 01 octombrie 2024 au avut loc dezbaterile pe fondul cauzei, instanţa stabilind termen pentru pronunţare la data de 05 noiembrie 2024.</w:t>
      </w:r>
    </w:p>
    <w:p>
      <w:pPr>
        <w:pStyle w:val="Normal"/>
        <w:suppressAutoHyphens w:val="true"/>
        <w:spacing w:before="0" w:after="0"/>
        <w:ind w:right="-2" w:firstLine="709"/>
        <w:contextualSpacing/>
        <w:jc w:val="both"/>
        <w:rPr/>
      </w:pPr>
      <w:r>
        <w:rPr/>
        <w:t>În ceea ce priveşte măsurile preventive dispuse în cauză, în faza de judecată, a fost verificată în mod succesiv legalitatea şi temeinicia măsurii arestării preventive a inculpaţilor A1 şi A2 prin încheierile din data de 12 august 2024 şi 08 octombrie 2024.</w:t>
      </w:r>
    </w:p>
    <w:p>
      <w:pPr>
        <w:pStyle w:val="Normal"/>
        <w:suppressAutoHyphens w:val="true"/>
        <w:ind w:right="-2" w:firstLine="709"/>
        <w:jc w:val="both"/>
        <w:rPr/>
      </w:pPr>
      <w:r>
        <w:rPr/>
        <w:t>La data de 24 octombrie 2024, a fost înregistrată pe rolul acestei instanţe cererea inculpatei A1 de înlocuire a măsurii arestării preventive cu măsura arestului la domiciliu sau cu măsura controlului judiciar.</w:t>
      </w:r>
    </w:p>
    <w:p>
      <w:pPr>
        <w:pStyle w:val="Normal"/>
        <w:suppressAutoHyphens w:val="true"/>
        <w:ind w:firstLine="709"/>
        <w:jc w:val="both"/>
        <w:rPr/>
      </w:pPr>
      <w:r>
        <w:rPr/>
        <w:t>În susţinerea cererii, inculpata a invocat faptul că sunt îndeplinite condiţiile pentru luarea unei măsuri mai uşoare faţă de aceasta, iar în urma evaluărilor împrejurărilor concrete ale cauzei şi a conduitei procesuale a inculpatei, măsura preventivă mai uşoară este suficientă pentru realizarea scopului prevăzut l art. 202 alin. (1) din Codul de procedură penală.</w:t>
      </w:r>
    </w:p>
    <w:p>
      <w:pPr>
        <w:pStyle w:val="Normal"/>
        <w:suppressAutoHyphens w:val="true"/>
        <w:ind w:firstLine="709"/>
        <w:jc w:val="both"/>
        <w:rPr/>
      </w:pPr>
      <w:r>
        <w:rPr/>
        <w:t>La data de 29 octombrie 2024, a fost înregistrată la dosarul cauzei, cererea inculpatului A2 de înlocuire a măsurii arestării preventive cu măsura arestului la domiciliu sau cu măsura controlului judiciar.</w:t>
      </w:r>
    </w:p>
    <w:p>
      <w:pPr>
        <w:pStyle w:val="Normal"/>
        <w:suppressAutoHyphens w:val="true"/>
        <w:ind w:firstLine="709"/>
        <w:jc w:val="both"/>
        <w:rPr/>
      </w:pPr>
      <w:r>
        <w:rPr/>
        <w:t>În motivarea cererii, inculpatul a invocat faptul că au trecut nouă luni de la data dispunerii măsurii arestării preventive, motiv pentru care înlocuirea acestei măsuri nu ar îngreuna cu nimic buna desfăşurare a procesului penal.</w:t>
      </w:r>
    </w:p>
    <w:p>
      <w:pPr>
        <w:pStyle w:val="Normal"/>
        <w:suppressAutoHyphens w:val="true"/>
        <w:spacing w:before="0" w:after="0"/>
        <w:ind w:right="-46" w:firstLine="709"/>
        <w:contextualSpacing/>
        <w:jc w:val="both"/>
        <w:rPr/>
      </w:pPr>
      <w:r>
        <w:rPr/>
        <w:t>În aceste condiţii, având în vedere stadiul procesual al cauzei, Tribunalul reţine că potrivit dispoziţiilor art. 362 alin. (1) din Codul de procedură penală: „în tot cursul judecăţii, până la pronunţarea hotărârii, instanţa se pronunţă, la cerere sau din oficiu, cu privire la luarea, înlocuirea, revocarea sau încetarea de drept a măsurilor preventive”.</w:t>
      </w:r>
    </w:p>
    <w:p>
      <w:pPr>
        <w:pStyle w:val="Normal"/>
        <w:suppressAutoHyphens w:val="true"/>
        <w:ind w:firstLine="709"/>
        <w:jc w:val="both"/>
        <w:rPr/>
      </w:pPr>
      <w:r>
        <w:rPr/>
        <w:t xml:space="preserve">Analizând cererile de înlocuire a măsurii arestării preventive dispusă faţă de inculpaţii A1 şi A2 cu măsura arestului la domiciliu sau cu măsura controlului judiciar, instanţa a apreciat că acestea sunt neîntemeiate pentru motivele ce urmează a fi expuse.  </w:t>
      </w:r>
    </w:p>
    <w:p>
      <w:pPr>
        <w:pStyle w:val="Normal"/>
        <w:suppressAutoHyphens w:val="true"/>
        <w:ind w:firstLine="709"/>
        <w:jc w:val="both"/>
        <w:rPr>
          <w:color w:val="000000"/>
        </w:rPr>
      </w:pPr>
      <w:r>
        <w:rPr>
          <w:color w:val="000000"/>
        </w:rPr>
        <w:t>În acord cu dispoziţiile art. 202 alin. (1) Cod procedură penală „măsurile preventive pot fi dispuse dacă există probe sau indicii temeinice din care rezultă suspiciunea rezonabilă că o persoană a săvârşit o infracţiune şi dacă sunt necesare în scopul asigurării bunei desfăşurări a procesului penal, al împiedicării sustragerii suspectului ori a inculpatului de la urmărirea penală sau de la judecată ori al prevenirii săvârşirii unei alte infracţiuni”.</w:t>
      </w:r>
    </w:p>
    <w:p>
      <w:pPr>
        <w:pStyle w:val="Normal"/>
        <w:suppressAutoHyphens w:val="true"/>
        <w:ind w:firstLine="709"/>
        <w:jc w:val="both"/>
        <w:rPr/>
      </w:pPr>
      <w:r>
        <w:rPr/>
        <w:t xml:space="preserve">Potrivit normelor de procedură penală care constituie sediul de reglementare a instituției înlocuirii unei măsuri preventive, </w:t>
      </w:r>
      <w:r>
        <w:rPr>
          <w:color w:val="000000"/>
        </w:rPr>
        <w:t>măsura preventivă se înlocuieşte, din oficiu sau la cerere, cu o măsură preventivă mai uşoară, dacă sunt îndeplinite condiţiile prevăzute de lege pentru luarea acesteia şi, în urma evaluării împrejurărilor concrete ale cauzei şi a conduitei procesuale a inculpatului, se apreciază că măsura preventivă mai uşoară este suficientă pentru realizarea pentru realizarea scopului prevăzut de art. 202 alin. (1).</w:t>
      </w:r>
    </w:p>
    <w:p>
      <w:pPr>
        <w:pStyle w:val="Normal"/>
        <w:suppressAutoHyphens w:val="true"/>
        <w:ind w:firstLine="709"/>
        <w:jc w:val="both"/>
        <w:rPr>
          <w:color w:val="000000"/>
        </w:rPr>
      </w:pPr>
      <w:r>
        <w:rPr>
          <w:color w:val="000000"/>
        </w:rPr>
        <w:t xml:space="preserve">  </w:t>
      </w:r>
      <w:r>
        <w:rPr>
          <w:color w:val="000000"/>
        </w:rPr>
        <w:tab/>
        <w:t>Cu titlu prealabil, instanţa a constatat că în cuprinsul cererilor de înlocuire a măsurii arestării preventive luate faţă de cei doi inculpaţi, ce fac obiectul cauzei de faţă, nu au fost invocate elemente de noutate care să nu fi fost analizate ori avute în vedere prin ultima încheiere prin care s-a dispus menţinerea măsurii preventive.</w:t>
      </w:r>
    </w:p>
    <w:p>
      <w:pPr>
        <w:pStyle w:val="Normal"/>
        <w:suppressAutoHyphens w:val="true"/>
        <w:ind w:firstLine="709"/>
        <w:jc w:val="both"/>
        <w:rPr/>
      </w:pPr>
      <w:r>
        <w:rPr>
          <w:color w:val="000000"/>
        </w:rPr>
        <w:t xml:space="preserve">A arătat instanța ca inculpatii au formulat cererile de inlocuire la mai puţin de o lună de la data la care a fost verificată legalitatea şi temeinicia măsurii arestării preventive luată faţă de inculpaţi când prin încheierea instanţei din </w:t>
      </w:r>
      <w:r>
        <w:rPr/>
        <w:t>..., pronunţată în dosarul nr. D7/a7, s-a constatat că se impune, în continuare, menţinerea măsurii arestării preventive luată faţă de inculpaţii A1 şi A2 şi nicio altă măsură preventivă, mai blândă, nu este oportună în cauză.</w:t>
      </w:r>
    </w:p>
    <w:p>
      <w:pPr>
        <w:pStyle w:val="Normal"/>
        <w:suppressAutoHyphens w:val="true"/>
        <w:ind w:firstLine="709"/>
        <w:jc w:val="both"/>
        <w:rPr>
          <w:color w:val="000000"/>
        </w:rPr>
      </w:pPr>
      <w:r>
        <w:rPr>
          <w:color w:val="000000"/>
        </w:rPr>
        <w:t>Potrivit motivelor invocate în cererea scrisă, dar şi din analiza dezbaterilor care au avut loc în şedinţă publică de astăzi, reiese că aspectele pe care întemeiază cererea dedusă prezentei analize, vizează, în principal, stadiul procesual al cauzei, conduita procesuală a inculpatei A1 şi circumstanţele sale personale, îndeosebi  situaţia sa familială şi lipsa antecedentelor penale.</w:t>
      </w:r>
    </w:p>
    <w:p>
      <w:pPr>
        <w:pStyle w:val="Normal"/>
        <w:suppressAutoHyphens w:val="true"/>
        <w:ind w:firstLine="709"/>
        <w:jc w:val="both"/>
        <w:rPr>
          <w:color w:val="000000"/>
        </w:rPr>
      </w:pPr>
      <w:r>
        <w:rPr>
          <w:color w:val="000000"/>
        </w:rPr>
        <w:t>Cererea inculpatului A2 a fost fundamentată pe motive ce ţin de durata detenţiei preventive şi de situaţia sa familială.</w:t>
      </w:r>
    </w:p>
    <w:p>
      <w:pPr>
        <w:pStyle w:val="Normal"/>
        <w:suppressAutoHyphens w:val="true"/>
        <w:ind w:firstLine="709"/>
        <w:jc w:val="both"/>
        <w:rPr/>
      </w:pPr>
      <w:r>
        <w:rPr/>
        <w:t>Analizând motivele pe care se bazează cererile de înlocuire a măsurii arestării preventive de faţă,  instanţa a constatat că acestea nu sunt apte a constitui temeiuri suficiente pentru a susţine cererile formulate.</w:t>
      </w:r>
    </w:p>
    <w:p>
      <w:pPr>
        <w:pStyle w:val="Normal"/>
        <w:suppressAutoHyphens w:val="true"/>
        <w:spacing w:before="0" w:after="300"/>
        <w:ind w:right="95" w:firstLine="709"/>
        <w:contextualSpacing/>
        <w:jc w:val="both"/>
        <w:rPr/>
      </w:pPr>
      <w:r>
        <w:rPr/>
        <w:t>Inculpaţii se află sub incidența măsurii arestării preventive începând cu data de 05 februarie 2024 iar temeiurile care au determinat luarea, prelungirea şi menţinerea măsurii preventive nu au suferit modificări semnificative în acest interval de timp.</w:t>
      </w:r>
    </w:p>
    <w:p>
      <w:pPr>
        <w:pStyle w:val="Normal"/>
        <w:suppressAutoHyphens w:val="true"/>
        <w:spacing w:before="0" w:after="300"/>
        <w:ind w:right="95" w:firstLine="709"/>
        <w:contextualSpacing/>
        <w:jc w:val="both"/>
        <w:rPr/>
      </w:pPr>
      <w:r>
        <w:rPr/>
        <w:t>Arestarea preventivă a inculpaţilor a fost întemeiată pe dispoziţiile art. 223 alin. 2 din Codul procedură penală, având în vedere gravitatea infracţiunii de efectuarea, fără autorizaţie eliberată în condiţiile legii, de operaţiuni cu substanţe susceptibile de a avea efecte psihoactive, în formă continuată, pentru care erau cercetaţi, judecătorul de drepturi şi libertăţi având în vedere la acea dată limitele de pedeapsă ridicate prevăzute de lege (</w:t>
      </w:r>
      <w:r>
        <w:rPr>
          <w:color w:val="000000"/>
          <w:shd w:val="clear" w:fill="FFFFFF"/>
        </w:rPr>
        <w:t>închisoare de la 2 la 7 ani</w:t>
      </w:r>
      <w:r>
        <w:rPr/>
        <w:t>)  precum şi natura și importanța valorilor sociale protejate prin incriminare, respectiv sănătatea persoanelor care consumă astfel de substanţe şi care devin dependente, fiindu-le afectată în mod direct şi grav sănătatea.</w:t>
      </w:r>
    </w:p>
    <w:p>
      <w:pPr>
        <w:pStyle w:val="Normal"/>
        <w:suppressAutoHyphens w:val="true"/>
        <w:spacing w:before="0" w:after="300"/>
        <w:ind w:firstLine="709"/>
        <w:contextualSpacing/>
        <w:jc w:val="both"/>
        <w:rPr/>
      </w:pPr>
      <w:r>
        <w:rPr/>
        <w:t>Astfel, s-a arătat ca in cauză nu au intervenit elemente de noutate care să pună în discuţie aparenţa de temenicie a acuzaţiilor aduse inculpaţilor în ultima încheiere prin care s-a dispus menţinerea măsurii arestării preventive, iar sub aspectul circumstanţelor personale, de asemenea, nu au survenit elemente noi.</w:t>
      </w:r>
    </w:p>
    <w:p>
      <w:pPr>
        <w:pStyle w:val="Normal"/>
        <w:suppressAutoHyphens w:val="true"/>
        <w:spacing w:before="0" w:after="300"/>
        <w:ind w:firstLine="709"/>
        <w:contextualSpacing/>
        <w:jc w:val="both"/>
        <w:rPr/>
      </w:pPr>
      <w:r>
        <w:rPr/>
        <w:t xml:space="preserve">De asemenea, s-a subliniat ca aspectele favorable inculpatei A1 privind poziţia procesuală a inculpatei, atitudinea de recunoaştere a faptei, contribuţia inculpatei, lipsa antecedentelor penale, urmează a fi valorificate la momentul pronunţării pe fondul acuzaţiei penale, putând influenţa, dacă este cazul dimensiunea represiunii penale. </w:t>
      </w:r>
    </w:p>
    <w:p>
      <w:pPr>
        <w:pStyle w:val="Normal"/>
        <w:suppressAutoHyphens w:val="true"/>
        <w:spacing w:before="0" w:after="300"/>
        <w:ind w:firstLine="709"/>
        <w:contextualSpacing/>
        <w:jc w:val="both"/>
        <w:rPr/>
      </w:pPr>
      <w:r>
        <w:rPr/>
        <w:t>Totodata, s-a arătat ca situaţia familială invocată de inculpatul A2, ce rezultă din actele medicale aflate la dosarul cauzei, este preexistentă comiterii presupusei faptei iar privarea inculpatului de copilul său M3, încadrat în grad de handicap grav, cu asistent personal, este o consecinţă pe care aceasta ar fi trebuit să o prevadă anterior a se angrena în presupuse conduite infracţionale. Cu toate acestea, o serie de probe solide conduc la suspiciunea rezonabilă că inculpattul s-a implicat activ şi în mod repetat în vânzarea de substanţe susceptibile de a avea efecte psihoactive, acesta putând fi conştient, de faptul că, o astfel de activitate, aparent ilegală, ar putea atrage consecinţe penale asupra sa, inclusiv privarea de libertate în scop preventiv, cu atât mai mult cu cât inculpatul nu este la primul contact cu legea penală, având antecedente penale ce nu atrag starea de recividă.</w:t>
      </w:r>
    </w:p>
    <w:p>
      <w:pPr>
        <w:pStyle w:val="Normal"/>
        <w:suppressAutoHyphens w:val="true"/>
        <w:ind w:firstLine="709"/>
        <w:jc w:val="both"/>
        <w:rPr/>
      </w:pPr>
      <w:r>
        <w:rPr/>
        <w:t xml:space="preserve">Împrejurarea că inculpaţii şi-au asumat, în faza judecăţii, integral faptele imputate, constituie  un aspect de natură a consolida consistenţa temeiurilor factuale ce au stat la baza luării şi, ulterior, menținerii măsurii preventive. Astfel, din perspectiva elementului factual, tribunalul a reţinut că situaţia expusă în actul de sesizare este susţinută în continuare, la nivel de suspiciune rezonabilă, de mijloacele de probă enumerate în rechizitoriu, dar şi de declarațiile inculpaţilor A1 şi A2 din faza de judecată, prin care, în esență, şi-au asumat faptele imputate. </w:t>
      </w:r>
    </w:p>
    <w:p>
      <w:pPr>
        <w:pStyle w:val="Normal"/>
        <w:tabs>
          <w:tab w:val="left" w:leader="none" w:pos="720"/>
        </w:tabs>
        <w:suppressAutoHyphens w:val="true"/>
        <w:ind w:firstLine="709"/>
        <w:jc w:val="both"/>
        <w:rPr/>
      </w:pPr>
      <w:r>
        <w:rPr/>
        <w:t>A susținut instanța ca inlocuirea măsurii arestării preventive cu măsura arestului la domiciliu, justificată numai de împrejurarea că inculpaţii au optat pentru procedura simplificată iar cauza a fost finalizată în primă instanţă (urmând a avea loc pronunţarea hotărârii), pare a fi o măsură prematură şi inoportună prin raportare la gravitatea faptelor imputate şi modalitatea de comitere a acestora.</w:t>
      </w:r>
    </w:p>
    <w:p>
      <w:pPr>
        <w:pStyle w:val="Normal"/>
        <w:suppressAutoHyphens w:val="true"/>
        <w:ind w:firstLine="709"/>
        <w:jc w:val="both"/>
        <w:rPr/>
      </w:pPr>
      <w:r>
        <w:rPr/>
        <w:t>În acest context, judecatorul a constatat cererile inculpaţilor au, în mod evident, un caracter neîntemeiat, temeiurile detenţiei provizorii subzistând neschimbate.</w:t>
      </w:r>
    </w:p>
    <w:p>
      <w:pPr>
        <w:pStyle w:val="Normal"/>
        <w:suppressAutoHyphens w:val="true"/>
        <w:ind w:firstLine="709"/>
        <w:jc w:val="both"/>
        <w:rPr/>
      </w:pPr>
      <w:r>
        <w:rPr/>
        <w:t>Aşadar, s-a aratat de la data ultimei analize efectuate cu privire la legalitatea şi temeinicia măsurii preventive luată faţă de inculpaţi nu au intervenit aspecte noi care să determine nelegalitatea ori netemeinicia măsurii în cauză. Deopotrivă, nu au fost relevate elemente noi, favorabile inculpaţilor A1 şi A2, de natură să conducă la concluzia oportunităţii înlocuirii măsurii arestării preventive iar durata măsurii se menţine, în continuate, în limite rezonabile, proporţionale în raport cu gravitatea acuzaţiilor aduse inculpaţilor.</w:t>
      </w:r>
    </w:p>
    <w:p>
      <w:pPr>
        <w:pStyle w:val="Normal"/>
        <w:tabs>
          <w:tab w:val="clear" w:pos="720"/>
          <w:tab w:val="left" w:leader="none" w:pos="709"/>
          <w:tab w:val="left" w:leader="none" w:pos="993"/>
        </w:tabs>
        <w:suppressAutoHyphens w:val="true"/>
        <w:ind w:firstLine="709"/>
        <w:jc w:val="both"/>
        <w:rPr/>
      </w:pPr>
      <w:r>
        <w:rPr/>
        <w:tab/>
        <w:t>Astfel, s-a precizat ca în cauză probatoriul administrat în cursul urmăririi penale este în măsură să furnizeze în continuare motive verosimile de a se bănui că cei doi inculpaţi ar fi săvârşit faptele pentru care au fost trimişi în judecată, nefiind identificate probe ori indicii care să înlăture suspiciunea rezonabilă, conturată la momentul dispunerii, prelungirii şi menţinerii, după trimiterea în judecată, a măsurii preventive, privind comiterea faptelor în discuţie.</w:t>
      </w:r>
    </w:p>
    <w:p>
      <w:pPr>
        <w:pStyle w:val="Normal"/>
        <w:suppressAutoHyphens w:val="true"/>
        <w:ind w:right="-2" w:firstLine="709"/>
        <w:jc w:val="both"/>
        <w:rPr/>
      </w:pPr>
      <w:r>
        <w:rPr/>
        <w:t>În ceea ce o privește pe inculpata A1, s-a arătat ca materialul probator administrat în cursul urmăririi penale coroborat cu poziţia procesuală a inculpatei de recunoaştere a învinuirii  justifică concluzia existenţei unei suspiciuni rezonabile, în sensul că inculpata ar fi putut săvârşi infracţiunea de efectuarea, fără autorizaţie eliberată în condiţiile legii, de operaţiuni cu substanţe susceptibile de a avea efecte psihoactive, în formă continuată, prevăzută de art. 16 alin. 1 din Legea 194/2011 republicată, cu aplicarea art. 35 alin. 1 Cod penal (2 acte materiale), faptă menţionată expres în cuprinsul dispozițiilor art. 223 alin. (2) Cod procedură penală.</w:t>
      </w:r>
    </w:p>
    <w:p>
      <w:pPr>
        <w:pStyle w:val="Normal"/>
        <w:suppressAutoHyphens w:val="true"/>
        <w:ind w:firstLine="709"/>
        <w:jc w:val="both"/>
        <w:rPr/>
      </w:pPr>
      <w:r>
        <w:rPr/>
        <w:t xml:space="preserve">Acuzația adusă inculpatei A1 conturează suspiciunea rezonabilă privind implicarea de către aceasta, în baza unei rezoluţii infracţionale unice, într-o activitate de efectuare, fără autorizaţie eliberată în condiţiile legii şi fără a avea calitatea de operator potrivit art. 2 lit. b) din Legea nr. 194/2011, de operaţiuni cu substanţe susceptibile de a avea efecte psihoactive. </w:t>
      </w:r>
    </w:p>
    <w:p>
      <w:pPr>
        <w:pStyle w:val="Normal"/>
        <w:suppressAutoHyphens w:val="true"/>
        <w:ind w:right="-2" w:firstLine="709"/>
        <w:jc w:val="both"/>
        <w:rPr/>
      </w:pPr>
      <w:r>
        <w:rPr/>
        <w:t>Cu privire la inculpatul A2 zis A2, din analiza mijloacelor de probă administrate în cursul urmăririi penale, prin raportare şi la declaraţia inculpatului de recunoaştere a învinuirii dată în şedinţă publică, a rezultat, în esență, presupunerea rezonabilă că acesta a comis infracţiunea de efectuarea, fără autorizaţie eliberată în condiţiile legii, de operaţiuni cu substanţe susceptibile de a avea efecte psihoactive, în formă continuată, prevăzută de art. 16 alin. 1 din Legea 194/2011 republicată, cu aplicarea art. 35 alin. 1 Cod penal și cu aplicarea art. 77 lit. d Cod penal (5 acte materiale), faptă menţionată expres în cuprinsul dispozițiilor art. 223 alin. (2) Cod procedură penală.</w:t>
      </w:r>
    </w:p>
    <w:p>
      <w:pPr>
        <w:pStyle w:val="Normal"/>
        <w:suppressAutoHyphens w:val="true"/>
        <w:ind w:firstLine="709"/>
        <w:jc w:val="both"/>
        <w:rPr/>
      </w:pPr>
      <w:r>
        <w:rPr>
          <w:color w:val="000000"/>
        </w:rPr>
        <w:t xml:space="preserve">La nivel de suspiciune rezonabilă, din mijloacele de probă administrate în cauză, a precizat judecătorul ca se poate stabili că, </w:t>
      </w:r>
      <w:r>
        <w:rPr/>
        <w:t>în baza unei rezoluții infracționale unice, în perioada noiembrie-31 ianuarie 2024, cu intenție directă, fără a avea calitatea de operator potrivit art. 2 lit. b) din Legea nr. 194/2011 și fără a deține autorizație, a efectuat operațiuni cu produse, știind că acestea sunt susceptibile a avea efecte psihoactive.</w:t>
      </w:r>
    </w:p>
    <w:p>
      <w:pPr>
        <w:pStyle w:val="Normal"/>
        <w:tabs>
          <w:tab w:val="clear" w:pos="720"/>
          <w:tab w:val="left" w:leader="none" w:pos="0"/>
        </w:tabs>
        <w:suppressAutoHyphens w:val="true"/>
        <w:spacing w:before="0" w:after="0"/>
        <w:ind w:firstLine="709"/>
        <w:contextualSpacing/>
        <w:jc w:val="both"/>
        <w:rPr/>
      </w:pPr>
      <w:r>
        <w:rPr/>
        <w:t xml:space="preserve">Modalitatea concretă de comitere a presupuselor fapte a rezultat din probele administrate în cursul urmării penale coroborate cu declaraţiile inculpaţilor, date în faţa instanţei de judecată,  de recunoaştere a învinuirii. </w:t>
      </w:r>
    </w:p>
    <w:p>
      <w:pPr>
        <w:pStyle w:val="Normal"/>
        <w:suppressAutoHyphens w:val="true"/>
        <w:ind w:firstLine="709"/>
        <w:jc w:val="both"/>
        <w:rPr/>
      </w:pPr>
      <w:r>
        <w:rPr/>
        <w:t>Probatoriile privind suspiciunea rezonabilă de implicare a inculpaţilor în comiterea presupuselor fapte au fost coroborate și apreciate ca fiind suficiente în raport de faza în care se află prezentul proces penal, având aptitudinea de a convinge un observator independent şi imparţial că este posibil ca inculpaţii să fi comis infracţiunile pentru care au fost trimişi în judecată.</w:t>
      </w:r>
    </w:p>
    <w:p>
      <w:pPr>
        <w:pStyle w:val="Normal"/>
        <w:suppressAutoHyphens w:val="true"/>
        <w:ind w:right="-2" w:firstLine="709"/>
        <w:jc w:val="both"/>
        <w:rPr/>
      </w:pPr>
      <w:r>
        <w:rPr/>
        <w:t xml:space="preserve">Pentru a ajunge la această concluzie, instanţa s-a raportat la jurisprudenţa constantă a Curții Europene a Drepturilor Omului, care a statuat că probele ce stau la baza luării, prelungirea, respectiv menţinerea arestării preventive nu trebuie să aibă greutatea, forța celor care justifică soluţionarea pe fond a cauzei, ci trebuie să furnizeze doar un set de informaţii verosimile, credibile, care să susţină suspiciunea rezonabilă că este posibil ca persoana acuzată să fi comis fapta reţinută în sarcina sa. </w:t>
      </w:r>
    </w:p>
    <w:p>
      <w:pPr>
        <w:pStyle w:val="Normal"/>
        <w:suppressAutoHyphens w:val="true"/>
        <w:spacing w:before="0" w:after="0"/>
        <w:ind w:firstLine="709"/>
        <w:contextualSpacing/>
        <w:jc w:val="both"/>
        <w:rPr/>
      </w:pPr>
      <w:r>
        <w:rPr/>
        <w:t>Or, s-a subliniat ca aceste exigenţe de probaţiune sunt îndeplinite în cauză, şi sunt apte a pune în mod real în discuţie persistenţa caracterului rezonabil al suspiciunii implicării inculpaţilor  A1 şi  A2, în faptele de natură penală ce fac obiectul acuzaţiilor.</w:t>
      </w:r>
    </w:p>
    <w:p>
      <w:pPr>
        <w:pStyle w:val="Normal"/>
        <w:suppressAutoHyphens w:val="true"/>
        <w:ind w:firstLine="709"/>
        <w:jc w:val="both"/>
        <w:rPr/>
      </w:pPr>
      <w:r>
        <w:rPr/>
        <w:t>De asemenea, pe baza evaluării gravităţii faptelor pentru care s-a dispus trimiterea în judecată a inculpaţilor A1 şi  A2, a modului şi a circumstanţelor de comitere a acestora şi a circumstanţelor personale ale inculpaţilor, instanţa a apreciat că privarea de libertate a inculpaţilor este necesară în continuare pentru buna desfăşurare a procesului penal şi prevenirea săvârşirii de noi infracţiuni,  nicio altă măsură mai blândă nefiind aptă să împiedice sustragerea inculpaţilor de la judecată ori împiedicarea acestora de comitere a unor noi infracţiuni.</w:t>
      </w:r>
    </w:p>
    <w:p>
      <w:pPr>
        <w:pStyle w:val="Normal"/>
        <w:suppressAutoHyphens w:val="true"/>
        <w:spacing w:before="0" w:after="300"/>
        <w:ind w:firstLine="709"/>
        <w:contextualSpacing/>
        <w:jc w:val="both"/>
        <w:rPr/>
      </w:pPr>
      <w:r>
        <w:rPr/>
        <w:t>Pentru a ajunge la acestă concluzie, instanţa a avut în vedere faptul că inculpații se află sub incidența măsurilor preventive începând cu data de 05 februarie 2024, iar temeiurile care au determinat măsura preventivă în discuţie nu au suferit modificări substanţiale de la data ultimei verificări a legalităţii şi temeiniciei acesteia.</w:t>
      </w:r>
    </w:p>
    <w:p>
      <w:pPr>
        <w:pStyle w:val="Normal"/>
        <w:suppressAutoHyphens w:val="true"/>
        <w:spacing w:before="0" w:after="0"/>
        <w:ind w:firstLine="709"/>
        <w:contextualSpacing/>
        <w:jc w:val="both"/>
        <w:rPr/>
      </w:pPr>
      <w:r>
        <w:rPr/>
        <w:t>Din această perspectivă,  s-a arătat că în prezenta cauză a fost parcursă etapa judecăţii în primă instanţa,  având în vedere că la termenul de judecată din data de 19 septembrie 2024 a fost admisă cererea inculpaţilor de judecare a cauzei în procedură simplificată, pe baza recunoaşterii în integralitate a învinuirilor aduse prin rechizitoriu, fiind stabilit termen de pronunţare pe fondul cauzei la data de 05 noiembrie 2024.</w:t>
      </w:r>
    </w:p>
    <w:p>
      <w:pPr>
        <w:pStyle w:val="Normal"/>
        <w:suppressAutoHyphens w:val="true"/>
        <w:spacing w:before="0" w:after="300"/>
        <w:ind w:firstLine="709"/>
        <w:contextualSpacing/>
        <w:jc w:val="both"/>
        <w:rPr/>
      </w:pPr>
      <w:r>
        <w:rPr/>
        <w:t xml:space="preserve">Infracțiunile imputate inculpaților, prin prezumtiva modalitate de săvârșire, prezintă un grad ridicat de pericol social, care deşi s-a estompat, în mod firesc, odată cu trecerea timpului, subzistă în continuare şi la acest moment (la aproximativ nouă luni de la data dispunerii măsurii) iar măsura arestării preventivă suspusă analizei este necesară şi la acest moment procesual pentru înlăturarea stării de pericol pentru ordinea publică pe care inculpaţii o prezintă. </w:t>
      </w:r>
    </w:p>
    <w:p>
      <w:pPr>
        <w:pStyle w:val="Normal"/>
        <w:suppressAutoHyphens w:val="true"/>
        <w:ind w:firstLine="709"/>
        <w:jc w:val="both"/>
        <w:rPr/>
      </w:pPr>
      <w:r>
        <w:rPr/>
        <w:t>Sub aspectul circumstanţelor comiterii faptelor, instanţa a reţinut, la nivel de suspiciune rezonabilă că, inculpații  A3 zis A3, A1, A4, A5,  A7, A3 cu toţii membri de familie, precum şi inculpaţii A2, A6 şi A8 ar fi desfăşurat  pe raza localităţii ..., într-o modalitate obişnuită, activităţi de comercializare de substanţe interzise, în speţă substanţe susceptibile de a avea efecte psihoactiva, implicându-se în dezvoltarea unor planuri care să le sporească câștigurile materiale ilicite prin comercializarea de, fără autorizaţie eliberată în condiţiile legii, de astfel de substanţe.</w:t>
      </w:r>
    </w:p>
    <w:p>
      <w:pPr>
        <w:pStyle w:val="Normal"/>
        <w:tabs>
          <w:tab w:val="clear" w:pos="720"/>
          <w:tab w:val="left" w:leader="none" w:pos="567"/>
          <w:tab w:val="left" w:leader="none" w:pos="746"/>
          <w:tab w:val="left" w:leader="none" w:pos="851"/>
          <w:tab w:val="left" w:leader="none" w:pos="993"/>
          <w:tab w:val="left" w:leader="none" w:pos="1172"/>
          <w:tab w:val="left" w:leader="none" w:pos="1577"/>
          <w:tab w:val="left" w:leader="none" w:pos="1950"/>
        </w:tabs>
        <w:suppressAutoHyphens w:val="true"/>
        <w:spacing w:before="0" w:after="0"/>
        <w:ind w:right="28" w:firstLine="709"/>
        <w:contextualSpacing/>
        <w:jc w:val="both"/>
        <w:rPr/>
      </w:pPr>
      <w:r>
        <w:rPr/>
        <w:t xml:space="preserve">S-a subliniat astfel că inculpații A1 şi A2 ar fi avut preocupări constante în sfera activităţii de efectuare, fără autorizaţie eliberată în condiţiile legii, de operaţiuni cu substanţe susceptibile de a avea efecte psihoactive, acţiunile inculpaţilor nepărând a avea un caracter accidental sau izolat. </w:t>
      </w:r>
    </w:p>
    <w:p>
      <w:pPr>
        <w:pStyle w:val="Normal"/>
        <w:suppressAutoHyphens w:val="true"/>
        <w:ind w:firstLine="709"/>
        <w:jc w:val="both"/>
        <w:rPr/>
      </w:pPr>
      <w:r>
        <w:rPr/>
        <w:t xml:space="preserve">Astfel, instanţa a reţinut, la nivel de suspiciune rezonabilă, că aproximativ din luna iunie a anului 2023 în zona străzii ... din orașul ..., județul ... a reapărut un nou nucleu de comercializare de noi substanțe psihoactive de tipul canabinoizilor sintetici, produse ce sunt comercializate sub forma unor ceaiuri impregnate cu substanțe psihoactive, la prețuri cuprinse între 50 lei per doză şi 200 lei per gram. </w:t>
      </w:r>
    </w:p>
    <w:p>
      <w:pPr>
        <w:pStyle w:val="Normal"/>
        <w:tabs>
          <w:tab w:val="clear" w:pos="720"/>
          <w:tab w:val="left" w:leader="none" w:pos="1134"/>
        </w:tabs>
        <w:suppressAutoHyphens w:val="true"/>
        <w:ind w:firstLine="709"/>
        <w:jc w:val="both"/>
        <w:rPr/>
      </w:pPr>
      <w:r>
        <w:rPr/>
        <w:t>În baza probelor administrate s-a arătat ca se poate prezuma că principalul traficant de astfel de substanțe psihoactive din această zonă ar fi fost inculpatul A3 zis A3. Acesta, profitând de faptul că o parte din membrii familiei (A4,A5,A7) au fost arestaţi în trecut pentru comiterea unor fapte similare, dar şi din dorinţa de a nu fi depistat de organele de urmărire penală, ar fi instruit o parte din clienți/consumatori ca în cazul în care vor fi depistați de organele de poliție, să declare faptul că ar fi cumpărat marfa de la rudele sale, respectiv de la membrii familiei (A4,A5,A7). Se pare că substanţele cu efecte psihoactive ar fi fost vândute de la adresa de domiciliu a inculpatului A3 zis A3, iar atunci când acesta nu se afla la domiciliu, de vânzarea lor s-ar fi ocupat membrii familiei sale sau din anturajul său, precum mama sa, inculpata A1 sau tatăl său, inculpatul A3.</w:t>
      </w:r>
    </w:p>
    <w:p>
      <w:pPr>
        <w:pStyle w:val="Normal"/>
        <w:tabs>
          <w:tab w:val="clear" w:pos="720"/>
          <w:tab w:val="left" w:leader="none" w:pos="1134"/>
        </w:tabs>
        <w:suppressAutoHyphens w:val="true"/>
        <w:ind w:firstLine="709"/>
        <w:jc w:val="both"/>
        <w:rPr/>
      </w:pPr>
      <w:r>
        <w:rPr/>
        <w:t>Instanţa a mai reţinut, din probele administrate în cauză, că inculpata A1 ar fi avut o contribuţie mai semnificativă în desfăşurarea activităţii de vânzare a substanțelor cu efect psihoactiv decât  inculpatul A3, în sensul că aceasta ar fi aplicat diferite tehnici de fidelizare a clientelei și de înlăturare a concurenței.</w:t>
      </w:r>
    </w:p>
    <w:p>
      <w:pPr>
        <w:pStyle w:val="Normal"/>
        <w:suppressAutoHyphens w:val="true"/>
        <w:ind w:firstLine="709"/>
        <w:jc w:val="both"/>
        <w:rPr/>
      </w:pPr>
      <w:r>
        <w:rPr/>
        <w:t>Pe baza probelor din cauză, instanţa a reţinut, la nivel de suspiciune rezonabilă, că activitatea de efectuare, fără autorizaţie eliberată în condiţiile legii, de operaţiuni cu substanţe susceptibile de a avea efecte psihoactive este o preocupare constantă atât a inculpatei A1 cât şi a celorlalţi inculpaţilor, concluzie ce este susţinută aparent de declaraţiile martorilor audiaţi în cursul urmăririi penale.</w:t>
      </w:r>
    </w:p>
    <w:p>
      <w:pPr>
        <w:pStyle w:val="Normal"/>
        <w:tabs>
          <w:tab w:val="clear" w:pos="720"/>
          <w:tab w:val="left" w:leader="none" w:pos="1134"/>
        </w:tabs>
        <w:suppressAutoHyphens w:val="true"/>
        <w:ind w:firstLine="709"/>
        <w:jc w:val="both"/>
        <w:rPr/>
      </w:pPr>
      <w:r>
        <w:rPr/>
        <w:t>Astfel, martorul M4 a precizat că a achiziţionat de la inculpata A1, în decursul unui interval de 2 ani, respectiv în perioada 2022-2024, „de sute de ori, însă nu pot oferi un număr exact. O găseam des acasă, când nu era A3 ca să mă servească”. De asemenea, din declaraţia martorei M5, instanţa a reţinut că aceasta ar fi cumpărat etnobotanice începând cu luna mai 2023 doar de la familia A1 A3, indicându-i pe inculpaţii A3 zis A3, A3 și A1, pe care ar fi cunoscut-o drept A1. La rândul lui, în declaraţia dată în cursului urmăririi penale, martorul M6 a precizat că printre vânzătorii de produse cu efecte psihoactive, s-ar fi aflat şi inculpata A1.</w:t>
      </w:r>
    </w:p>
    <w:p>
      <w:pPr>
        <w:pStyle w:val="Normal"/>
        <w:tabs>
          <w:tab w:val="clear" w:pos="720"/>
          <w:tab w:val="left" w:leader="none" w:pos="1134"/>
        </w:tabs>
        <w:suppressAutoHyphens w:val="true"/>
        <w:ind w:firstLine="709"/>
        <w:jc w:val="both"/>
        <w:rPr/>
      </w:pPr>
      <w:r>
        <w:rPr/>
        <w:t>Împrejurarea că inculpata A1 ar fi avut o contribuţie semnificativă în activitatea de comercializare a produselor cu efecte psihoactive, contribuție care nu s-ar fi rezumat doar la vânzarea substanțelor cu efect psihoactiv ci și la adoptarea unor tehnici de înlăturare a concurenței, reiese din analiza procesului-verbal din data de 31.01.2024 de redare înregistrări audio-video ce au surprins o tranzacție dce ar fi fost efectuată la data de 19.01.2024. Astfel, cu această ocazie inculpata ar fi afirmat că produsele comercializate de către fiul său, inculpatul A3 zis A3 sunt mult mai bune decât cele comercializate de „A4”, care ar pune ceai şi ar face dintr-o doză două. Instanţa a apreciat ca fiind relevantă şi afirmaţia inculpatei în contextul unei cumpărări,  din care rezultă că inculpatul A3 zis A3, fiul său, se ocupa cu comercializarea acestor produse cu efect psihoactiv în mod constant, devenind principala lui sursă de venit „A3, era meseria lui asta. A3 vindea prima data. Și le-o luat meseria lui A3 toți”.</w:t>
      </w:r>
    </w:p>
    <w:p>
      <w:pPr>
        <w:pStyle w:val="Normal"/>
        <w:tabs>
          <w:tab w:val="clear" w:pos="720"/>
          <w:tab w:val="left" w:leader="none" w:pos="1134"/>
        </w:tabs>
        <w:suppressAutoHyphens w:val="true"/>
        <w:ind w:firstLine="709"/>
        <w:jc w:val="both"/>
        <w:rPr/>
      </w:pPr>
      <w:r>
        <w:rPr/>
        <w:t xml:space="preserve">Un alt aspect relevant cu privire la contribuţia efectivă a inculpatei A1, a rezultat la nivel de suspiciune rezonabilă din declaraţia inculpatului A2 dată în faza de urmărire penală la data de 27.03.2024 (f.348-349 vol.5.d.u.p.), care ar fi relatat că inculpata A1 zisă A1 ar fi obişnuit să meargă la gară, pentru a vinde direct acolo celor care veneau cu trenul, iar prin folosirea acestei metode inculpata şi-ar fi atras clientela şi s-ar fi asigurat că nu sunt preluaţi de către alte persoane care s-ar fi ocupat cu vânzare de produse similare. </w:t>
      </w:r>
    </w:p>
    <w:p>
      <w:pPr>
        <w:pStyle w:val="Normal"/>
        <w:tabs>
          <w:tab w:val="clear" w:pos="720"/>
          <w:tab w:val="left" w:leader="none" w:pos="1134"/>
        </w:tabs>
        <w:suppressAutoHyphens w:val="true"/>
        <w:ind w:firstLine="709"/>
        <w:jc w:val="both"/>
        <w:rPr/>
      </w:pPr>
      <w:r>
        <w:rPr/>
        <w:t xml:space="preserve">Tot sub aspectul circumstanţelor comiterii presupuselor fapte, instanţa, din analiza sumară a declaraţiilor martorilor audiaţi în cauză, a reţinut că din luna noiembrie a anului 2023, ar fi apărut în acea zonă o nouă persoană care s-ar fi ocupat cu activitatea de vânzare de substanțe cu efect psihoactiv, respectiv inculpatul A2 zis A2, motiv pentru care o mare parte din clienţii inculpatului A3 zis A3 ar fi fost preluaţi de către acesta. La nivel de suspiciune rezonabilă din probele administrate se conturează faptul că substanțele vândute de inculpatul A2 zis A2 erau mai puternice, iar din punct de vedere cantitativ cântăreau mai mult. </w:t>
      </w:r>
    </w:p>
    <w:p>
      <w:pPr>
        <w:pStyle w:val="Normal"/>
        <w:tabs>
          <w:tab w:val="clear" w:pos="720"/>
          <w:tab w:val="left" w:leader="none" w:pos="1134"/>
        </w:tabs>
        <w:suppressAutoHyphens w:val="true"/>
        <w:ind w:firstLine="709"/>
        <w:jc w:val="both"/>
        <w:rPr/>
      </w:pPr>
      <w:r>
        <w:rPr/>
        <w:t xml:space="preserve">A mai reţinut instanţa că din probele administrate ar fi reieşit faptul că atunci când soții A2 plecau pentru o perioadă mai lungă de timp de acasă, inculpatul A2, i-ar fi  lăsat dozele de etnobotanice fiului său minor, M2 pentru ca acesta din urmă să le vândă clienților care veneau la locuința familiei lui A2, oferindu-i în acest sens indicaţii precise privind clienții pe care să îi refuze sau câte doze să le dea în funcție de client și de suma oferită de acesta, precum și locul din care să ia dozele. </w:t>
      </w:r>
    </w:p>
    <w:p>
      <w:pPr>
        <w:pStyle w:val="Normal"/>
        <w:tabs>
          <w:tab w:val="clear" w:pos="720"/>
          <w:tab w:val="left" w:leader="none" w:pos="1134"/>
        </w:tabs>
        <w:suppressAutoHyphens w:val="true"/>
        <w:ind w:firstLine="709"/>
        <w:jc w:val="both"/>
        <w:rPr/>
      </w:pPr>
      <w:r>
        <w:rPr/>
        <w:t>Astfel, s-a arătat ca inculpaţii A3 zis A3 şi A2 ar fi desfăşurat aceeaşi activitate de vânzare de substanțe cu efect psihoactiv, în aceeaşi zonă, clienţii migrând se pare de la unul la altul în funcţie de calitatea şi preţul dozelor oferite. Inculpatul A3 zis A3 ar fi fost la rândul său consumator, motiv pentru care ar fi putut testa mereu ceea ce cumpără pentru a fi oferit ulterior spre vânzare, spre deosebire de inculpatul A2 zis A2 care nu ar fi fost consumator şi ar fi fost nevoit să apeleze la consumatori pentru a stabili calitatea etnobotanicelor.</w:t>
      </w:r>
    </w:p>
    <w:p>
      <w:pPr>
        <w:pStyle w:val="Normal"/>
        <w:tabs>
          <w:tab w:val="clear" w:pos="720"/>
          <w:tab w:val="left" w:leader="none" w:pos="1134"/>
        </w:tabs>
        <w:suppressAutoHyphens w:val="true"/>
        <w:ind w:firstLine="709"/>
        <w:jc w:val="both"/>
        <w:rPr/>
      </w:pPr>
      <w:r>
        <w:rPr/>
        <w:t>Faptul că inculpatul A2 zis A2 s-ar fi ocupat cu vânzarea de substanțe susceptibile a avea efecte psihoactive rezultă, la nivel de suspiciune rezonabilă, din declaraţiile martorilor M7  , M5, M8, M9, M4,   F1, M10, F2   și M11 audiaţi în faza de urmărire penală. Martora M5 ar fi declarat că de la sfârșitul lunii octombrie 2023 și până pe data de 08 noiembrie 2023, ar fi cumpărat etnobotanice de la o persoană pe nume A2 (ulterior aceasta l-ar fi identificat pe inculpatul A2 ca fiind A2), precizând că produsele comercializate de inculpat ar fi fost mult mai puternice („marfă de 10 ori mai puternică”), relatând un episod în care martorul M4 (care de asemenea ar fi fost un cumpărător al inculpatului) i-ar fi povestit că ar fi căzut din picioare după ce ar fi consumat etnobotanicele vândute de inculpatul A2.</w:t>
      </w:r>
    </w:p>
    <w:p>
      <w:pPr>
        <w:pStyle w:val="Normal"/>
        <w:tabs>
          <w:tab w:val="clear" w:pos="720"/>
          <w:tab w:val="left" w:leader="none" w:pos="1134"/>
        </w:tabs>
        <w:suppressAutoHyphens w:val="true"/>
        <w:ind w:firstLine="709"/>
        <w:jc w:val="both"/>
        <w:rPr/>
      </w:pPr>
      <w:r>
        <w:rPr/>
        <w:t xml:space="preserve">Sub aspectul modului de operare, s-a precizat ca se pare că inculpatul A2, pentru a-şi păstra clientela, obişnuia să vândă şi pe datorie. În acest sens relevantă este declaraţia martorei M7 care a relatat că ar fi cumpărat astfel de produse de la inculpat şi „pe datorie”, indicând de asemenea că martorul M4 ar fi avut la inculpatul A2 datorie de 2500 de lei pentru produsele cu efect psihoactiv achiziţionate. </w:t>
      </w:r>
    </w:p>
    <w:p>
      <w:pPr>
        <w:pStyle w:val="Normal"/>
        <w:tabs>
          <w:tab w:val="clear" w:pos="720"/>
          <w:tab w:val="left" w:leader="none" w:pos="1134"/>
        </w:tabs>
        <w:suppressAutoHyphens w:val="true"/>
        <w:ind w:firstLine="709"/>
        <w:jc w:val="both"/>
        <w:rPr/>
      </w:pPr>
      <w:r>
        <w:rPr/>
        <w:t>Cu referire la conduita procesuală a inculpatului A2, instanţa a reţinut că inculpatul iniţial ar fi relatat că în realitate produsele vândute la sfârșitul anului 2023 erau doar niște ceaiuri, date printr-o râșniță din metal, peste care ar fi adăugat alcool sanitar, încercând astfel să îi inducă în eroare pe consumatorii de etnobotanice. Ulterior, inculpatul ar fi revenit asupra celor declarate, recunoscând activitatea infracțională reținută în sarcina sa şi prezicând că ar fi fost iniţial în această activitate de către inculpatul A8 zis A8.</w:t>
      </w:r>
    </w:p>
    <w:p>
      <w:pPr>
        <w:pStyle w:val="Normal"/>
        <w:tabs>
          <w:tab w:val="clear" w:pos="720"/>
          <w:tab w:val="left" w:leader="none" w:pos="142"/>
        </w:tabs>
        <w:suppressAutoHyphens w:val="true"/>
        <w:ind w:firstLine="709"/>
        <w:jc w:val="both"/>
        <w:rPr/>
      </w:pPr>
      <w:r>
        <w:rPr/>
        <w:t xml:space="preserve">S-a arătat că în legătură cu sursa de aprovizionare și cantitățile de produse susceptibile de a avea efecte psihoactive procurate de către inculpaţii A3 zis A3, A2 şi A8 zis A8, s-ar fi stabilit faptul că aceştia se aproviziona, cel puţin în ultima perioadă de timp, din oraşul ..., unde uneori mergeau chiar împreună, de la o persoană pe nume A2. Astfel, martora M5 a relatat că familia A1 A3 ar fi vândut pe zi aproximativ 40 de doze, motiv pentru care inculpatul A3 zis A3 ar fi mers la 4-5 zile la ... pentru a se reaproviziona. </w:t>
      </w:r>
    </w:p>
    <w:p>
      <w:pPr>
        <w:pStyle w:val="Normal"/>
        <w:suppressAutoHyphens w:val="true"/>
        <w:spacing w:before="0" w:after="160"/>
        <w:ind w:right="34" w:firstLine="709"/>
        <w:contextualSpacing/>
        <w:jc w:val="both"/>
        <w:rPr/>
      </w:pPr>
      <w:r>
        <w:rPr/>
        <w:t xml:space="preserve">Faţă de cele anterior precizate, instanţa a reţinut, în primul rând, că faptele pentru care au fost trimişi în judecată inculpaţii A1 şi A2 sunt de o gravitate ridicată, având în vedere modalităţile şi împrejurările concrete în care au fost săvârșite, rolul, implicarea în timp și contribuția fiecăruia dintre inculpați dar şi  mijlocele folosite (inculpatul A2 folosindu-şi fiul minor). </w:t>
      </w:r>
    </w:p>
    <w:p>
      <w:pPr>
        <w:pStyle w:val="Normal"/>
        <w:suppressAutoHyphens w:val="true"/>
        <w:spacing w:before="0" w:after="160"/>
        <w:ind w:right="34" w:firstLine="709"/>
        <w:contextualSpacing/>
        <w:jc w:val="both"/>
        <w:rPr/>
      </w:pPr>
      <w:r>
        <w:rPr/>
        <w:t xml:space="preserve">De asemenea, instanţa a notat starea de pericol creată pentru valorile sociale ocrotită, caracterul continuu şi planificat al activităților presupus infracționale, împrejurarea că aceşti inculpați păreau a fi conștienți de efectele nocive ale substanțelor vândute, motivul şi scopul urmărit prin săvârşirea infracţiunii, respect cel al realizării de venituri ilicite, cantitățile pe care inculpații le-ar fi vândut, dar și cele pe care aceștia ar fi putut să le vândă anterior, perioada de timp în care inculpații au acţionat, dar și faptul că aceștia ar fi fost conştienţi de caracterul infracţional al faptelor lor. </w:t>
      </w:r>
    </w:p>
    <w:p>
      <w:pPr>
        <w:pStyle w:val="Normal"/>
        <w:suppressAutoHyphens w:val="true"/>
        <w:ind w:firstLine="709"/>
        <w:jc w:val="both"/>
        <w:rPr/>
      </w:pPr>
      <w:r>
        <w:rPr/>
        <w:t xml:space="preserve">Sub aspectul circumstanţelor personale, instanţa a reţinut că inculpatul A2 a fost condamnat în trecut la pedepse cu închisoarea pentru comiterea unor infracţiuni de tâlhărie şi vătămare corporală. Deşi cel mai probabil a intervenit reabilitarea cu privire la condamnările inculpatului A2, instanţa a avut în vedere faptul că inculpatul prezintă  o  aparentă predispoziţie infracţională iar sancţiunea aplicată ar fi fost ineficace şi nu l-ar descurajat, să se implice în noi fapte penale. </w:t>
      </w:r>
    </w:p>
    <w:p>
      <w:pPr>
        <w:pStyle w:val="Normal"/>
        <w:suppressAutoHyphens w:val="true"/>
        <w:ind w:firstLine="709"/>
        <w:jc w:val="both"/>
        <w:rPr/>
      </w:pPr>
      <w:r>
        <w:rPr/>
        <w:t>Cu privire la inculpata A1 s-a reținut ca nu are antecedente penale însă această împrejurare nu este de natură să diminueze pericolul social al inculpatei pentru ordinea publică în raport de elementele arătate anterior referitoare la conţinutul acuzaţiei penale.</w:t>
      </w:r>
    </w:p>
    <w:p>
      <w:pPr>
        <w:pStyle w:val="Normal"/>
        <w:suppressAutoHyphens w:val="true"/>
        <w:ind w:right="-50" w:firstLine="709"/>
        <w:jc w:val="both"/>
        <w:rPr/>
      </w:pPr>
      <w:r>
        <w:rPr/>
        <w:t>În acest context, instanţa a apreciat în sensul că, în cauza de faţă, realizarea scopului prevăzut de art. 202 alin. (1) Cod procedură penală, respectiv înlăturarea stării de pericol pentru ordinea publică, realizarea unei bune asigurări a desfăşurării procesului penal şi prevenirea săvârşirii de noi infracţiuni nu pot fi realizate în contextul impunerii altei măsuri preventive inculpaţilor A1 şi A2.</w:t>
      </w:r>
    </w:p>
    <w:p>
      <w:pPr>
        <w:pStyle w:val="Normal"/>
        <w:shd w:val="clear" w:fill="FFFFFF"/>
        <w:suppressAutoHyphens w:val="true"/>
        <w:spacing w:before="0" w:after="0"/>
        <w:ind w:right="33" w:firstLine="709"/>
        <w:contextualSpacing/>
        <w:jc w:val="both"/>
        <w:rPr/>
      </w:pPr>
      <w:r>
        <w:rPr/>
        <w:t>De asemenea, cu toate că în cauză sunt îndeplinite condiţiile prevăzute de art. 218 din Codul de procedură penală raportat la art. 223 alin. (2) din Codul de procedură penală, întrucât lăsarea în libertate a inculpaţilor ar prezenta un pericol pentru ordinea publică (ce derivă din gravitatea faptelor pe care le-ar fi comis, din modul şi circumstanţele de comitere a acestora, din presupusele implicări alte inculpaţilor şi în alte activităţi de acelaşi fel cu cele pentru care au fost trimişi în judecată), s-a reţinut ca cel puţin la acest moment, nu s-au schimbat temeiurile care au determinat luarea măsurii arestării preventive (condiţia privind existenţa pericolului concret pentru ordinea publică menţinându-se în aceleaşi limite având în vedere că nu s-au modificat până în prezent circumstanţele faptice şi cele personale cunoscute la momentul arestării preventive) iar măsura arestului la domiciliu nu este suficientă pentru realizarea scopului prevăzut de art. 202 alin. (1) din Codul de procedură penală (pentru prevenirea situaţiilor în care inculpaţii s-ar sustrage de la judecată ori ar comite noi infracţiuni).</w:t>
      </w:r>
    </w:p>
    <w:p>
      <w:pPr>
        <w:pStyle w:val="Normal"/>
        <w:shd w:val="clear" w:fill="FFFFFF"/>
        <w:suppressAutoHyphens w:val="true"/>
        <w:spacing w:before="0" w:after="0"/>
        <w:ind w:right="33" w:firstLine="709"/>
        <w:contextualSpacing/>
        <w:jc w:val="both"/>
        <w:rPr/>
      </w:pPr>
      <w:r>
        <w:rPr/>
        <w:t>Deopotrivă, s-a arătat ca măsura arestării preventive ar putea fi înlocuită cu măsura arestului la domiciliu, în cazul în care instanţa de judecată constată că a fost depăşit termenul rezonabil al arestării preventive, această încălcare a dispoziţiilor art. 6 paragraf 1 din Convenţia Europeană a Drepturilor Omului echivalând cu schimbarea temeiurilor avute în vedere la momentul luării măsurii arestării preventive, situaţie care, prin raportare la gravitatea acuzaţiilor aduse coroborate cu perioada petrecută în arest preventiv,  nu este incidentă în cauză de faţă.</w:t>
      </w:r>
    </w:p>
    <w:p>
      <w:pPr>
        <w:pStyle w:val="Normal"/>
        <w:tabs>
          <w:tab w:val="left" w:leader="none" w:pos="720"/>
        </w:tabs>
        <w:suppressAutoHyphens w:val="true"/>
        <w:ind w:firstLine="709"/>
        <w:jc w:val="both"/>
        <w:rPr/>
      </w:pPr>
      <w:r>
        <w:rPr/>
        <w:t xml:space="preserve">Totodată, instanţa a reţinut că prezumția de nevinovăție, pe deplin aplicabilă inculpaţilor nu poate fi considerată un impediment pentru incidenţa măsurii preventive a arestului preventiv, în condiţiile în care, de principiu, trebuie acceptat că nu vinovăţia acestora stă la baza măsurii arestului preventiv, ci bănuiala rezonabilă privind comiterea unor infracţiuni grave, cu un consecinţe importante asupra sănătății consumatorilor de substanţe susceptibile a avea efecte psihoactive cu un puternic impact emoţional asupra comunităţii, aspect care conturează, fără putinţă de tăgadă, existenţa unor indicii semnificative cu privire la modalitatea de raportare a acestora la ansamblul valorilor sociale pretins lezate. </w:t>
      </w:r>
    </w:p>
    <w:p>
      <w:pPr>
        <w:pStyle w:val="Normal"/>
        <w:tabs>
          <w:tab w:val="left" w:leader="none" w:pos="720"/>
        </w:tabs>
        <w:suppressAutoHyphens w:val="true"/>
        <w:ind w:firstLine="709"/>
        <w:jc w:val="both"/>
        <w:rPr/>
      </w:pPr>
      <w:r>
        <w:rPr/>
        <w:t xml:space="preserve">  </w:t>
      </w:r>
      <w:r>
        <w:rPr/>
        <w:t xml:space="preserve">Probele administrate în cauză conturează suspiciunea rezonabilă că inculpaţii ar fi fost pe deplin conştienţi de caracterul potențial infracţional al activităților întreprinse și imputate (împrejurare ce rezultă din numărul actelor materiale și din cantităţile de substanțe ce se pare că ar fi fost comercializate, coroborate cu caracterul repetat al faptelor de care sunt acuzaţi), dar cu toate acestea ar fi continuat desfăşurarea activităților infracționale pretins comise până ce au fost opriţi de organele de urmărire penală. </w:t>
      </w:r>
    </w:p>
    <w:p>
      <w:pPr>
        <w:pStyle w:val="Normal"/>
        <w:tabs>
          <w:tab w:val="left" w:leader="none" w:pos="720"/>
        </w:tabs>
        <w:suppressAutoHyphens w:val="true"/>
        <w:ind w:firstLine="709"/>
        <w:jc w:val="both"/>
        <w:rPr/>
      </w:pPr>
      <w:r>
        <w:rPr/>
        <w:t>În aceste condiții, judecătorul a apreciat ca înlocuirea măsurii arestării preventive cu măsura arestului la domiciliu, justificată numai de împrejurarea că inculpaţii au optat pentru procedura simplificată, pare a fi o măsură prematură şi inoportună prin raportare la gravitatea faptelor imputate şi modalitatea de comitere.</w:t>
      </w:r>
    </w:p>
    <w:p>
      <w:pPr>
        <w:pStyle w:val="Normal"/>
        <w:suppressAutoHyphens w:val="true"/>
        <w:ind w:right="-50" w:firstLine="709"/>
        <w:jc w:val="both"/>
        <w:rPr/>
      </w:pPr>
      <w:r>
        <w:rPr/>
        <w:t xml:space="preserve">Raportat la observaţiile anterioare referitoare la inculpaţi, instanţa a considerat că o măsură mai puţin restrictivă de libertate este insuficientă pentru protejarea ordinii publice în cazul inculpaţilor având în vedere atât gravitatea acuzaţiei penale, cât şi modalitatea şi circumstanţele concrete în care se presupune că au fost comise faptele, circumstanţele personale ale inculpaţilor, care s-ar fi implicat în mod repetat în activităţi de efectuare, fără autorizaţie eliberată în condiţiile legii, de operaţiuni cu substanţe susceptibile de a avea efecte psihoactive pentru a obţine venituri ilicite, lăsarea acestora în libertate reprezentând un pericol real şi actual pentru ordinea publică. </w:t>
      </w:r>
    </w:p>
    <w:p>
      <w:pPr>
        <w:pStyle w:val="Normal"/>
        <w:tabs>
          <w:tab w:val="clear" w:pos="720"/>
          <w:tab w:val="left" w:leader="none" w:pos="709"/>
        </w:tabs>
        <w:suppressAutoHyphens w:val="true"/>
        <w:ind w:firstLine="709"/>
        <w:jc w:val="both"/>
        <w:rPr/>
      </w:pPr>
      <w:r>
        <w:rPr/>
        <w:t>În acelaşi sens, instanţa a reţinut că în cauză, raportat la stadiul procesual, complexitatea cauzei şi la comportamentul autorităţilor, nu a fost depăşită nici durata rezonabilă a măsurii arestării preventive. Inculpaţii sunt arestaţi preventiv de mai puţin de nouă luni, durată în care s-a finalizat urmărirea penală, s-a dispus trimiterea în judecată a  tuturor inculpaţilor, a fost finalizată faza de cameră preliminară dar şi  etapa judecăţii în primă instanţă.</w:t>
      </w:r>
    </w:p>
    <w:p>
      <w:pPr>
        <w:pStyle w:val="Normal"/>
        <w:suppressAutoHyphens w:val="true"/>
        <w:ind w:firstLine="709"/>
        <w:jc w:val="both"/>
        <w:rPr/>
      </w:pPr>
      <w:r>
        <w:rPr/>
        <w:t>Concluzionând, faţă de caracterul rezonabil  al duratei măsurii, de caracterul necesar al măsurii arestului preventiv pentru protejarea ordinii publice împotriva pericolului de repetare a faptelor de natura celor pentru care au fost trimişi în judecată inculpaţii  şi pentru asigurarea bunei desfăşurări a procesului penal, precum şi faţă de raportul de proporţionalitate al măsurii faţă de gravitatea acuzaţiilor penale formulate împotriva inculpaţilor şi de scopul urmărit, instanţa a constatat caracterul insuficient al oricărei alte măsuri preventive mai blânde.</w:t>
      </w:r>
      <w:bookmarkEnd w:id="9"/>
    </w:p>
    <w:p>
      <w:pPr>
        <w:pStyle w:val="Normal"/>
        <w:suppressAutoHyphens w:val="true"/>
        <w:jc w:val="both"/>
        <w:rPr/>
      </w:pPr>
      <w:r>
        <w:rPr/>
      </w:r>
    </w:p>
    <w:p>
      <w:pPr>
        <w:pStyle w:val="Normal"/>
        <w:ind w:firstLine="851"/>
        <w:jc w:val="both"/>
        <w:rPr>
          <w:b/>
          <w:i/>
          <w:i/>
        </w:rPr>
      </w:pPr>
      <w:r>
        <w:rPr>
          <w:b/>
          <w:i/>
        </w:rPr>
        <w:t>Împotriva acestei încheieri au formulat contestaţie inculpaţii A1 şi</w:t>
      </w:r>
      <w:r>
        <w:rPr>
          <w:i/>
        </w:rPr>
        <w:t xml:space="preserve"> </w:t>
      </w:r>
      <w:r>
        <w:rPr>
          <w:b/>
          <w:i/>
        </w:rPr>
        <w:t>A2, cu respectarea termenului prevăzut de lege, criticând-o pentru motivele susţinute oral de apărătorii aleşi şi consemnate în partea introductivă prezentei decizii.</w:t>
      </w:r>
    </w:p>
    <w:p>
      <w:pPr>
        <w:pStyle w:val="Normal"/>
        <w:ind w:firstLine="851"/>
        <w:jc w:val="both"/>
        <w:rPr>
          <w:b/>
          <w:i/>
          <w:i/>
        </w:rPr>
      </w:pPr>
      <w:r>
        <w:rPr>
          <w:b/>
          <w:i/>
        </w:rPr>
      </w:r>
    </w:p>
    <w:p>
      <w:pPr>
        <w:pStyle w:val="Normal"/>
        <w:ind w:firstLine="708"/>
        <w:jc w:val="both"/>
        <w:rPr>
          <w:b/>
          <w:i/>
          <w:i/>
        </w:rPr>
      </w:pPr>
      <w:r>
        <w:rPr>
          <w:b/>
          <w:i/>
        </w:rPr>
        <w:t>Examinând actele și lucrările dosarului, atât prin prisma motivelor de contestaţie invocate de inculpaţi, cât și din oficiu, Curtea constată ca fiind nefondate contestaţiile formulate pentru considerentele ce vor fi redate în continuare.</w:t>
      </w:r>
    </w:p>
    <w:p>
      <w:pPr>
        <w:pStyle w:val="Normal"/>
        <w:ind w:firstLine="705"/>
        <w:jc w:val="both"/>
        <w:rPr/>
      </w:pPr>
      <w:r>
        <w:rPr/>
        <w:t>Ca o observație preliminară, Curtea</w:t>
      </w:r>
      <w:r>
        <w:rPr>
          <w:b/>
          <w:i/>
        </w:rPr>
        <w:t xml:space="preserve"> </w:t>
      </w:r>
      <w:r>
        <w:rPr/>
        <w:t xml:space="preserve">reține că nu pot fi decelate </w:t>
      </w:r>
      <w:r>
        <w:rPr>
          <w:i/>
        </w:rPr>
        <w:t>aspecte de nelegalitate</w:t>
      </w:r>
      <w:r>
        <w:rPr/>
        <w:t xml:space="preserve"> care să conducă la desfiinţarea încheierii pronunţate de judecătorul de la Tribunalul ..... </w:t>
      </w:r>
    </w:p>
    <w:p>
      <w:pPr>
        <w:pStyle w:val="Normal"/>
        <w:ind w:firstLine="708"/>
        <w:jc w:val="both"/>
        <w:rPr>
          <w:i/>
          <w:i/>
        </w:rPr>
      </w:pPr>
      <w:r>
        <w:rPr/>
        <w:t xml:space="preserve">Examinând încheierea atacată </w:t>
      </w:r>
      <w:r>
        <w:rPr>
          <w:i/>
        </w:rPr>
        <w:t>prin prisma temeiniciei</w:t>
      </w:r>
      <w:r>
        <w:rPr/>
        <w:t>, Curtea constată că judecătorul de la prima instanţă a apreciat, în mod corect, existența în continuare a temeiurilor care au stat la baza luării măsurii arestării preventive față de inculpaţii contestatori A1 şi A2.</w:t>
      </w:r>
    </w:p>
    <w:p>
      <w:pPr>
        <w:pStyle w:val="Normal"/>
        <w:ind w:firstLine="567"/>
        <w:jc w:val="both"/>
        <w:rPr>
          <w:b/>
        </w:rPr>
      </w:pPr>
      <w:r>
        <w:rPr/>
        <w:t>În propriul examen de control judiciar pe care îl face, Curtea</w:t>
      </w:r>
      <w:r>
        <w:rPr>
          <w:b/>
          <w:i/>
        </w:rPr>
        <w:t xml:space="preserve"> </w:t>
      </w:r>
      <w:r>
        <w:rPr/>
        <w:t>pornește de la norma juridică care reglementează înlocuirea unei măsuri preventive cu o altă măsură preventivă mai ușoară, respectiv art. 242 alin. (2) din Codul de procedură penală potrivit căreia „măsura preventivă se înlocuieşte, din oficiu sau la cerere, cu o măsură preventivă mai uşoară, dacă sunt îndeplinite condiţiile prevăzute de lege pentru luarea acesteia, şi, în urma evaluării împrejurărilor concrete ale cauzei şi a conduitei procesuale a inculpatului, se apreciază că măsura preventivă mai uşoară este suficientă pentru realizarea scopului prevăzut de art. 202 alin. (1) Cod procedură penală”.</w:t>
      </w:r>
    </w:p>
    <w:p>
      <w:pPr>
        <w:pStyle w:val="Normal"/>
        <w:ind w:firstLine="567"/>
        <w:jc w:val="both"/>
        <w:rPr/>
      </w:pPr>
      <w:r>
        <w:rPr/>
        <w:t>În cauza de față, prin încheierea judecătorului de drepturi şi libertăţi nr. IP2 din ...</w:t>
      </w:r>
      <w:r>
        <w:rPr>
          <w:b/>
        </w:rPr>
        <w:t xml:space="preserve">, </w:t>
      </w:r>
      <w:r>
        <w:rPr/>
        <w:t xml:space="preserve">pronunţată în dosarul D3 al Tribunalului...., s-a dispus </w:t>
      </w:r>
      <w:r>
        <w:rPr>
          <w:i/>
        </w:rPr>
        <w:t>arestarea preventivă, printre alţii, a inculpaților A1 şi A2</w:t>
      </w:r>
      <w:r>
        <w:rPr/>
        <w:t>, reținându-se că există indicii temeinice care justifică suspiciunea că inculpaţii ar fi comis infracțiunile de: efectuarea, fără autorizaţie eliberată în condiţiile legii, de operaţiuni cu substanţe susceptibile de a avea efecte psihoactive, în formă continuată, faptă prevăzută de art. 16 alin. (1) din Legea 194/2011 republicată, cu aplicarea art. 35 alin. (1) din Codul penal (</w:t>
      </w:r>
      <w:r>
        <w:rPr>
          <w:i/>
        </w:rPr>
        <w:t>inculpata A1</w:t>
      </w:r>
      <w:r>
        <w:rPr/>
        <w:t>); efectuarea, fără autorizaţie eliberată în condiţiile legii, de operaţiuni cu substanţe susceptibile de a avea efecte psihoactive, în formă continuată, faptă prevăzută de art. 16 alin. (1) din Legea 194/2011 republicată, cu aplicarea art. 35 alin. (1) din Codul penal, cu aplicarea art. 77 lit. d din Codul penal (</w:t>
      </w:r>
      <w:r>
        <w:rPr>
          <w:i/>
        </w:rPr>
        <w:t>inculpatul A2</w:t>
      </w:r>
      <w:r>
        <w:rPr/>
        <w:t xml:space="preserve">). </w:t>
      </w:r>
    </w:p>
    <w:p>
      <w:pPr>
        <w:pStyle w:val="Normal"/>
        <w:ind w:firstLine="708"/>
        <w:jc w:val="both"/>
        <w:rPr/>
      </w:pPr>
      <w:r>
        <w:rPr/>
        <w:t>Pe baza evaluării gravității faptelor, a modului și circumstanțelor de comitere a acestora și a altor împrejurări privitoare la persoana inculpaţilor contestatori, s-a apreciat că privarea acestora de libertate este necesară pentru înlăturarea unei stări de pericol pentru ordinea publică. În plus, s-a apreciat că arestarea preventivă este proporțională cu gravitatea acuzațiilor și este necesară pentru desfășurarea în bune condiții a procesului penal.</w:t>
      </w:r>
    </w:p>
    <w:p>
      <w:pPr>
        <w:pStyle w:val="Normal"/>
        <w:ind w:firstLine="708"/>
        <w:jc w:val="both"/>
        <w:rPr/>
      </w:pPr>
      <w:r>
        <w:rPr/>
        <w:t xml:space="preserve">Măsura arestului preventiv astfel luată faţă de cei doi inculpaţi a fost ulterior prelungită, cel mai recent prin încheierea din ... a Tribunalului...., pronunțată în dosarul nr. D7/a7, menţinută şi rămasă definitivă prin decizia penală nr. DP1 din data de ..., pronunţată de Curtea de Apel ..... </w:t>
      </w:r>
    </w:p>
    <w:p>
      <w:pPr>
        <w:pStyle w:val="Normal"/>
        <w:ind w:firstLine="708"/>
        <w:jc w:val="both"/>
        <w:rPr/>
      </w:pPr>
      <w:r>
        <w:rPr/>
        <w:t>La scurt timp, respectiv la data de 24 octombrie 2024, și la data de 29 octombrie 2024, inculpaţii contestatori au formulat cererile de înlocuire a măsurii arestului preventiv cu măsura arestului la domiciliu sau cu măsura controlului judiciar, cereri ce formează obiectul prezentului dosar.</w:t>
      </w:r>
    </w:p>
    <w:p>
      <w:pPr>
        <w:pStyle w:val="Normal"/>
        <w:ind w:firstLine="708"/>
        <w:jc w:val="both"/>
        <w:rPr/>
      </w:pPr>
      <w:r>
        <w:rPr/>
        <w:t xml:space="preserve">Efectuând propria analiză  și evaluare asupra actelor și lucrărilor dosarului, judecătorii din controlul judiciar constată că temeiurile arestării inițiale a inculpaţilor continuă să existe și la acest moment procesual, în cauza neintervenind elemente care să determine modificarea sau încetarea acestor temeiuri. </w:t>
      </w:r>
    </w:p>
    <w:p>
      <w:pPr>
        <w:pStyle w:val="Normal"/>
        <w:ind w:firstLine="708"/>
        <w:jc w:val="both"/>
        <w:rPr/>
      </w:pPr>
      <w:r>
        <w:rPr/>
        <w:t xml:space="preserve">În acest sens, se reţine că probele administrate după data arestării preventive a inculpaţilor contestatori nu au infirmat suspiciunea rezonabilă privind săvârşirea infracţiunilor presupuse care au format obiectul punerii sub acuzare inițiale. </w:t>
      </w:r>
    </w:p>
    <w:p>
      <w:pPr>
        <w:pStyle w:val="Normal"/>
        <w:ind w:firstLine="708"/>
        <w:jc w:val="both"/>
        <w:rPr/>
      </w:pPr>
      <w:r>
        <w:rPr/>
        <w:t xml:space="preserve">Totodată, raportat la natura infracţiunilor pentru care s-a solicitat ordonarea arestării şi prelungirea acesteia (efectuarea, fără autorizaţie eliberată în condiţiile legii, de operaţiuni cu substanţe susceptibile de a avea efecte psihoactive), Curtea evidenţiază că necesitatea unei reacţii ferme din partea autorităţilor judiciare în astfel de situaţii este evidentă, fără a se face o discuţie detaliată asupra relaţiilor sociale încălcate.  </w:t>
      </w:r>
    </w:p>
    <w:p>
      <w:pPr>
        <w:pStyle w:val="Normal"/>
        <w:suppressAutoHyphens w:val="true"/>
        <w:ind w:firstLine="708"/>
        <w:jc w:val="both"/>
        <w:rPr/>
      </w:pPr>
      <w:r>
        <w:rPr/>
        <w:t xml:space="preserve">Cât privește durata arestului preventiv, se reține că acesta este de aproximativ 9 luni, durată care se plasează în limitele unei durate rezonabile, având în vedere toate criteriile de luat în considerare relative la complexitatea cauzei și amploarea activităţii investigate, atitudinea autorităţilor şi a inculpaţilor. </w:t>
      </w:r>
    </w:p>
    <w:p>
      <w:pPr>
        <w:pStyle w:val="Normal"/>
        <w:suppressAutoHyphens w:val="true"/>
        <w:ind w:firstLine="708"/>
        <w:jc w:val="both"/>
        <w:rPr/>
      </w:pPr>
      <w:r>
        <w:rPr/>
        <w:t>Simpla scurgere a timpului, în condițiile în care durata arestului preventiv se încadrează în limitele permise de lege și are un caracter rezonabil, iar în lipsa altor elemente nu este suficientă pentru a susține opinia că temeiurile arestării inițiale s-au modificat în așa fel încât să justifice înlocuirea măsurii preventive sub puterea căreia se află inculpaţii contestatori cu o măsură mai blândă. De asemenea, Curtea apreciază că această perioadă pe parcursul căreia inculpaţii se află sub cea mai dură măsură preventivă ar trebui să aibă şi rolul de a-i responsabiliza pe viitor, de a-i face să conștientizeze repercusiunile ce există în cazul unor eventuale infracţiuni comise şi să-i ajute să-şi corijeze comportamentul, fiind astfel de părere că acest timp nu ar trebui să fie considerat pierdut.</w:t>
      </w:r>
    </w:p>
    <w:p>
      <w:pPr>
        <w:pStyle w:val="Normal"/>
        <w:ind w:right="72" w:firstLine="720"/>
        <w:jc w:val="both"/>
        <w:rPr/>
      </w:pPr>
      <w:r>
        <w:rPr/>
        <w:t xml:space="preserve">Judecătorii din controlul judiciar reţin că nu există probe noi ori argumente furnizate de apărare care să schimbe considerentele avute în vedere la luarea, prelungirea și menținerea ulterioară a măsurii arestării preventive faţă de inculpaţii contestatori A1 şi A2, care să fundamenteze aprecierea că, la acest moment al procedurii judiciare, o altă măsură preventivă mai blândă, respectiv arestul la domiciliu sau controlul judiciar, ar fi suficientă pentru a asigura în continuare buna desfășurare a procesului penal. </w:t>
      </w:r>
    </w:p>
    <w:p>
      <w:pPr>
        <w:pStyle w:val="Normal"/>
        <w:ind w:right="72" w:firstLine="720"/>
        <w:jc w:val="both"/>
        <w:rPr/>
      </w:pPr>
      <w:r>
        <w:rPr/>
        <w:t>Nu poate fi ignorată nici modalitatea în care se pare că inculpaţii ar fi desfăşurat acţiunile ilicite şi uşurinţa cu care pare că aceştia s-ar fi orientat spre obţinerea unor venituri prin  activităţi de comercializare a substanţelor susceptibile de a avea efecte psihoactive, în opinia judecătorilor din controlul judiciar acestea constituind impedimente în formularea concluziei că inculpaţii contestatori au conştientizat în mod real pericolul social al faptelor presupus comise, într-o manieră care să îi împiedice să reitereze un comportament ilicit similar. În acest sens, trebuie amintit că inculpaţii ar fi desfăşurat o activitate infracţională repetată, privind operaţiuni ce implică substanţe susceptibile de a avea efecte psihoactive, adoptând tehnici de înlăturare a concurenței, iar inculpatul A2 folosindu-se aparent şi de fiul său minor M2 pentru ca acesta din urmă să vândă substanţele clienților care veneau la locuința familiei A2. În plus, activitatea ilicită presupus derulată de inculpaţi a fost stopată doar de intervenţia organelor de cercetare penală.</w:t>
      </w:r>
    </w:p>
    <w:p>
      <w:pPr>
        <w:pStyle w:val="Normal"/>
        <w:ind w:right="72" w:firstLine="708"/>
        <w:jc w:val="both"/>
        <w:rPr/>
      </w:pPr>
      <w:r>
        <w:rPr/>
        <w:t>În acest context, Curtea  apreciază că aceştia nu prezintă, la acest moment, suficiente garanţii care să justifice o dispoziţie de înlocuire cu o măsură preventivă mai puţin severă, chiar dacă în faza cercetării judecătoreşti inculpaţii au recunoscut faptele penale pretins comise.</w:t>
      </w:r>
    </w:p>
    <w:p>
      <w:pPr>
        <w:pStyle w:val="Normal"/>
        <w:ind w:firstLine="708"/>
        <w:jc w:val="both"/>
        <w:rPr/>
      </w:pPr>
      <w:r>
        <w:rPr/>
        <w:t xml:space="preserve">Cât privesc susținerile inculpaţilor contestatori referitoare la atitudinea procesuală sinceră și cooperantă adoptată pe parcursul anchetei penale, instanța de control judiciar arată că o atare atitudine reprezintă o poziție procesuală corectă și, în condițiile în care o perioada de timp relativ mare se pare că au avut preocupări pe linia substanţelor interzise, preocupări ce au fost înfrânte doar ca urmare a intervenției organele judiciare, nu constituie un element care să aibă forța de a convinge că lăsaţi în arest la domiciliu, inculpaţii contestatori nu şi-ar relua comportamentul infracțional ori nu ar încerca să influențeze bunul mers al anchetei penale aflată în plină desfășurare. </w:t>
      </w:r>
    </w:p>
    <w:p>
      <w:pPr>
        <w:pStyle w:val="Normal"/>
        <w:ind w:firstLine="708"/>
        <w:jc w:val="both"/>
        <w:rPr/>
      </w:pPr>
      <w:r>
        <w:rPr/>
        <w:t>Riscul de reiterare a conduitei infracționale este cu atât mai crescut cu cât se pare că în interesul obținerii unor venituri financiare, inculpaţii contestatori ar fi acceptat cu ușurință să încalce valori sociale importante, protejate de normele penale și, prin presupusele acțiuni ilicite, să creeze o stare de pericol pentru sănătatea publică, aceasta în contextul în care întreținerea consumului de substanţe având efect psihoactiv este de natură să afecteze sănătatea populației și, de aceea, se impune ca autoritățile statului să  aibă o reacție constant ferma și</w:t>
      </w:r>
      <w:r>
        <w:rPr>
          <w:i/>
        </w:rPr>
        <w:t xml:space="preserve"> </w:t>
      </w:r>
      <w:r>
        <w:rPr/>
        <w:t xml:space="preserve">să dispună, prin pârghiile conferite de lege, toate acele măsuri menite să asigure securitatea sănătății publice, prin eliminarea riscului creșterii numărului consumatorilor sau doar a întreținerii  consumului de substanțe nocive.  </w:t>
      </w:r>
    </w:p>
    <w:p>
      <w:pPr>
        <w:pStyle w:val="Normal"/>
        <w:ind w:firstLine="708"/>
        <w:jc w:val="both"/>
        <w:rPr/>
      </w:pPr>
      <w:r>
        <w:rPr/>
        <w:t>În acest sens, se impune a arăta că în condițiile în care cu doar cîteva zile înainte, un judecător a stabilit cu titlu definitiv și cu argumente solide că se impune continuarea detenției preventive a inculpaţilor contestatori, în lipsa intervenirii unor elemente – faptice și/sau juridice – semnificative din perspectiva măsurii preventive, nu se poate reține că o măsură preventivă mai blândă cum este cea a arestului la domiciliu sau a controlului judiciar este suficientă pentru a asigura buna desfășurare  a procesului penal, împiedicarea sustragerii inculpaţilor sau prevenirea săvârșirii de noi infracțiuni.</w:t>
      </w:r>
    </w:p>
    <w:p>
      <w:pPr>
        <w:pStyle w:val="Normal"/>
        <w:ind w:firstLine="708"/>
        <w:jc w:val="both"/>
        <w:rPr/>
      </w:pPr>
      <w:r>
        <w:rPr/>
        <w:t>Mai reţine Curtea că inculpatul contestator A2 a mai fost condamnat în trecut la pedepse cu închisoarea pentru comiterea unor infracţiuni de tâlhărie şi vătămare corporală, ceea ce denotă faptul că nu a înţeles să îşi corijeze conduita în aşa fel încât să nu intre din nou în contact cu legea penală, iar în acest context, riscul reiterării unui comportament infracţional, este unul real şi ridicat, atât din perspectiva inculpatului din prezenta cauză, cât şi din perspectiva altor persoane care, luând cunoştinţă de faptele imputate acestuia, ar putea aprecia că, în lipsa unei reacţii adecvate a organelor statului, astfel de comportamente sunt permise, în special în contextul social actual, în care se constată o creștere alarmantă a consumului de astfel de substanţe.</w:t>
      </w:r>
    </w:p>
    <w:p>
      <w:pPr>
        <w:pStyle w:val="Normal"/>
        <w:ind w:firstLine="708"/>
        <w:jc w:val="both"/>
        <w:rPr/>
      </w:pPr>
      <w:r>
        <w:rPr/>
        <w:t xml:space="preserve">În ceea ce o priveşte pe inculpata contestatoare A1, chiar dacă judecătorii din controlul judiciar reţin că aceasta nu are antecedente penale, totuşi actele materiale reţinute în sarcina acesteia, modalitatea concretă în care se presupune că a acţionat, caracterul constant şi susţinut al presupuselor activităţi ilicite imputate, natura substanţelor comercializate şi anturajul din care provine, precum şi lipsa acută de preocupare pentru identificarea unor surse licite de venit şi a unor  modalităţi  de desfăşurare a propriei vieţi în acord cu normele de drept, justifică concluzia existenţei unui risc ridicat de reiterare a unor conduite de acelaşi gen. </w:t>
      </w:r>
    </w:p>
    <w:p>
      <w:pPr>
        <w:pStyle w:val="Normal"/>
        <w:ind w:firstLine="708"/>
        <w:jc w:val="both"/>
        <w:rPr/>
      </w:pPr>
      <w:r>
        <w:rPr/>
        <w:t>Totodată, Curtea apreciază că riscul, în cazul celor doi inculpaţi contestatori sus-menţionaţi, de a-şi relua conduita infracțională este accentuat de împrejurarea că aceştia nu au o calificare profesională și nici o ocupație care să le asigure obținerea unor venituri licite, situație în care, aflaţi în afara pazei permanente a agenților statului (cazul arestatului la domiciliu), în contextul presiunii nevoii de a-și procura venituri necesare pentru traiul de zi cu zi,  ar fi tentaţi să reia acțiunile ilicite pentru ca astfel să realizeze venituri financiare.</w:t>
      </w:r>
    </w:p>
    <w:p>
      <w:pPr>
        <w:pStyle w:val="Normal"/>
        <w:ind w:firstLine="708"/>
        <w:jc w:val="both"/>
        <w:rPr/>
      </w:pPr>
      <w:r>
        <w:rPr/>
        <w:t>În ceea ce priveşte celelalte aspecte personale invocate de apărare (</w:t>
      </w:r>
      <w:r>
        <w:rPr>
          <w:i/>
        </w:rPr>
        <w:t>situaţia medicală a familiei inculpatului A2 - mai precis situaţia medicală a fiului acestuia şi a soţiei inculpatului, sau vârsta înaintată a inculpatei A1</w:t>
      </w:r>
      <w:r>
        <w:rPr/>
        <w:t xml:space="preserve">), judecătorii din controlul judiciar arată că acestea nu reprezintă argumente pertinente care să justifice înlocuirea măsurii arestului preventiv cu o altă măsură, interesul bunei desfășurări a procesului penal, în raport de cele arătate anterior, prevalând asupra interesului personal al inculpaţilor contestatori. </w:t>
      </w:r>
    </w:p>
    <w:p>
      <w:pPr>
        <w:pStyle w:val="Normal"/>
        <w:ind w:firstLine="708"/>
        <w:jc w:val="both"/>
        <w:rPr/>
      </w:pPr>
      <w:r>
        <w:rPr/>
        <w:t xml:space="preserve">Pe de altă parte, cu privire la situația familială invocată de către inculpatul contestator A2, Curtea arată că aceasta trebuia să constituie preocuparea inculpatului în momentele anterioare luării presupusei rezoluţii infracţionale, datoria morală unanim acceptată de societate şi valabilă fiind de a veghea şi la interesele celor apropiaţi, de a le proteja nu numai ca scut împotriva terţelor persoane, ci şi faţă de propriile acţiuni, cu consecinţe secundare nefaste asupra lor. </w:t>
      </w:r>
    </w:p>
    <w:p>
      <w:pPr>
        <w:pStyle w:val="Normal"/>
        <w:ind w:firstLine="708"/>
        <w:jc w:val="both"/>
        <w:rPr/>
      </w:pPr>
      <w:r>
        <w:rPr/>
        <w:t>Mai mult, judecătorii din controlul judiciar apreciază că inculpaţii contestatori și-au asumat, odată cu adoptarea rezoluției infracționale și cu săvârșirea presupusei infracţiuni (cu privire la care există probe sau indicii temeinice din care rezultă suspiciunea rezonabilă că aceştia ar fi comis-o), că această atitudine contrară ordinii de drept urmează să aibă consecinţe negative asupra drepturilor lor, dar aceasta este numai urmarea directă a protejării interesului general, care este precumpănitor în raport cu interesul particular, subiectiv al inculpaţilor de cercetare în stare de libertate.</w:t>
      </w:r>
    </w:p>
    <w:p>
      <w:pPr>
        <w:pStyle w:val="Normal"/>
        <w:ind w:firstLine="708"/>
        <w:jc w:val="both"/>
        <w:rPr/>
      </w:pPr>
      <w:r>
        <w:rPr/>
        <w:t>În mod evident, modificarea măsurii preventive a inculpaţilor contestatori ar fi de natură a aduce acestora sau familiei acestora un plus de confort, însă interesul personal al inculpaţilor nu poate prevala în faţa  interesului public de a asigura buna desfăşurare a instrucţiei penale.</w:t>
      </w:r>
    </w:p>
    <w:p>
      <w:pPr>
        <w:pStyle w:val="Normal"/>
        <w:ind w:firstLine="708"/>
        <w:jc w:val="both"/>
        <w:rPr/>
      </w:pPr>
      <w:r>
        <w:rPr/>
        <w:t>În considerarea motivelor sus expuse, Curtea apreciază că, și la acest moment al procesului penal, măsura arestului preventiv a inculpaţilor contestatori este oportună, fiind singura măsură preventivă aptă să satisfacă scopul înscris la art. 202 alin. (1) din Codul de  procedură penală și, totodată, proporțională cu gravitatea acuzațiilor aduse, neexistând temeiuri care să fundamenteze înlocuirea acesteia cu arestul la domiciliu sau cu măsura preventivă a controlului judiciar.</w:t>
      </w:r>
    </w:p>
    <w:p>
      <w:pPr>
        <w:pStyle w:val="Normal"/>
        <w:ind w:firstLine="708"/>
        <w:jc w:val="both"/>
        <w:rPr/>
      </w:pPr>
      <w:r>
        <w:rPr/>
        <w:t>Pentru argumentele mai sus dezvoltate, în temeiul art. 425</w:t>
      </w:r>
      <w:r>
        <w:rPr>
          <w:vertAlign w:val="superscript"/>
        </w:rPr>
        <w:t>1</w:t>
      </w:r>
      <w:r>
        <w:rPr/>
        <w:t xml:space="preserve"> alin. (7) pct. 1 lit. b) din Codul de procedură penală, raportat la art. 206 din Codul de procedură penală, Curtea va respinge, ca nefondate, contestaţiile formulate de inculpaţii A1 şi A2 împotriva încheierii penale din data de IP1, a Tribunalului...., pronunţată în dosarul nr. D1, încheiere pe care o va menţine.</w:t>
      </w:r>
    </w:p>
    <w:p>
      <w:pPr>
        <w:pStyle w:val="Normal"/>
        <w:ind w:firstLine="720"/>
        <w:jc w:val="both"/>
        <w:rPr/>
      </w:pPr>
      <w:r>
        <w:rPr/>
        <w:t>În temeiul art. 275 alin. (6) din Codul de procedură penală, se va dispune plata sumei de 360 lei, reprezentând onorariul apărătorului desemnat din oficiu pentru inculpatul A2, conform delegaţiei nr. ...2, emisă de Baroul ... la data de 11.11.2024, pentru av. Av4, din fondurile speciale ale Ministerului Justiţiei, conform art. 272 Cod procedură penală, suma urmând a rămâne în sarcina statului.</w:t>
      </w:r>
    </w:p>
    <w:p>
      <w:pPr>
        <w:pStyle w:val="Normal"/>
        <w:ind w:firstLine="708"/>
        <w:jc w:val="both"/>
        <w:rPr/>
      </w:pPr>
      <w:bookmarkStart w:name="_Hlk179193930" w:id="12"/>
      <w:r>
        <w:rPr/>
        <w:t>În temeiul art. 275 alin. (2) Cod procedură penală, pe considerentul culpei procesuale, inculpații contestatori vor fi obligaţi să plătească statului suma de câte 300 lei, cu titlul de cheltuieli judiciare avansate cu ocazia soluționării prezentelor contestații.</w:t>
      </w:r>
      <w:bookmarkEnd w:id="12"/>
    </w:p>
    <w:p>
      <w:pPr>
        <w:pStyle w:val="Normal"/>
        <w:jc w:val="both"/>
        <w:rPr/>
      </w:pPr>
      <w:r>
        <w:rPr/>
      </w:r>
    </w:p>
    <w:p>
      <w:pPr>
        <w:pStyle w:val="Normal"/>
        <w:jc w:val="center"/>
        <w:rPr>
          <w:b/>
        </w:rPr>
      </w:pPr>
      <w:r>
        <w:rPr>
          <w:b/>
        </w:rPr>
        <w:t>PENTRU ACESTE MOTIVE,</w:t>
        <w:br/>
        <w:t>ÎN NUMELE LEGII,</w:t>
      </w:r>
    </w:p>
    <w:p>
      <w:pPr>
        <w:pStyle w:val="Normal"/>
        <w:jc w:val="center"/>
        <w:rPr>
          <w:b/>
        </w:rPr>
      </w:pPr>
      <w:r>
        <w:rPr>
          <w:b/>
        </w:rPr>
        <w:t>DECIDE:</w:t>
      </w:r>
    </w:p>
    <w:p>
      <w:pPr>
        <w:pStyle w:val="Normal"/>
        <w:ind w:right="250"/>
        <w:rPr>
          <w:b/>
        </w:rPr>
      </w:pPr>
      <w:r>
        <w:rPr>
          <w:b/>
        </w:rPr>
      </w:r>
    </w:p>
    <w:p>
      <w:pPr>
        <w:pStyle w:val="Normal"/>
        <w:ind w:firstLine="720"/>
        <w:jc w:val="both"/>
        <w:rPr/>
      </w:pPr>
      <w:r>
        <w:rPr/>
        <w:t>În baza art. 425</w:t>
      </w:r>
      <w:r>
        <w:rPr>
          <w:vertAlign w:val="superscript"/>
        </w:rPr>
        <w:t>1</w:t>
      </w:r>
      <w:r>
        <w:rPr/>
        <w:t xml:space="preserve"> alin. 7 pct. 1 lit. b Cod procedură penală, raportat la art. 206 Cod procedură penală, </w:t>
      </w:r>
      <w:r>
        <w:rPr>
          <w:b/>
        </w:rPr>
        <w:t xml:space="preserve">respinge, ca nefondate, contestaţiile </w:t>
      </w:r>
      <w:r>
        <w:rPr/>
        <w:t xml:space="preserve">formulate de inculpaţii </w:t>
      </w:r>
      <w:r>
        <w:rPr>
          <w:b/>
        </w:rPr>
        <w:t xml:space="preserve">A1, </w:t>
      </w:r>
      <w:r>
        <w:rPr/>
        <w:t xml:space="preserve">fiica lui .. şi .., născută la ..., CNP ..., </w:t>
      </w:r>
      <w:r>
        <w:rPr>
          <w:i/>
        </w:rPr>
        <w:t>în prezent aflată în Penitenciarul...</w:t>
      </w:r>
      <w:r>
        <w:rPr/>
        <w:t xml:space="preserve">, şi </w:t>
      </w:r>
      <w:r>
        <w:rPr>
          <w:b/>
        </w:rPr>
        <w:t>A2</w:t>
      </w:r>
      <w:r>
        <w:rPr/>
        <w:t xml:space="preserve">, fiul  lui ... şi ..., născut la ... în oraşul ..., judeţul .., CNP ..., </w:t>
      </w:r>
      <w:r>
        <w:rPr>
          <w:b/>
        </w:rPr>
        <w:t>împotriva încheierii penale din data de IP1, a Tribunalului....</w:t>
      </w:r>
      <w:r>
        <w:rPr/>
        <w:t xml:space="preserve">, pronunţată în dosarul nr. D1, </w:t>
      </w:r>
      <w:r>
        <w:rPr>
          <w:b/>
        </w:rPr>
        <w:t>încheiere pe care o menţine</w:t>
      </w:r>
      <w:r>
        <w:rPr/>
        <w:t>.</w:t>
      </w:r>
    </w:p>
    <w:p>
      <w:pPr>
        <w:pStyle w:val="Normal"/>
        <w:ind w:firstLine="720"/>
        <w:jc w:val="both"/>
        <w:rPr/>
      </w:pPr>
      <w:r>
        <w:rPr/>
        <w:t>În temeiul art. 275 alin. 6 Cod procedură penală, dispune plata  sumei de 360 lei, reprezentând onorariul apărătorului desemnat din oficiu pentru inculpatul A2, conform delegaţiei nr. ....2, emisă de Baroul .... la data de 11.11.2024, pentru av. Av4, din fondurile speciale ale Ministerului Justiţiei, conform art. 272 Cod procedură penală, suma urmând a rămâne în sarcina statului.</w:t>
      </w:r>
    </w:p>
    <w:p>
      <w:pPr>
        <w:pStyle w:val="Normal"/>
        <w:jc w:val="both"/>
        <w:rPr/>
      </w:pPr>
      <w:r>
        <w:rPr/>
        <w:tab/>
        <w:t>În baza art. 275 alin. 2 Cod procedură penală, obligă pe fiecare inculpat contestator la plata sumei de câte 300 lei, reprezentând cheltuieli judiciare, ocazionate de soluţionarea prezentelor contestaţii.</w:t>
      </w:r>
    </w:p>
    <w:p>
      <w:pPr>
        <w:pStyle w:val="Normal"/>
        <w:ind w:right="250" w:firstLine="708"/>
        <w:jc w:val="both"/>
        <w:rPr>
          <w:b/>
        </w:rPr>
      </w:pPr>
      <w:r>
        <w:rPr>
          <w:b/>
        </w:rPr>
        <w:t>Definitivă.</w:t>
      </w:r>
    </w:p>
    <w:p>
      <w:pPr>
        <w:pStyle w:val="Normal"/>
        <w:ind w:right="250" w:firstLine="708"/>
        <w:jc w:val="both"/>
        <w:rPr/>
      </w:pPr>
      <w:r>
        <w:rPr/>
        <w:t>Pronunţată azi, ..., prin punerea soluţiei la dispoziţia inculpaţilor şi a procurorului, prin mijlocirea grefei instanţei.</w:t>
      </w:r>
    </w:p>
    <w:p>
      <w:pPr>
        <w:pStyle w:val="Normal"/>
        <w:ind w:right="250"/>
        <w:jc w:val="both"/>
        <w:rPr/>
      </w:pPr>
      <w:r>
        <w:rPr/>
      </w:r>
    </w:p>
    <w:p>
      <w:pPr>
        <w:pStyle w:val="Normal"/>
        <w:ind w:right="249"/>
        <w:rPr>
          <w:b/>
        </w:rPr>
      </w:pPr>
      <w:r>
        <w:rPr>
          <w:b/>
        </w:rPr>
        <w:t xml:space="preserve">           </w:t>
      </w:r>
      <w:r>
        <w:rPr>
          <w:b/>
        </w:rPr>
        <w:t xml:space="preserve">Preşedinte,                                                                                      Judecător,      </w:t>
      </w:r>
    </w:p>
    <w:p>
      <w:pPr>
        <w:pStyle w:val="Normal"/>
        <w:rPr>
          <w:b/>
        </w:rPr>
      </w:pPr>
      <w:r>
        <w:rPr>
          <w:b/>
        </w:rPr>
        <w:t xml:space="preserve">     </w:t>
      </w:r>
      <w:r>
        <w:rPr>
          <w:b/>
        </w:rPr>
        <w:t>A0013                                                              ...</w:t>
      </w:r>
    </w:p>
    <w:p>
      <w:pPr>
        <w:pStyle w:val="Normal"/>
        <w:jc w:val="center"/>
        <w:rPr/>
      </w:pPr>
      <w:r>
        <w:rPr/>
      </w:r>
    </w:p>
    <w:p>
      <w:pPr>
        <w:pStyle w:val="Normal"/>
        <w:jc w:val="center"/>
        <w:rPr>
          <w:b/>
        </w:rPr>
      </w:pPr>
      <w:r>
        <w:rPr>
          <w:b/>
        </w:rPr>
      </w:r>
    </w:p>
    <w:p>
      <w:pPr>
        <w:pStyle w:val="Normal"/>
        <w:jc w:val="center"/>
        <w:rPr>
          <w:b/>
        </w:rPr>
      </w:pPr>
      <w:r>
        <w:rPr>
          <w:b/>
        </w:rPr>
        <w:t>Grefier,</w:t>
      </w:r>
    </w:p>
    <w:p>
      <w:pPr>
        <w:pStyle w:val="Normal"/>
        <w:jc w:val="center"/>
        <w:rPr>
          <w:b/>
        </w:rPr>
      </w:pPr>
      <w:r>
        <w:rPr>
          <w:b/>
        </w:rPr>
        <w:t>...</w:t>
      </w:r>
    </w:p>
    <w:p>
      <w:pPr>
        <w:pStyle w:val="Normal"/>
        <w:rPr>
          <w:i/>
          <w:i/>
          <w:sz w:val="16"/>
        </w:rPr>
      </w:pPr>
      <w:r>
        <w:rPr>
          <w:i/>
          <w:sz w:val="16"/>
        </w:rPr>
      </w:r>
    </w:p>
    <w:p>
      <w:pPr>
        <w:pStyle w:val="Normal"/>
        <w:rPr>
          <w:i/>
          <w:i/>
          <w:sz w:val="16"/>
        </w:rPr>
      </w:pPr>
      <w:r>
        <w:rPr>
          <w:i/>
          <w:sz w:val="16"/>
        </w:rPr>
        <w:t>Red/tehnored jud. A0013</w:t>
      </w:r>
    </w:p>
    <w:p>
      <w:pPr>
        <w:pStyle w:val="Normal"/>
        <w:rPr>
          <w:i/>
          <w:i/>
          <w:sz w:val="16"/>
        </w:rPr>
      </w:pPr>
      <w:r>
        <w:rPr>
          <w:i/>
          <w:sz w:val="16"/>
        </w:rPr>
        <w:t>2 ex...</w:t>
      </w:r>
    </w:p>
    <w:p>
      <w:pPr>
        <w:pStyle w:val="Normal"/>
        <w:rPr>
          <w:i/>
          <w:i/>
          <w:sz w:val="16"/>
        </w:rPr>
      </w:pPr>
      <w:r>
        <w:rPr>
          <w:i/>
          <w:sz w:val="16"/>
        </w:rPr>
        <w:t>Tribunalul ...</w:t>
      </w:r>
    </w:p>
    <w:p>
      <w:pPr>
        <w:pStyle w:val="Normal"/>
        <w:rPr>
          <w:i/>
          <w:i/>
          <w:sz w:val="16"/>
        </w:rPr>
      </w:pPr>
      <w:r>
        <w:rPr>
          <w:i/>
          <w:sz w:val="16"/>
        </w:rPr>
        <w:t xml:space="preserve">5 ex comunicate: 2 ex inculpaţi, 2 ex ... </w:t>
      </w:r>
    </w:p>
    <w:sectPr>
      <w:footerReference w:type="default" r:id="rId2"/>
      <w:type w:val="nextPage"/>
      <w:pgSz w:w="11906" w:h="16838"/>
      <w:pgMar w:top="1134" w:right="1134" w:bottom="851" w:left="1701"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16</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link w:val="Titlu2Caracter"/>
    <w:qFormat/>
    <w:pPr>
      <w:keepNext w:val="true"/>
      <w:numPr>
        <w:ilvl w:val="0"/>
        <w:numId w:val="0"/>
      </w:numPr>
      <w:spacing w:before="240" w:after="60"/>
      <w:outlineLvl w:val="1"/>
    </w:pPr>
    <w:rPr>
      <w:rFonts w:ascii="Calibri Light" w:hAnsi="Calibri Light"/>
      <w:b/>
      <w:i/>
      <w:sz w:val="28"/>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Titlu2Caracter">
    <w:name w:val="Titlu 2 Caracter"/>
    <w:link w:val="Heading2"/>
    <w:qFormat/>
    <w:rPr>
      <w:rFonts w:ascii="Calibri Light" w:hAnsi="Calibri Light"/>
      <w:b/>
      <w:i/>
      <w:sz w:val="28"/>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703" w:leader="none"/>
        <w:tab w:val="right" w:pos="9406" w:leader="none"/>
      </w:tabs>
    </w:pPr>
    <w:rPr/>
  </w:style>
  <w:style w:type="paragraph" w:styleId="Footer">
    <w:name w:val="Footer"/>
    <w:basedOn w:val="Normal"/>
    <w:link w:val="SubsolCaracter"/>
    <w:pPr>
      <w:tabs>
        <w:tab w:val="clear" w:pos="720"/>
        <w:tab w:val="center" w:pos="4703" w:leader="none"/>
        <w:tab w:val="right" w:pos="9406"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52</ap:TotalTime>
  <ap:Application>LibreOffice/24.2.7.2$Linux_X86_64 LibreOffice_project/420$Build-2</ap:Application>
  <ap:AppVersion>15.0000</ap:AppVersion>
  <ap:Pages>10</ap:Pages>
  <ap:Words>9423</ap:Words>
  <ap:Characters>52857</ap:Characters>
  <ap:CharactersWithSpaces>62393</ap:CharactersWithSpaces>
  <ap:Paragraphs>186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