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5.0 -->
  <w:body>
    <w:p w:rsidR="008D0A48" w14:paraId="4B0745EF" w14:textId="21C3A8DB">
      <w:pPr>
        <w:jc w:val="both"/>
        <w:rPr>
          <w:rStyle w:val="Fontdeparagrafimplicit"/>
          <w:rFonts w:ascii="Garamond" w:hAnsi="Garamond"/>
        </w:rPr>
      </w:pPr>
      <w:r>
        <w:rPr>
          <w:rStyle w:val="Fontdeparagrafimplicit"/>
          <w:rFonts w:ascii="Garamond" w:hAnsi="Garamond"/>
        </w:rPr>
        <w:t xml:space="preserve"> </w:t>
      </w:r>
    </w:p>
    <w:p w:rsidR="00FA3E36" w14:paraId="2A84AA39" w14:textId="0CD962F7">
      <w:pPr>
        <w:jc w:val="both"/>
        <w:rPr>
          <w:rStyle w:val="Fontdeparagrafimplicit"/>
          <w:b/>
        </w:rPr>
      </w:pPr>
      <w:r>
        <w:rPr>
          <w:rStyle w:val="Fontdeparagrafimplicit"/>
          <w:b/>
        </w:rPr>
        <w:t>DOSAR NR.</w:t>
      </w:r>
      <w:r w:rsidR="00CA459C">
        <w:rPr>
          <w:rStyle w:val="Fontdeparagrafimplicit"/>
          <w:b/>
        </w:rPr>
        <w:t>1</w:t>
      </w:r>
    </w:p>
    <w:p w:rsidR="00FA3E36" w14:paraId="3E830C2C" w14:textId="77777777">
      <w:pPr>
        <w:jc w:val="both"/>
        <w:rPr>
          <w:rStyle w:val="Fontdeparagrafimplicit"/>
          <w:b/>
        </w:rPr>
      </w:pPr>
    </w:p>
    <w:p w:rsidR="00FA3E36" w14:paraId="4476C80E" w14:textId="77777777">
      <w:pPr>
        <w:jc w:val="center"/>
        <w:rPr>
          <w:rStyle w:val="Fontdeparagrafimplicit"/>
          <w:b/>
        </w:rPr>
      </w:pPr>
      <w:r>
        <w:rPr>
          <w:rStyle w:val="Fontdeparagrafimplicit"/>
          <w:b/>
        </w:rPr>
        <w:t xml:space="preserve">R O M Â N I A </w:t>
      </w:r>
    </w:p>
    <w:p w:rsidR="00FA3E36" w14:paraId="1BE59349" w14:textId="50DF6351">
      <w:pPr>
        <w:jc w:val="center"/>
        <w:rPr>
          <w:rStyle w:val="Fontdeparagrafimplicit"/>
          <w:b/>
        </w:rPr>
      </w:pPr>
      <w:r>
        <w:rPr>
          <w:rStyle w:val="Fontdeparagrafimplicit"/>
          <w:b/>
        </w:rPr>
        <w:t xml:space="preserve">CURTEA DE APEL </w:t>
      </w:r>
      <w:r w:rsidR="008D0A48">
        <w:rPr>
          <w:rStyle w:val="Fontdeparagrafimplicit"/>
          <w:b/>
        </w:rPr>
        <w:t xml:space="preserve">........... </w:t>
      </w:r>
    </w:p>
    <w:p w:rsidR="00FA3E36" w14:paraId="515014F6" w14:textId="0A6074A9">
      <w:pPr>
        <w:jc w:val="center"/>
        <w:rPr>
          <w:rStyle w:val="Fontdeparagrafimplicit"/>
          <w:b/>
        </w:rPr>
      </w:pPr>
      <w:r>
        <w:rPr>
          <w:rStyle w:val="Fontdeparagrafimplicit"/>
          <w:b/>
        </w:rPr>
        <w:t xml:space="preserve">SECŢIA </w:t>
      </w:r>
      <w:r w:rsidR="008D0A48">
        <w:rPr>
          <w:rStyle w:val="Fontdeparagrafimplicit"/>
          <w:b/>
        </w:rPr>
        <w:t xml:space="preserve">........... </w:t>
      </w:r>
    </w:p>
    <w:p w:rsidR="00FA3E36" w14:paraId="0840F91D" w14:textId="766BA64A">
      <w:pPr>
        <w:jc w:val="center"/>
        <w:rPr>
          <w:rStyle w:val="Fontdeparagrafimplicit"/>
          <w:b/>
          <w:i/>
        </w:rPr>
      </w:pPr>
      <w:r>
        <w:rPr>
          <w:rStyle w:val="Fontdeparagrafimplicit"/>
          <w:b/>
          <w:i/>
        </w:rPr>
        <w:t xml:space="preserve">Sentinţa civilă nr. </w:t>
      </w:r>
      <w:r w:rsidR="008D0A48">
        <w:rPr>
          <w:rStyle w:val="Fontdeparagrafimplicit"/>
          <w:b/>
          <w:i/>
        </w:rPr>
        <w:t>14</w:t>
      </w:r>
    </w:p>
    <w:p w:rsidR="00FA3E36" w14:paraId="3FA1758C" w14:textId="28F8C388">
      <w:pPr>
        <w:jc w:val="center"/>
        <w:rPr>
          <w:rStyle w:val="Fontdeparagrafimplicit"/>
          <w:b/>
        </w:rPr>
      </w:pPr>
      <w:r>
        <w:rPr>
          <w:rStyle w:val="Fontdeparagrafimplicit"/>
          <w:b/>
        </w:rPr>
        <w:t xml:space="preserve">ŞEDINŢA PUBLICĂ DIN  </w:t>
      </w:r>
      <w:r w:rsidR="008D0A48">
        <w:rPr>
          <w:rStyle w:val="Fontdeparagrafimplicit"/>
          <w:b/>
        </w:rPr>
        <w:t xml:space="preserve">........... </w:t>
      </w:r>
    </w:p>
    <w:p w:rsidR="00FA3E36" w14:paraId="3027558D" w14:textId="77777777">
      <w:pPr>
        <w:jc w:val="center"/>
        <w:rPr>
          <w:rStyle w:val="Fontdeparagrafimplicit"/>
          <w:b/>
        </w:rPr>
      </w:pPr>
      <w:r>
        <w:rPr>
          <w:rStyle w:val="Fontdeparagrafimplicit"/>
          <w:b/>
        </w:rPr>
        <w:t>CURTEA CONSTITUITĂ DIN :</w:t>
      </w:r>
    </w:p>
    <w:p w:rsidR="00FA3E36" w14:paraId="7009C5F5" w14:textId="52C774D2">
      <w:pPr>
        <w:jc w:val="center"/>
        <w:rPr>
          <w:rStyle w:val="Fontdeparagrafimplicit"/>
          <w:b/>
        </w:rPr>
      </w:pPr>
      <w:r>
        <w:rPr>
          <w:rStyle w:val="Fontdeparagrafimplicit"/>
          <w:b/>
        </w:rPr>
        <w:t xml:space="preserve">PREŞEDINTE: </w:t>
      </w:r>
      <w:r w:rsidR="008D0A48">
        <w:rPr>
          <w:rStyle w:val="Fontdeparagrafimplicit"/>
          <w:b/>
        </w:rPr>
        <w:t>A0008</w:t>
      </w:r>
    </w:p>
    <w:p w:rsidR="00FA3E36" w14:paraId="41FC29A3" w14:textId="413BFBDC">
      <w:pPr>
        <w:jc w:val="center"/>
        <w:rPr>
          <w:rStyle w:val="Fontdeparagrafimplicit"/>
          <w:b/>
        </w:rPr>
      </w:pPr>
      <w:r>
        <w:rPr>
          <w:rStyle w:val="Fontdeparagrafimplicit"/>
          <w:b/>
        </w:rPr>
        <w:t xml:space="preserve">GREFIER: </w:t>
      </w:r>
      <w:r w:rsidR="008D0A48">
        <w:rPr>
          <w:rStyle w:val="Fontdeparagrafimplicit"/>
          <w:b/>
        </w:rPr>
        <w:t xml:space="preserve">.............. </w:t>
      </w:r>
    </w:p>
    <w:p w:rsidR="00FA3E36" w14:paraId="01D61FC5" w14:textId="77777777">
      <w:pPr>
        <w:jc w:val="both"/>
        <w:rPr>
          <w:rStyle w:val="Fontdeparagrafimplicit"/>
          <w:b/>
          <w:i/>
        </w:rPr>
      </w:pPr>
      <w:r>
        <w:rPr>
          <w:rStyle w:val="Fontdeparagrafimplicit"/>
          <w:b/>
          <w:i/>
        </w:rPr>
        <w:t xml:space="preserve"> </w:t>
      </w:r>
    </w:p>
    <w:p w:rsidR="00FA3E36" w14:paraId="0E8D7BF8" w14:textId="77777777">
      <w:pPr>
        <w:jc w:val="both"/>
        <w:rPr>
          <w:rStyle w:val="Fontdeparagrafimplicit"/>
          <w:b/>
          <w:i/>
        </w:rPr>
      </w:pPr>
    </w:p>
    <w:p w:rsidR="00FA3E36" w14:paraId="64D9A3CC" w14:textId="035D39B6">
      <w:pPr>
        <w:ind w:firstLine="567"/>
        <w:jc w:val="both"/>
      </w:pPr>
      <w:r>
        <w:t xml:space="preserve">Pe rol este acţiunea în contencios administrativ formulată de reclamanta </w:t>
      </w:r>
      <w:r w:rsidR="008D0A48">
        <w:t xml:space="preserve">1 </w:t>
      </w:r>
      <w:r>
        <w:t xml:space="preserve"> în contradictoriu cu pârâtul FONDUL DE GARANTARE A ASIGURAŢILOR, având ca obiect „anulare act administrativ – dec. nr. </w:t>
      </w:r>
      <w:r w:rsidR="008D0A48">
        <w:t xml:space="preserve">2/1.02.2019 </w:t>
      </w:r>
      <w:r>
        <w:t>”.</w:t>
      </w:r>
    </w:p>
    <w:p w:rsidR="00FA3E36" w14:paraId="0C6DBDA0" w14:textId="7A1F4110">
      <w:pPr>
        <w:ind w:firstLine="567"/>
        <w:jc w:val="both"/>
      </w:pPr>
      <w:r>
        <w:t xml:space="preserve">Dezbaterile asupra cauzei au avut loc în şedinţa publică din data de </w:t>
      </w:r>
      <w:r w:rsidR="008D0A48">
        <w:t xml:space="preserve">.............. </w:t>
      </w:r>
      <w:r>
        <w:t xml:space="preserve">, fiind consemnate în încheierea de şedinţă de la acea dată, care face parte integrantă din prezenta, când Curtea, având nevoie de timp pentru a delibera, a amânat pronunţarea pentru  </w:t>
      </w:r>
      <w:r w:rsidR="008D0A48">
        <w:t xml:space="preserve">.............. </w:t>
      </w:r>
      <w:r>
        <w:t xml:space="preserve">şi pentru astăzi, </w:t>
      </w:r>
      <w:r w:rsidR="008D0A48">
        <w:t xml:space="preserve">.............. </w:t>
      </w:r>
      <w:r>
        <w:t xml:space="preserve">, când, în aceeaşi compunere, a hotărât următoarele: </w:t>
      </w:r>
    </w:p>
    <w:p w:rsidR="00FA3E36" w14:paraId="691067E8" w14:textId="77777777">
      <w:pPr>
        <w:ind w:firstLine="567"/>
        <w:jc w:val="both"/>
      </w:pPr>
    </w:p>
    <w:p w:rsidR="00FA3E36" w14:paraId="356F25BE" w14:textId="77777777">
      <w:pPr>
        <w:ind w:firstLine="567"/>
        <w:jc w:val="center"/>
        <w:rPr>
          <w:rStyle w:val="Fontdeparagrafimplicit"/>
          <w:b/>
          <w:i/>
        </w:rPr>
      </w:pPr>
      <w:r>
        <w:rPr>
          <w:rStyle w:val="Fontdeparagrafimplicit"/>
          <w:b/>
          <w:i/>
        </w:rPr>
        <w:t>CURTEA</w:t>
      </w:r>
    </w:p>
    <w:p w:rsidR="00FA3E36" w14:paraId="0407CA89" w14:textId="77777777">
      <w:pPr>
        <w:ind w:firstLine="567"/>
        <w:jc w:val="both"/>
        <w:rPr>
          <w:rStyle w:val="Fontdeparagrafimplicit"/>
        </w:rPr>
      </w:pPr>
    </w:p>
    <w:p w:rsidR="00FA3E36" w14:paraId="39F19B73" w14:textId="77777777">
      <w:pPr>
        <w:pStyle w:val="Listparagraf"/>
        <w:numPr>
          <w:ilvl w:val="0"/>
          <w:numId w:val="1"/>
        </w:numPr>
        <w:spacing w:after="0" w:line="240" w:lineRule="auto"/>
        <w:jc w:val="both"/>
        <w:rPr>
          <w:rStyle w:val="Fontdeparagrafimplicit"/>
          <w:rFonts w:ascii="Times New Roman" w:hAnsi="Times New Roman"/>
          <w:b/>
          <w:sz w:val="24"/>
        </w:rPr>
      </w:pPr>
      <w:r>
        <w:rPr>
          <w:rStyle w:val="Fontdeparagrafimplicit"/>
          <w:rFonts w:ascii="Times New Roman" w:hAnsi="Times New Roman"/>
          <w:b/>
          <w:sz w:val="24"/>
        </w:rPr>
        <w:t>Acţiunea formulată în cauză</w:t>
      </w:r>
    </w:p>
    <w:p w:rsidR="00FA3E36" w14:paraId="04E54EAB" w14:textId="0CB597E9">
      <w:pPr>
        <w:ind w:firstLine="360"/>
        <w:jc w:val="both"/>
      </w:pPr>
      <w:r>
        <w:t xml:space="preserve">Prin acţiunea înregistrată pe rolul Curţii de Apel </w:t>
      </w:r>
      <w:r w:rsidR="008D0A48">
        <w:t xml:space="preserve">........... </w:t>
      </w:r>
      <w:r>
        <w:t xml:space="preserve">– Secţia </w:t>
      </w:r>
      <w:r w:rsidR="00E007E2">
        <w:t>.............</w:t>
      </w:r>
      <w:r>
        <w:t xml:space="preserve">, la data de </w:t>
      </w:r>
      <w:r w:rsidR="00605D29">
        <w:t xml:space="preserve">     </w:t>
      </w:r>
      <w:r>
        <w:t xml:space="preserve">.2019, sub nr. unic </w:t>
      </w:r>
      <w:r w:rsidR="008D0A48">
        <w:t>14</w:t>
      </w:r>
      <w:r>
        <w:t xml:space="preserve">, reclamanta </w:t>
      </w:r>
      <w:r w:rsidR="008D0A48">
        <w:t xml:space="preserve">1 </w:t>
      </w:r>
      <w:r>
        <w:t>în contradictoriu cu pârâtul FONDUL DE GARANTARE A ASIGURAŢILOR, a solicitat instanţei ca prin hotărârea pe care o va pronunţa instanţa de judecată, să dispună următoarele:</w:t>
      </w:r>
    </w:p>
    <w:p w:rsidR="00FA3E36" w14:paraId="6C0798F6" w14:textId="11A6FFAD">
      <w:pPr>
        <w:ind w:firstLine="360"/>
        <w:jc w:val="both"/>
      </w:pPr>
      <w:r>
        <w:t xml:space="preserve">- admiterea cererii de chemare in judecată şi anularea deciziei nr. </w:t>
      </w:r>
      <w:r w:rsidR="008D0A48">
        <w:t xml:space="preserve">2/1.02.2019 </w:t>
      </w:r>
      <w:r>
        <w:t xml:space="preserve"> înregistrată sub nr. </w:t>
      </w:r>
      <w:r w:rsidR="00E007E2">
        <w:t xml:space="preserve">3/19.02.2019 </w:t>
      </w:r>
      <w:r>
        <w:t>emisă de pârâtă şi comunicată reclamantei la data de 01.03.2019, decizie care este netemeinică şi nelegală.</w:t>
      </w:r>
    </w:p>
    <w:p w:rsidR="00FA3E36" w14:paraId="7A8400F6" w14:textId="2ACAD166">
      <w:pPr>
        <w:ind w:firstLine="360"/>
        <w:jc w:val="both"/>
      </w:pPr>
      <w:r>
        <w:t xml:space="preserve">- obligarea pârâtei la emiterea unei noi decizii de plată a despăgubirilor pentru suma de 66042 lei reprezentând diferenţa neachitată din despăgubirea ce i se cuvine cu titlu de daună urmare evenimentului asigurat de reclamantă la </w:t>
      </w:r>
      <w:r w:rsidR="00CA459C">
        <w:t xml:space="preserve">AAA </w:t>
      </w:r>
      <w:r>
        <w:t xml:space="preserve"> Asigurări S.A </w:t>
      </w:r>
      <w:r w:rsidR="00E007E2">
        <w:t xml:space="preserve">Sucursala 4 </w:t>
      </w:r>
      <w:r>
        <w:t xml:space="preserve">prin Poliţa de Asigurare Seria </w:t>
      </w:r>
      <w:r w:rsidR="00E007E2">
        <w:t xml:space="preserve">............ </w:t>
      </w:r>
      <w:r>
        <w:t xml:space="preserve">-Nr. </w:t>
      </w:r>
      <w:r w:rsidR="00E007E2">
        <w:t>5</w:t>
      </w:r>
      <w:r>
        <w:t xml:space="preserve">/29.06.2013, eveniment produs la data de </w:t>
      </w:r>
      <w:r w:rsidR="00CB41C5">
        <w:t>......12.2013</w:t>
      </w:r>
      <w:r>
        <w:t xml:space="preserve"> ce a constat în distrugerea prin incendiu a imobilului casa situata in Co</w:t>
      </w:r>
      <w:r w:rsidR="00AA70C2">
        <w:t>m</w:t>
      </w:r>
      <w:r>
        <w:t xml:space="preserve">. </w:t>
      </w:r>
      <w:r w:rsidR="00E007E2">
        <w:t xml:space="preserve">P......... </w:t>
      </w:r>
      <w:r>
        <w:t xml:space="preserve">, Sat. </w:t>
      </w:r>
      <w:r w:rsidR="00E007E2">
        <w:t xml:space="preserve">S............ </w:t>
      </w:r>
      <w:r>
        <w:t xml:space="preserve">, Str. </w:t>
      </w:r>
      <w:r w:rsidR="00E007E2">
        <w:t xml:space="preserve">........... </w:t>
      </w:r>
      <w:r>
        <w:t xml:space="preserve">, Nr. </w:t>
      </w:r>
      <w:r w:rsidR="00E007E2">
        <w:t>........</w:t>
      </w:r>
      <w:r>
        <w:t xml:space="preserve">, Jud. </w:t>
      </w:r>
      <w:r w:rsidR="00E007E2">
        <w:t xml:space="preserve">........ </w:t>
      </w:r>
      <w:r>
        <w:t>.</w:t>
      </w:r>
    </w:p>
    <w:p w:rsidR="00FA3E36" w14:paraId="3525D747" w14:textId="77777777">
      <w:pPr>
        <w:ind w:firstLine="360"/>
        <w:jc w:val="both"/>
      </w:pPr>
      <w:r>
        <w:t>A solicitat, totodată, sa fie obligată pârâta la plata cheltuielilor de judecată făcute de reclamantă în prezenta cauză.</w:t>
      </w:r>
    </w:p>
    <w:p w:rsidR="00FA3E36" w14:paraId="07C086A7" w14:textId="77777777">
      <w:pPr>
        <w:ind w:firstLine="360"/>
        <w:jc w:val="both"/>
      </w:pPr>
      <w:r>
        <w:t>În motivarea acţiunii, a arătat reclamanta că, în fapt, prin decizia contestată azi, pârâta dispune după mai mult de 3 ani plata către reclamantă a unei diferenţe de 12 833 lei ce ar reprezenta diferenţa de despăgubire, în opinia acesteia, până la suma de 30 619 din care i-a fost achitată, fără să fie emisă o decizie de despăgubire, suma de 21 986 lei achitata la data 22.12..2016.</w:t>
      </w:r>
    </w:p>
    <w:p w:rsidR="00FA3E36" w14:paraId="7FFA6F8F" w14:textId="13F76AEB">
      <w:pPr>
        <w:ind w:firstLine="360"/>
        <w:jc w:val="both"/>
      </w:pPr>
      <w:r>
        <w:t xml:space="preserve">Practic, decizia emisă la data de 19.02.2019, nu este decât o decizie formală, evenimentul fiind produs încă din anul 2013 si numai după ce reclamanta, în urma nenumăratelor demersuri efectuate inclusiv efectuarea şi înaintarea către pârâtă a unui raport de expertiză efectuată de un expert autorizat şi necontestată de pârâtă şi a faptului ca reclamanta a fost nevoită să sesizeze instanţa de judecată cu acţiune directă împotriva pârâtei, cauză ce face obiectul Dos. Nr. </w:t>
      </w:r>
      <w:r w:rsidR="00CA459C">
        <w:t xml:space="preserve">1.1 </w:t>
      </w:r>
      <w:r>
        <w:t xml:space="preserve"> aflat pe rolul Curţii de Apel </w:t>
      </w:r>
      <w:r w:rsidR="00E007E2">
        <w:t xml:space="preserve">........... </w:t>
      </w:r>
      <w:r>
        <w:t>.</w:t>
      </w:r>
    </w:p>
    <w:p w:rsidR="00FA3E36" w14:paraId="4596B84F" w14:textId="0655891F">
      <w:pPr>
        <w:ind w:firstLine="360"/>
        <w:jc w:val="both"/>
      </w:pPr>
      <w:r>
        <w:t xml:space="preserve">Pârâta a refuzat permanent să emită o decizie de despăgubire şi permanent a susţinut, chiar şi prin întâmpinarea depusă la Dos. Nr. </w:t>
      </w:r>
      <w:r w:rsidR="00CA459C">
        <w:t xml:space="preserve">1.1 </w:t>
      </w:r>
      <w:r>
        <w:t xml:space="preserve"> aflat pe rolul Curţii de Apel </w:t>
      </w:r>
      <w:r w:rsidR="00E007E2">
        <w:t xml:space="preserve">........... </w:t>
      </w:r>
      <w:r>
        <w:t xml:space="preserve">, prin declinare de la </w:t>
      </w:r>
      <w:r w:rsidR="00605D29">
        <w:t xml:space="preserve">Judecătoria                </w:t>
      </w:r>
      <w:r w:rsidR="00E007E2">
        <w:t xml:space="preserve">............ </w:t>
      </w:r>
      <w:r>
        <w:t>, faptul că suma totală ce i se cuvine reclamantei ar fi numai suma de 21 986 lei achitată la data 22.12.2016.</w:t>
      </w:r>
    </w:p>
    <w:p w:rsidR="00FA3E36" w14:paraId="4229962D" w14:textId="77777777">
      <w:pPr>
        <w:ind w:firstLine="360"/>
        <w:jc w:val="both"/>
      </w:pPr>
      <w:r>
        <w:t>Pentru a-şi acoperi formal propria culpă pârâta, în sensul ca a încălcat prevederile Legii 213/2015 coroborat cu art. 19 din Legea 503/2004, acesta emite decizia pentru o diferenţa de 12833 lei cu o motivaţie lipsita de orice suport probatoriu.</w:t>
      </w:r>
    </w:p>
    <w:p w:rsidR="00FA3E36" w14:paraId="50731044" w14:textId="77777777">
      <w:pPr>
        <w:ind w:firstLine="360"/>
        <w:jc w:val="both"/>
      </w:pPr>
      <w:r>
        <w:t>Practic, pârâta nu aduce nici un argument palpabil concret şi susţinut de înscrisuri, respectiv o contraexpertiză, având în vedere că expertiza efectuată şi aflată în posesia acesteia nu a fost contestată, motivaţiile aduse în a stabili diferenţa de despăgubire fiind aleatorii şi nesusţinute.</w:t>
      </w:r>
    </w:p>
    <w:p w:rsidR="00FA3E36" w14:paraId="6943EB53" w14:textId="77777777">
      <w:pPr>
        <w:ind w:firstLine="360"/>
        <w:jc w:val="both"/>
      </w:pPr>
      <w:r>
        <w:t>A solicitat reclamanta admiterea contestaţiei, anularea deciziei contestate şi obligarea pârâtei la emiterea unei noi decizii pentru suma de 66042 lei reprezentând diferenţa neachitată din despăgubirea ce i se cuvine cu titlu de daună urmare evenimentului asigurat de reclamantă conform expertizei administrate şi necontestate de susnumită.</w:t>
      </w:r>
    </w:p>
    <w:p w:rsidR="00FA3E36" w14:paraId="6DA7BB32" w14:textId="77777777">
      <w:pPr>
        <w:ind w:firstLine="360"/>
        <w:jc w:val="both"/>
      </w:pPr>
      <w:r>
        <w:t>Argumentele înscrise in decizia contestată sunt lipsite de orice fundament ştiinţific si lipsite de obiectivitate.</w:t>
      </w:r>
    </w:p>
    <w:p w:rsidR="00FA3E36" w14:paraId="56C56A85" w14:textId="77777777">
      <w:pPr>
        <w:ind w:firstLine="360"/>
        <w:jc w:val="both"/>
      </w:pPr>
      <w:r>
        <w:t>În dovedire a arătat reclamanta că înţelege să se folosească de proba cu înscrisurile ataşate şi totodată să se pună în vedere pârâtei sa depună la dosarul cauzei întregul dosar de daună ce a stat la baza emiterii deciziei contestate şi a plaţii parţiale efectuate către reclamantă în anul 2016.</w:t>
      </w:r>
    </w:p>
    <w:p w:rsidR="00FA3E36" w14:paraId="6E9445CF" w14:textId="77777777">
      <w:pPr>
        <w:ind w:firstLine="360"/>
        <w:jc w:val="both"/>
        <w:rPr>
          <w:rStyle w:val="Fontdeparagrafimplicit"/>
          <w:b/>
        </w:rPr>
      </w:pPr>
      <w:r>
        <w:t>În drept, reclamanta şi-a întemeiat acţiunea pe dispoziţiile Legii 213/2015 raportat la art. 19 din Legea 503/2004.</w:t>
      </w:r>
    </w:p>
    <w:p w:rsidR="00FA3E36" w14:paraId="4946F9B4" w14:textId="77777777">
      <w:pPr>
        <w:jc w:val="both"/>
        <w:rPr>
          <w:rStyle w:val="Fontdeparagrafimplicit"/>
        </w:rPr>
      </w:pPr>
    </w:p>
    <w:p w:rsidR="00FA3E36" w14:paraId="42E6509F" w14:textId="77777777">
      <w:pPr>
        <w:pStyle w:val="Listparagraf"/>
        <w:numPr>
          <w:ilvl w:val="0"/>
          <w:numId w:val="1"/>
        </w:numPr>
        <w:spacing w:after="0" w:line="240" w:lineRule="auto"/>
        <w:jc w:val="both"/>
        <w:rPr>
          <w:rStyle w:val="Fontdeparagrafimplicit"/>
          <w:rFonts w:ascii="Times New Roman" w:hAnsi="Times New Roman"/>
          <w:b/>
          <w:sz w:val="24"/>
        </w:rPr>
      </w:pPr>
      <w:r>
        <w:rPr>
          <w:rStyle w:val="Fontdeparagrafimplicit"/>
          <w:rFonts w:ascii="Times New Roman" w:hAnsi="Times New Roman"/>
          <w:b/>
          <w:sz w:val="24"/>
        </w:rPr>
        <w:t>Apărările părţii adverse</w:t>
      </w:r>
    </w:p>
    <w:p w:rsidR="00FA3E36" w14:paraId="18AFC2A0" w14:textId="6178BCBA">
      <w:pPr>
        <w:ind w:firstLine="360"/>
        <w:jc w:val="both"/>
      </w:pPr>
      <w:r>
        <w:t xml:space="preserve">La data de 28.03.2019, pârâtul Fondul de Garantare a Asiguraţilor a depus întâmpinare, prin care a solicitat ca prin hotărârea ce urmează a fi pronunţată sa se dispună respingerea contestaţiei formulată de reclamanta de </w:t>
      </w:r>
      <w:r w:rsidR="008D0A48">
        <w:t xml:space="preserve">1 </w:t>
      </w:r>
      <w:r>
        <w:t xml:space="preserve"> ca nefondată, având în vedere următoarele considerente de fapt si de drept.</w:t>
      </w:r>
    </w:p>
    <w:p w:rsidR="00FA3E36" w14:paraId="29CA25F4" w14:textId="0E3EB1AD">
      <w:pPr>
        <w:ind w:firstLine="360"/>
        <w:jc w:val="both"/>
      </w:pPr>
      <w:r>
        <w:t xml:space="preserve">Reclamanta a înţeles sa formuleze contestaţie împotriva deciziei nr. </w:t>
      </w:r>
      <w:r w:rsidR="00E007E2">
        <w:t xml:space="preserve">6  </w:t>
      </w:r>
      <w:r>
        <w:t>emisa de pârât (sens in care a solicitat instanţei sa dispună menţionarea in sistemul Ecris), înţelegând sa critice decizia sub aspectul calculului privind despăgubirea, însă, în cele ce urmează a fi prezentate a explicat pârâtul instanţei de judecată modalitatea în care FGA a ajuns la suma în cuantum de 30.619 lei reprezentând contravaloarea reparaţiilor imobilului avariat.</w:t>
      </w:r>
    </w:p>
    <w:p w:rsidR="00FA3E36" w14:paraId="4B1ED376" w14:textId="278EF0B2">
      <w:pPr>
        <w:ind w:firstLine="360"/>
        <w:jc w:val="both"/>
      </w:pPr>
      <w:r>
        <w:t xml:space="preserve">În fapt, la data de </w:t>
      </w:r>
      <w:r w:rsidR="00CB41C5">
        <w:t>......12.2013</w:t>
      </w:r>
      <w:r>
        <w:t>, a avut loc un incendiu la imobilul situat in co</w:t>
      </w:r>
      <w:r w:rsidR="00AA70C2">
        <w:t>m</w:t>
      </w:r>
      <w:r>
        <w:t xml:space="preserve">. </w:t>
      </w:r>
      <w:r w:rsidR="00E007E2">
        <w:t xml:space="preserve">P......... </w:t>
      </w:r>
      <w:r>
        <w:t xml:space="preserve">, sat </w:t>
      </w:r>
      <w:r w:rsidR="00E007E2">
        <w:t xml:space="preserve">S............ </w:t>
      </w:r>
      <w:r>
        <w:t xml:space="preserve">, judeţ </w:t>
      </w:r>
      <w:r w:rsidR="00E007E2">
        <w:t xml:space="preserve">........ </w:t>
      </w:r>
      <w:r>
        <w:t xml:space="preserve"> împrejurarea determinanta a incendiului constând in „siguranţe fuzibile supradimensionate", fiind întocmit in acest sens de către Inspectoratul pentru Situaţii de Urgenta </w:t>
      </w:r>
      <w:r w:rsidR="00E007E2">
        <w:t xml:space="preserve">........ </w:t>
      </w:r>
      <w:r>
        <w:t xml:space="preserve">, Subunitatea Detaşamentul </w:t>
      </w:r>
      <w:r w:rsidR="00E007E2">
        <w:t xml:space="preserve">S............ </w:t>
      </w:r>
      <w:r>
        <w:t xml:space="preserve"> procesul verbal de intervenţie nr. </w:t>
      </w:r>
      <w:r w:rsidR="00E007E2">
        <w:t xml:space="preserve">7 </w:t>
      </w:r>
      <w:r>
        <w:t xml:space="preserve">din </w:t>
      </w:r>
      <w:r w:rsidR="00CB41C5">
        <w:t>......12.2013</w:t>
      </w:r>
      <w:r>
        <w:t>. Imobilul in discuţie avea emisa Poliţa de Asigurare a Locuinţei si Conţinutului „</w:t>
      </w:r>
      <w:r w:rsidR="00CA459C">
        <w:t xml:space="preserve">                   </w:t>
      </w:r>
      <w:r>
        <w:t xml:space="preserve">" emisa de S.C. ASIGURARE REASIGURARE </w:t>
      </w:r>
      <w:r w:rsidR="00CA459C">
        <w:t xml:space="preserve">AAA </w:t>
      </w:r>
      <w:r>
        <w:t xml:space="preserve"> S.A. cu valabilitate in perioada 30.06.2013-17.08.2014. Urmare a acestui eveniment si, in raport de poliţa emisa de asigurătorul S.C. ASIGURARE REASIGURARE </w:t>
      </w:r>
      <w:r w:rsidR="00CA459C">
        <w:t xml:space="preserve">AAA </w:t>
      </w:r>
      <w:r>
        <w:t xml:space="preserve"> S.A. a fost deschis dosarul de dauna numărul </w:t>
      </w:r>
      <w:r w:rsidR="00E007E2">
        <w:t>8</w:t>
      </w:r>
      <w:r>
        <w:t xml:space="preserve"> (număr unic FGA </w:t>
      </w:r>
      <w:r w:rsidR="00E007E2">
        <w:t>9</w:t>
      </w:r>
      <w:r>
        <w:t>).</w:t>
      </w:r>
    </w:p>
    <w:p w:rsidR="00FA3E36" w14:paraId="78A33D31" w14:textId="76E9DB5A">
      <w:pPr>
        <w:ind w:firstLine="360"/>
        <w:jc w:val="both"/>
      </w:pPr>
      <w:r>
        <w:t xml:space="preserve">De asemenea, în cuprinsul deciziei s-a făcut precizarea expresă asupra faptului că, în baza cererii de plată numărul </w:t>
      </w:r>
      <w:r w:rsidR="00E007E2">
        <w:t>10</w:t>
      </w:r>
      <w:r>
        <w:t xml:space="preserve">/26.02.2016 depusa de </w:t>
      </w:r>
      <w:r w:rsidR="008D0A48">
        <w:t xml:space="preserve">1 </w:t>
      </w:r>
      <w:r>
        <w:t xml:space="preserve">, dosarul de daună cu numărul unic </w:t>
      </w:r>
      <w:r w:rsidR="00E007E2">
        <w:t>9</w:t>
      </w:r>
      <w:r>
        <w:t xml:space="preserve"> a fost analizat de către Comisia Specială din data de 22.12.2016, sens în care s-a dispus aprobarea la plată a sumei în cuantum de 21.986 lei cu titlu de despăgubire. În acest sens în data de 28.12.2016 petenta a fost despăgubită.</w:t>
      </w:r>
    </w:p>
    <w:p w:rsidR="00FA3E36" w14:paraId="296F6D26" w14:textId="77777777">
      <w:pPr>
        <w:ind w:firstLine="360"/>
        <w:jc w:val="both"/>
      </w:pPr>
      <w:r>
        <w:t>Pe de alta parte, în data de 15.02.2017, petenta a înţeles sa formuleze o noua solicitare către FGA prin care a solicitat suma în cuantum de 2.000 Euro cu titlu de despăgubiri pentru bunurile mobile şi suma în cuantum de 20.000 Euro cu titlu de despăgubiri pentru bunul imobil depunând în susţinere o serie de înscrisuri noi ce nu au fost avute in vedere la momentul analizării iniţiale a dosarului de daună. In acest sens, Comisia Specială a dispus reanalizarea dosarului de daună situaţie în care a fost emisă decizia ce face obiectul prezentului litigiu.</w:t>
      </w:r>
    </w:p>
    <w:p w:rsidR="00FA3E36" w14:paraId="32BB1775" w14:textId="77777777">
      <w:pPr>
        <w:ind w:firstLine="360"/>
        <w:jc w:val="both"/>
      </w:pPr>
      <w:r>
        <w:t xml:space="preserve">In cuprinsul deciziei în mod corect au fost aduse in discuţie o serie de aspecte, după cum urmează: In urma incendiului puternic care a afectat imobilul asigurat, elementele structurale care au rămas sunt o parte din pereţii de cărămida si o mica parte din grinzile de lemn ce </w:t>
      </w:r>
      <w:r>
        <w:t>compun acoperişul. Pereţii de cărămida care au rămas in poziţie verticala au un grad de afectare foarte mare, in proporţie de aproximativ 80%. In acest caz pereţii de cărămida ramaşi in urma incendiului nu mai prezintă siguranţa in exploatare si din punct de vedere tehnic s-ar impune demolarea acestora. In acest caz, daca s-ar efectua inclusiv lucrările de demolare a pereţilor din cărămidă, se impune in mod cert reconstruirea in totalitate a imobilului.</w:t>
      </w:r>
    </w:p>
    <w:p w:rsidR="00FA3E36" w14:paraId="4E7FB660" w14:textId="77777777">
      <w:pPr>
        <w:ind w:firstLine="360"/>
        <w:jc w:val="both"/>
      </w:pPr>
      <w:r>
        <w:t>In cuprinsul notei de constatare întocmita de reprezentantul asigurătorului au fost înscrise elementele de construcţie avariate precum si suprafeţele acestora. Ulterior, reprezentantul asigurătorului a întocmit un deviz estimativ de reparaţii. Acest deviz de reparaţii a avut in vedere strict doar lucrările de reparaţii cuprinzând elementele avariate si suprafeţele acestora înscrise in nota de constatare. Nu s-a ţinut cont de faptul ca pereţii de cărămida ramaşi precum si elementele de acoperiş nu mai pot fi refăcute si se impune demolarea. Ca atare, s-a opinat ca pentru readucerea imobilului in starea de dinainte de incendiu s-ar impune reconstruirea acestuia.</w:t>
      </w:r>
    </w:p>
    <w:p w:rsidR="00FA3E36" w14:paraId="148456AC" w14:textId="77777777">
      <w:pPr>
        <w:ind w:firstLine="360"/>
        <w:jc w:val="both"/>
      </w:pPr>
      <w:r>
        <w:t>Pentru a stabili o valoare corecta a despăgubirii pentru imobilul afectat, este necesar a se diminua valoarea de reconstrucţie cu valoarea uzurii.</w:t>
      </w:r>
    </w:p>
    <w:p w:rsidR="00FA3E36" w14:paraId="33FDB723" w14:textId="77777777">
      <w:pPr>
        <w:ind w:firstLine="360"/>
        <w:jc w:val="both"/>
      </w:pPr>
      <w:r>
        <w:t>Pentru stabilirea valorii imobilului la data producerii incendiului se vor avea în vedere următoarele:</w:t>
      </w:r>
    </w:p>
    <w:p w:rsidR="00FA3E36" w14:paraId="27678B77" w14:textId="2D239593">
      <w:pPr>
        <w:ind w:firstLine="360"/>
        <w:jc w:val="both"/>
      </w:pPr>
      <w:r>
        <w:t>-</w:t>
      </w:r>
      <w:r>
        <w:tab/>
        <w:t xml:space="preserve">a conform declaraţiei numitei </w:t>
      </w:r>
      <w:r w:rsidR="00E007E2">
        <w:t>1</w:t>
      </w:r>
      <w:r>
        <w:t>, in urma incendiului a fost afectata exclusiv construcţia din cărămida</w:t>
      </w:r>
    </w:p>
    <w:p w:rsidR="00FA3E36" w14:paraId="4A5E0E3A" w14:textId="472846A0">
      <w:pPr>
        <w:ind w:firstLine="360"/>
        <w:jc w:val="both"/>
      </w:pPr>
      <w:r>
        <w:t>-</w:t>
      </w:r>
      <w:r>
        <w:tab/>
        <w:t>b conform adresei emisa de Primăria co</w:t>
      </w:r>
      <w:r w:rsidR="00E007E2">
        <w:t>m</w:t>
      </w:r>
      <w:r>
        <w:t xml:space="preserve">. </w:t>
      </w:r>
      <w:r w:rsidR="00E007E2">
        <w:t xml:space="preserve">P......... </w:t>
      </w:r>
      <w:r>
        <w:t xml:space="preserve"> casa din cărămida are o suprafaţa de 44 mp si a fost edificata in anul 1972</w:t>
      </w:r>
    </w:p>
    <w:p w:rsidR="00FA3E36" w14:paraId="1554912D" w14:textId="04E238A8">
      <w:pPr>
        <w:ind w:firstLine="360"/>
        <w:jc w:val="both"/>
      </w:pPr>
      <w:r>
        <w:t>-</w:t>
      </w:r>
      <w:r>
        <w:tab/>
        <w:t xml:space="preserve">c nota de constatare întocmita de reprezentantul asigurătorului, care a fost semnata si de numita </w:t>
      </w:r>
      <w:r w:rsidR="00E007E2">
        <w:t>1</w:t>
      </w:r>
      <w:r>
        <w:t>, cuprinde o schiţa a clădirii afectate unde sunt înscrise cotele rezultate din măsurătorile efectuate la fata locului. In acest caz au fost evidenţiate dimensiunile fizice ale imobilului afectat de incendiu. Din analiza acestor înscrisuri rezultă că suprafaţa imobilului din cărămida afectat de incendiu este de 44,48 mp.</w:t>
      </w:r>
    </w:p>
    <w:p w:rsidR="00FA3E36" w14:paraId="68523779" w14:textId="77777777">
      <w:pPr>
        <w:ind w:firstLine="360"/>
        <w:jc w:val="both"/>
      </w:pPr>
      <w:r>
        <w:t>-</w:t>
      </w:r>
      <w:r>
        <w:tab/>
        <w:t>d pentru stabilirea gradului de uzura se va avea în vedere "Ghid cuprinzând coeficienţii de uzura fizica la mijloace fixe din grupa 1 Clădiri, indicativ P 135 - 95 aprobat prin Ordinul MLPAT 2/N/20.01.1995"</w:t>
      </w:r>
    </w:p>
    <w:p w:rsidR="00FA3E36" w14:paraId="35270BC7" w14:textId="77777777">
      <w:pPr>
        <w:ind w:firstLine="360"/>
        <w:jc w:val="both"/>
      </w:pPr>
      <w:r>
        <w:t xml:space="preserve"> -</w:t>
      </w:r>
      <w:r>
        <w:tab/>
        <w:t>e pentru stabilirea costului per mp se va utiliza "îndreptar tehnic pentru evaluarea imediata, la preţul zilei, a costurilor elementelor si construcţiilor de locuinţe". In cazul de fata se va avea in vedere fisa nr. 56 pag. 167 din îndreptar.</w:t>
      </w:r>
    </w:p>
    <w:p w:rsidR="00FA3E36" w14:paraId="35FB9D92" w14:textId="76525006">
      <w:pPr>
        <w:ind w:firstLine="360"/>
        <w:jc w:val="both"/>
      </w:pPr>
      <w:r>
        <w:t>-</w:t>
      </w:r>
      <w:r>
        <w:tab/>
        <w:t xml:space="preserve">f conform Proces Verbal de Intervenţie întocmit de ISU </w:t>
      </w:r>
      <w:r w:rsidR="00E007E2">
        <w:t xml:space="preserve">........ </w:t>
      </w:r>
      <w:r>
        <w:t xml:space="preserve"> - Subunitatea Detaşamentului </w:t>
      </w:r>
      <w:r w:rsidR="00E007E2">
        <w:t xml:space="preserve">S............ </w:t>
      </w:r>
      <w:r>
        <w:t>, sursa probabila a incendiului a fost efectul termic al curentului electric iar împrejurarea determinanta a fost utilizarea de siguranţe fuzibile supradimensionate. In acest caz valoarea imobilului la data incendiului va fi diminuata cu valoarea instalaţiei electrice care a cauzat producerea incendiului, respectiv branşament electric, cabluri/conductori, aparate electrice si corpuri iluminat.</w:t>
      </w:r>
    </w:p>
    <w:p w:rsidR="00FA3E36" w14:paraId="10D8C06F" w14:textId="77777777">
      <w:pPr>
        <w:ind w:firstLine="360"/>
        <w:jc w:val="both"/>
      </w:pPr>
      <w:r>
        <w:t>Pe baza considerentelor expuse mai sus contravaloarea despăgubirii acordată pentru imobilul afectat de incendiu este de 30.619 lei.</w:t>
      </w:r>
    </w:p>
    <w:p w:rsidR="00FA3E36" w14:paraId="665B265B" w14:textId="59E04C13">
      <w:pPr>
        <w:ind w:firstLine="360"/>
        <w:jc w:val="both"/>
      </w:pPr>
      <w:r>
        <w:t xml:space="preserve">Nota de constatare a avariilor imobilului a fost întocmită de reprezentantul asigurătorului în data de 03.04.2014, deci la trei luni si jumătate de la data producerii incendiului. Ca urmare a acestui fapt, pentru bunurile existente in imobil nu s-a putut preciza un inventar al acestora. In procesul verbal de constatare pentru bunurile distruse in incendiu au fost înscrise 6 poziţii ce cuprind o prezentare succintă al denumirii de bunuri ce ar fi fost afectate de incendiu. De altfel si Procesul Verbal de Intervenţie întocmit de ISU </w:t>
      </w:r>
      <w:r w:rsidR="00E007E2">
        <w:t xml:space="preserve">........ </w:t>
      </w:r>
      <w:r>
        <w:t xml:space="preserve"> - Subunitatea Detaşamentului </w:t>
      </w:r>
      <w:r w:rsidR="00E007E2">
        <w:t xml:space="preserve">S............ </w:t>
      </w:r>
      <w:r>
        <w:t xml:space="preserve"> menţionează la modul generic "bunuri gospodăreşti" fără a le preciza in mod distinct. Din analiza planşelor foto efectuate la locul incendiului se poate observa cu certitudine un tub de televizor. Alte resturi ale bunurilor ce au ars in incendiu nu se pot identifica. întrucât la instrumentarea dosarului nu s-a avut in vedere plata de despăgubiri pentru conţinut consideram ca se impune acordarea de indemnizaţie si pentru bunurile gospodăreşti. In acest caz s-a întocmit o lista cu bunurile enumerate in nota de constatare. Contravaloarea despăgubirii pentru bunurile tip conţinut se poate aproxima la o suma de 4.200 lei conform tabelului prezentat mai jos</w:t>
      </w:r>
    </w:p>
    <w:p w:rsidR="00FA3E36" w14:paraId="51DB6E90" w14:textId="77777777">
      <w:pPr>
        <w:ind w:firstLine="360"/>
        <w:jc w:val="both"/>
      </w:pPr>
      <w:r>
        <w:t>Se impune precizarea faptului ca, petenta nu a depus o lista cu bunurile distruse si nici alte înscrisuri care sa dovedească întinderea prejudiciului sau cuantificarea acestuia. Solicitarea de a i se acorda o despăgubire in cuantum de 2.000 Euro nu este susţinută de niciun înscris doveditor.</w:t>
      </w:r>
    </w:p>
    <w:p w:rsidR="00FA3E36" w14:paraId="6A2D6DAA" w14:textId="77777777">
      <w:pPr>
        <w:ind w:firstLine="360"/>
        <w:jc w:val="both"/>
      </w:pPr>
      <w:r>
        <w:t>Practic a fost aprobată la plata suma in cuantum de 30.619 lei pentru bunul imobil (casa cărămida) şi suma in cuantum de 4.200 lei reprezentând contravaloare bunuri mobile.</w:t>
      </w:r>
    </w:p>
    <w:p w:rsidR="00FA3E36" w14:paraId="6BD50D6A" w14:textId="77777777">
      <w:pPr>
        <w:ind w:firstLine="360"/>
        <w:jc w:val="both"/>
      </w:pPr>
      <w:r>
        <w:t>Pe de alta parte, în cuprinsul contestaţiei reclamanta menţionează faptul că, pârâta nu a avut în vedere raportul de expertiza tehnică şi evaluare asigurare dovezi sens in care a învederat următoarele:</w:t>
      </w:r>
    </w:p>
    <w:p w:rsidR="00FA3E36" w14:paraId="6770829B" w14:textId="790D0F99">
      <w:pPr>
        <w:ind w:firstLine="360"/>
        <w:jc w:val="both"/>
      </w:pPr>
      <w:r>
        <w:t xml:space="preserve">Raportul de expertiză tehnică şi asigurare dovezi a fost întocmit asupra unui alt imobil si nu asupra imobilului ce face obiectul prezentului dosar de daună. Astfel, din adeverinţa emisă de domnul primar din cadrul </w:t>
      </w:r>
      <w:r w:rsidR="00E007E2">
        <w:t xml:space="preserve">P......... </w:t>
      </w:r>
      <w:r>
        <w:t>-</w:t>
      </w:r>
      <w:r w:rsidR="00E007E2">
        <w:t xml:space="preserve">........ </w:t>
      </w:r>
      <w:r>
        <w:t xml:space="preserve"> rezulta fără doar şi poate faptul că la poziţia de rol nr </w:t>
      </w:r>
      <w:r w:rsidR="00CA459C">
        <w:t xml:space="preserve"> </w:t>
      </w:r>
      <w:r>
        <w:t xml:space="preserve">, vol. 1, comuna </w:t>
      </w:r>
      <w:r w:rsidR="00E007E2">
        <w:t xml:space="preserve">P......... </w:t>
      </w:r>
      <w:r>
        <w:t xml:space="preserve">, sat </w:t>
      </w:r>
      <w:r w:rsidR="00E007E2">
        <w:t xml:space="preserve">S............ </w:t>
      </w:r>
      <w:r>
        <w:t xml:space="preserve">, judeţ </w:t>
      </w:r>
      <w:r w:rsidR="00E007E2">
        <w:t xml:space="preserve">........ </w:t>
      </w:r>
      <w:r>
        <w:t xml:space="preserve"> se regăsesc următoarele construcţii:</w:t>
      </w:r>
    </w:p>
    <w:p w:rsidR="00FA3E36" w14:paraId="624F721D" w14:textId="77777777">
      <w:pPr>
        <w:ind w:firstLine="360"/>
        <w:jc w:val="both"/>
      </w:pPr>
      <w:r>
        <w:t>1.1.Casa de locuint in suprafaţa de 66 mp din bârna construita in anul 1969;</w:t>
      </w:r>
    </w:p>
    <w:p w:rsidR="00FA3E36" w14:paraId="1CD99B67" w14:textId="77777777">
      <w:pPr>
        <w:ind w:firstLine="360"/>
        <w:jc w:val="both"/>
      </w:pPr>
      <w:r>
        <w:t>1.2.Casa cu suprafaţa de 43 mp din cărămida construita in anul 1972.</w:t>
      </w:r>
    </w:p>
    <w:p w:rsidR="00FA3E36" w14:paraId="632B823A" w14:textId="63D3EF8C">
      <w:pPr>
        <w:ind w:firstLine="360"/>
        <w:jc w:val="both"/>
      </w:pPr>
      <w:r>
        <w:t xml:space="preserve">Mai mult decât atât, din declaraţia completată chiar de către reclamantă în data de 30.12.2014 rezultă faptul că, incendiul s-a produs exclusiv la locuinţa din cărămidă, aceasta deţinând poliţa de asigurare tip </w:t>
      </w:r>
      <w:r w:rsidR="00CA459C">
        <w:t xml:space="preserve">               </w:t>
      </w:r>
      <w:r>
        <w:t>.</w:t>
      </w:r>
    </w:p>
    <w:p w:rsidR="00FA3E36" w14:paraId="172FD3AC" w14:textId="586D50A6">
      <w:pPr>
        <w:ind w:firstLine="360"/>
        <w:jc w:val="both"/>
      </w:pPr>
      <w:r>
        <w:t xml:space="preserve"> Acest fapt este demonstrat prin înscrisul denumit „proces verbal de constatare" semnat de către reprezentanţii </w:t>
      </w:r>
      <w:r w:rsidR="00CA459C">
        <w:t xml:space="preserve">AAA </w:t>
      </w:r>
      <w:r>
        <w:t xml:space="preserve"> si reclamanta din prezenta cauză, proces verbal ce cuprinde schiţele clădirii distruse in urma incendiului. In cadrul acestui înscris sunt menţionate suprafeţele fiecărei camere, aşa cum se poate observa din printscreen-ul de mai jos. Prin urmare, din adunarea acestor suprafeţe rezultă fără doar şi poate imobilul avariat/distrus în urma evenimentului.</w:t>
      </w:r>
    </w:p>
    <w:p w:rsidR="00FA3E36" w14:paraId="20D836D7" w14:textId="77777777">
      <w:pPr>
        <w:ind w:firstLine="360"/>
        <w:jc w:val="both"/>
      </w:pPr>
      <w:r>
        <w:t>Ca atare, raportul de expertiză tehnică de evaluare pentru asigurare dovezi nu a fost întocmit asupra bunului ce face obiectul prezentului dosar de daună şi nu ar fi putut fi întocmit asupra unui bun ce a fost avariat cu 5 ani în urmă.</w:t>
      </w:r>
    </w:p>
    <w:p w:rsidR="00FA3E36" w14:paraId="21BCA947" w14:textId="16875A20">
      <w:pPr>
        <w:ind w:firstLine="360"/>
        <w:jc w:val="both"/>
      </w:pPr>
      <w:r>
        <w:t xml:space="preserve">Pe de altă parte, această procedură de asigurare dovezi se foloseşte ca procedură specială pentru a preveni dispariţia unui mijloc de probă şi pentru a-l conserva. Ori, în speţa prezentă înscrisul depus de petentă reprezentând raportul de expertiză tehnică şi evaluare pentru asigurare dovezi nu a fost întocmit asupra bunului distrus în urma evenimentului din data de </w:t>
      </w:r>
      <w:r w:rsidR="00CB41C5">
        <w:t>......12.2013</w:t>
      </w:r>
      <w:r>
        <w:t>.</w:t>
      </w:r>
    </w:p>
    <w:p w:rsidR="00FA3E36" w14:paraId="5DB6D418" w14:textId="77777777">
      <w:pPr>
        <w:ind w:firstLine="360"/>
        <w:jc w:val="both"/>
      </w:pPr>
      <w:r>
        <w:t>Pe de altă parte, a învederat  faptul că, F.G.A. instrumentează dosarele de daună, analizează cererile de plata şi înscrisurile anexate acestora în conformitate cu dispoziţiile art. 13 alin. 3 din Legea 213/2015 "În vederea efectuării plăţii sumelor cuvenite creditorilor de asigurări, Fondul procedează la verificarea dosarelor de daună şi a creanţelor de asigurări înregistrate în evidenţele sale, ţinând seama de normele aplicabile în materie şi de condiţiile de asigurare generale şi specifice prevăzute în contractele de asigurare încheiate cu asigurătorul faţă de care s-a stabilit starea de insolvenţă." De asemenea art. 21 alin. 2 din Norma ASF nr.16/2015 reiterează acest aspect şi vine în completare "În vederea efectuării plăţii sumelor cuvenite creditorilor de asigurări, Fondul procedează la verificarea documentelor justificative anexate de petent în susţinerea cererii de plată, a dosarelor de daună şi a evidenţelor preluate de la asigurător, conform art. 23 alin. (1) din Legea nr. 503/2004, republicată, cu modificările ulterioare.".</w:t>
      </w:r>
    </w:p>
    <w:p w:rsidR="00FA3E36" w14:paraId="49F38B9D" w14:textId="77777777">
      <w:pPr>
        <w:ind w:firstLine="360"/>
        <w:jc w:val="both"/>
      </w:pPr>
      <w:r>
        <w:t>Totodată, a învederat pârâtul faptul că, nu s-ar putea susţine că F.G.A. trebuie să se limiteze la plata sumelor ce reies din documentele depuse de petenţi, fără să aibă posibilitatea de a cenzura şi de a analiza distinct fiecare dosar in parte, principalul scop al pârâtului fiind acela de garantare a creditorilor de asigurare, instituind in sarcina pârâtului obligaţia expresă de a acţiona profesionist pentru eficientizarea fondurilor publice pe care le gestionează deci nu se poate primi varianta de aprobare implicită la plata oricăror sume în baza unor documente eliberate de unele unităţi de specialitate.</w:t>
      </w:r>
    </w:p>
    <w:p w:rsidR="00FA3E36" w14:paraId="1F3FD948" w14:textId="77777777">
      <w:pPr>
        <w:ind w:firstLine="360"/>
        <w:jc w:val="both"/>
      </w:pPr>
      <w:r>
        <w:t xml:space="preserve">Pentru îndeplinirea scopului şi atribuţiilor sale legale, Fondul de garantare a asiguraţilor nu preia ope legis obligaţiile unui asigurător în faliment, nu este succesorul în drepturi şi obligaţii al unui asigurător în faliment. A subliniat pârâtul, totodată, faptul că, Fondul de </w:t>
      </w:r>
      <w:r>
        <w:t>garantare a asiguraţilor nu plăteşte despăgubiri pentru asigurătorul in faliment, aşa cum nici asigurătorul în faliment nu plăteşte prin Fondul de garantare a asiguraţilor. Totodată, trebuie reţinut că Fondul de garantare a asiguraţilor acoperă creanţele de asigurări în virtutea principiului protecţiei consumatorilor produselor şi serviciilor de asigurări, iar nu ca obligaţii proprii ale pârâtului FGA, obligaţia fiind născută din raportul contractual al asiguratului cu asigurătorul. FGA nu plăteşte în baza unei răspunderi contractuale, FGA neavând nici un raport contractual cu creditorul de asigurare.</w:t>
      </w:r>
    </w:p>
    <w:p w:rsidR="00FA3E36" w14:paraId="6F7F716D" w14:textId="01FB88D4">
      <w:pPr>
        <w:ind w:firstLine="360"/>
        <w:jc w:val="both"/>
      </w:pPr>
      <w:r>
        <w:t xml:space="preserve"> Faţă de cele menţionate şi expuse mai sus prin prezenta întâmpinare, a solicitat pârâtul instanţei respingerea cererii de chemare in judecata, ca nefondată, menţinerea Deciziei numărul </w:t>
      </w:r>
      <w:r w:rsidR="00E007E2">
        <w:t xml:space="preserve">6 </w:t>
      </w:r>
      <w:r>
        <w:t xml:space="preserve">/11.02.2019 a FGA, ca fiind legală şi temeinică şi respingerea cererii privind solicitarea cheltuielilor de judecată solicitate. </w:t>
      </w:r>
    </w:p>
    <w:p w:rsidR="00FA3E36" w14:paraId="072F4D60" w14:textId="77777777">
      <w:pPr>
        <w:ind w:firstLine="360"/>
        <w:jc w:val="both"/>
      </w:pPr>
      <w:r>
        <w:t>În drept, pârâtul a invocat dispoziţiile art. 205 din Codul de procedură civilă, prev. Legii 213/2015, a Normei ASF nr. 16/2015.</w:t>
      </w:r>
    </w:p>
    <w:p w:rsidR="00FA3E36" w14:paraId="3CB80935" w14:textId="77777777">
      <w:pPr>
        <w:ind w:firstLine="360"/>
        <w:jc w:val="both"/>
      </w:pPr>
      <w:r>
        <w:t>In probaţiune, a solicitat pârâtul încuviinţarea probei cu înscrisuri, sens în care, înţelege sa ataşeze prezentei întâmpinări următoarele:</w:t>
      </w:r>
    </w:p>
    <w:p w:rsidR="00FA3E36" w14:paraId="7B460BF8" w14:textId="4AA80A9B">
      <w:pPr>
        <w:pStyle w:val="Listparagraf"/>
        <w:numPr>
          <w:ilvl w:val="0"/>
          <w:numId w:val="2"/>
        </w:numPr>
        <w:spacing w:after="0" w:line="240" w:lineRule="auto"/>
        <w:jc w:val="both"/>
        <w:rPr>
          <w:rStyle w:val="Fontdeparagrafimplicit"/>
          <w:rFonts w:ascii="Times New Roman" w:hAnsi="Times New Roman"/>
          <w:sz w:val="24"/>
        </w:rPr>
      </w:pPr>
      <w:r>
        <w:rPr>
          <w:rStyle w:val="Fontdeparagrafimplicit"/>
          <w:rFonts w:ascii="Times New Roman" w:hAnsi="Times New Roman"/>
          <w:sz w:val="24"/>
        </w:rPr>
        <w:t xml:space="preserve">documentaţia avuta in vedere la emiterea deciziei respectiv dosarul de dauna </w:t>
      </w:r>
      <w:r w:rsidR="00E007E2">
        <w:rPr>
          <w:rStyle w:val="Fontdeparagrafimplicit"/>
          <w:rFonts w:ascii="Times New Roman" w:hAnsi="Times New Roman"/>
          <w:sz w:val="24"/>
        </w:rPr>
        <w:t>8</w:t>
      </w:r>
      <w:r>
        <w:rPr>
          <w:rStyle w:val="Fontdeparagrafimplicit"/>
          <w:rFonts w:ascii="Times New Roman" w:hAnsi="Times New Roman"/>
          <w:sz w:val="24"/>
        </w:rPr>
        <w:t xml:space="preserve"> (număr unic FGA </w:t>
      </w:r>
      <w:r w:rsidR="00E007E2">
        <w:rPr>
          <w:rStyle w:val="Fontdeparagrafimplicit"/>
          <w:rFonts w:ascii="Times New Roman" w:hAnsi="Times New Roman"/>
          <w:sz w:val="24"/>
        </w:rPr>
        <w:t>9</w:t>
      </w:r>
      <w:r>
        <w:rPr>
          <w:rStyle w:val="Fontdeparagrafimplicit"/>
          <w:rFonts w:ascii="Times New Roman" w:hAnsi="Times New Roman"/>
          <w:sz w:val="24"/>
        </w:rPr>
        <w:t xml:space="preserve">) in 2 (doua) exemplare in vederea comunicării; </w:t>
      </w:r>
    </w:p>
    <w:p w:rsidR="00FA3E36" w14:paraId="49462181" w14:textId="77777777">
      <w:pPr>
        <w:pStyle w:val="Listparagraf"/>
        <w:numPr>
          <w:ilvl w:val="0"/>
          <w:numId w:val="2"/>
        </w:numPr>
        <w:spacing w:after="0" w:line="240" w:lineRule="auto"/>
        <w:jc w:val="both"/>
        <w:rPr>
          <w:rStyle w:val="Fontdeparagrafimplicit"/>
          <w:rFonts w:ascii="Times New Roman" w:hAnsi="Times New Roman"/>
          <w:sz w:val="24"/>
        </w:rPr>
      </w:pPr>
      <w:r>
        <w:rPr>
          <w:rStyle w:val="Fontdeparagrafimplicit"/>
          <w:rFonts w:ascii="Times New Roman" w:hAnsi="Times New Roman"/>
          <w:sz w:val="24"/>
        </w:rPr>
        <w:t>împuternicire reprezentare.</w:t>
      </w:r>
    </w:p>
    <w:p w:rsidR="00FA3E36" w14:paraId="228027CF" w14:textId="77777777">
      <w:pPr>
        <w:ind w:firstLine="360"/>
        <w:jc w:val="both"/>
        <w:rPr>
          <w:rStyle w:val="Fontdeparagrafimplicit"/>
        </w:rPr>
      </w:pPr>
    </w:p>
    <w:p w:rsidR="00FA3E36" w14:paraId="2983F0CA" w14:textId="77777777">
      <w:pPr>
        <w:pStyle w:val="Listparagraf"/>
        <w:numPr>
          <w:ilvl w:val="0"/>
          <w:numId w:val="1"/>
        </w:numPr>
        <w:spacing w:after="0" w:line="240" w:lineRule="auto"/>
        <w:jc w:val="both"/>
        <w:rPr>
          <w:rStyle w:val="Fontdeparagrafimplicit"/>
          <w:rFonts w:ascii="Times New Roman" w:hAnsi="Times New Roman"/>
          <w:b/>
          <w:sz w:val="24"/>
        </w:rPr>
      </w:pPr>
      <w:r>
        <w:rPr>
          <w:rStyle w:val="Fontdeparagrafimplicit"/>
          <w:rFonts w:ascii="Times New Roman" w:hAnsi="Times New Roman"/>
          <w:b/>
          <w:sz w:val="24"/>
        </w:rPr>
        <w:t>Aspecte procedurale</w:t>
      </w:r>
    </w:p>
    <w:p w:rsidR="00FA3E36" w14:paraId="45B93EE3" w14:textId="77777777">
      <w:pPr>
        <w:ind w:firstLine="360"/>
        <w:jc w:val="both"/>
        <w:rPr>
          <w:rStyle w:val="Fontdeparagrafimplicit"/>
        </w:rPr>
      </w:pPr>
    </w:p>
    <w:p w:rsidR="00FA3E36" w14:paraId="6EAE6B92" w14:textId="788B3E0A">
      <w:pPr>
        <w:ind w:firstLine="426"/>
        <w:jc w:val="both"/>
      </w:pPr>
      <w:r>
        <w:t xml:space="preserve">Instanţa a încuviinţat ambelor părţi proba cu înscrisuri, în cadrul căreia a fost depus dosarul de daună nr. </w:t>
      </w:r>
      <w:r w:rsidR="00E007E2">
        <w:t>9</w:t>
      </w:r>
      <w:r>
        <w:t xml:space="preserve"> (număr unic FGA)/ </w:t>
      </w:r>
      <w:r w:rsidR="00E007E2">
        <w:t>8</w:t>
      </w:r>
      <w:r>
        <w:t xml:space="preserve"> (filele 34-120).</w:t>
      </w:r>
    </w:p>
    <w:p w:rsidR="00FA3E36" w14:paraId="3461A977" w14:textId="77777777">
      <w:pPr>
        <w:ind w:firstLine="426"/>
        <w:jc w:val="both"/>
      </w:pPr>
      <w:r>
        <w:t xml:space="preserve"> </w:t>
      </w:r>
    </w:p>
    <w:p w:rsidR="00FA3E36" w14:paraId="21AF0396" w14:textId="77777777">
      <w:pPr>
        <w:ind w:left="360"/>
        <w:jc w:val="both"/>
        <w:rPr>
          <w:rStyle w:val="Fontdeparagrafimplicit"/>
          <w:b/>
        </w:rPr>
      </w:pPr>
      <w:r>
        <w:rPr>
          <w:rStyle w:val="Fontdeparagrafimplicit"/>
          <w:b/>
        </w:rPr>
        <w:t>4. Analiza instanţei de fond</w:t>
      </w:r>
    </w:p>
    <w:p w:rsidR="00FA3E36" w14:paraId="522964A9" w14:textId="77777777">
      <w:pPr>
        <w:ind w:firstLine="567"/>
        <w:jc w:val="both"/>
        <w:rPr>
          <w:rStyle w:val="Fontdeparagrafimplicit"/>
        </w:rPr>
      </w:pPr>
    </w:p>
    <w:p w:rsidR="00FA3E36" w14:paraId="19079910" w14:textId="1553DE8F">
      <w:pPr>
        <w:ind w:firstLine="360"/>
        <w:jc w:val="both"/>
      </w:pPr>
      <w:r>
        <w:t xml:space="preserve">Cu titlu prealabil, Curtea arată că falimentul </w:t>
      </w:r>
      <w:r w:rsidR="00CA459C">
        <w:t xml:space="preserve">AAA </w:t>
      </w:r>
      <w:r>
        <w:t xml:space="preserve"> SA a fost menţinut prin decizia civilă definitivă nr. </w:t>
      </w:r>
      <w:r w:rsidR="00CA459C">
        <w:t xml:space="preserve">            </w:t>
      </w:r>
      <w:r>
        <w:t xml:space="preserve">/28.04.2016, prin care Curtea de Apel </w:t>
      </w:r>
      <w:r w:rsidR="00CA459C">
        <w:t xml:space="preserve"> </w:t>
      </w:r>
      <w:r w:rsidR="00E007E2">
        <w:t xml:space="preserve"> </w:t>
      </w:r>
      <w:r>
        <w:t xml:space="preserve">, Secţia </w:t>
      </w:r>
      <w:r w:rsidR="00CA459C">
        <w:t xml:space="preserve">     </w:t>
      </w:r>
      <w:r>
        <w:t xml:space="preserve">, a respins apelul formulat de societatea de asigurare </w:t>
      </w:r>
      <w:r w:rsidR="00CA459C">
        <w:t xml:space="preserve">AAA </w:t>
      </w:r>
      <w:r>
        <w:t xml:space="preserve"> SA.</w:t>
      </w:r>
    </w:p>
    <w:p w:rsidR="00FA3E36" w14:paraId="5387C358" w14:textId="06E63472">
      <w:pPr>
        <w:ind w:firstLine="360"/>
        <w:jc w:val="both"/>
      </w:pPr>
      <w:r>
        <w:t xml:space="preserve">Fondul de Garantare a Asiguraţilor nu este succesor in drepturi si obligaţii al asigurătorului Societatea </w:t>
      </w:r>
      <w:r w:rsidR="00CA459C">
        <w:t xml:space="preserve">AAA </w:t>
      </w:r>
      <w:r>
        <w:t xml:space="preserve"> Asigurare-Reasigurare S.A. si nu datorează despăgubiri prin „efectul legii”. Fondul de garantare acoperă creanţele de asigurări în virtutea principiului protecţiei consumatorilor produselor şi serviciilor de asigurări, iar nu ca obligaţii proprii ale FGA, obligația fiind născută, dacă este cazul, din raportul contractual al asiguratului sau beneficiarul asigurării cu asigurătorul şi, de aceea, plăţile făcute de către Fond reprezintă obligaţii ale asigurătorului falimentar, fiind deci achitate sau acoperite în numele si pe seama acestuia.</w:t>
      </w:r>
    </w:p>
    <w:p w:rsidR="00FA3E36" w14:paraId="1A5DDA37" w14:textId="77777777">
      <w:pPr>
        <w:ind w:firstLine="360"/>
        <w:jc w:val="both"/>
      </w:pPr>
      <w:r>
        <w:t>Astfel, potrivit art. 4 alin. (1) lit. b) din Legea nr. 213/2015, sunt creditori de asigurare:</w:t>
      </w:r>
    </w:p>
    <w:p w:rsidR="00FA3E36" w14:paraId="1D894241" w14:textId="77777777">
      <w:pPr>
        <w:ind w:firstLine="360"/>
        <w:jc w:val="both"/>
      </w:pPr>
      <w:r>
        <w:t>(i)</w:t>
      </w:r>
      <w:r>
        <w:tab/>
        <w:t>persoana asigurată - persoana fizică sau juridică aflată în raporturi juridice cu asigurătorul debitor prin încheierea contractului de asigurare;</w:t>
      </w:r>
    </w:p>
    <w:p w:rsidR="00FA3E36" w14:paraId="35BF7C06" w14:textId="77777777">
      <w:pPr>
        <w:ind w:firstLine="360"/>
        <w:jc w:val="both"/>
      </w:pPr>
      <w:r>
        <w:t>(ii) beneficiarul asigurării - terţa persoană căreia, în baza legii sau a contractului de asigurare, asigurătorul debitor urmează să îi achite sumele cuvenite ca urmare a producerii riscului asigurat;</w:t>
      </w:r>
    </w:p>
    <w:p w:rsidR="00FA3E36" w14:paraId="0E05C5CE" w14:textId="77777777">
      <w:pPr>
        <w:ind w:firstLine="360"/>
        <w:jc w:val="both"/>
      </w:pPr>
      <w:r>
        <w:t>(iii)</w:t>
      </w:r>
      <w:r>
        <w:tab/>
        <w:t>persoană păgubită (în cazul asigurării de răspundere civilă) - persoana îndreptăţită să primească despăgubiri pentru prejudiciul suferit ca urmare a producerii unui risc acoperit printr-un contract de asigurare de răspundere civilă.</w:t>
      </w:r>
    </w:p>
    <w:p w:rsidR="00FA3E36" w14:paraId="0E82183A" w14:textId="549D43DF">
      <w:pPr>
        <w:ind w:firstLine="360"/>
        <w:jc w:val="both"/>
      </w:pPr>
      <w:r>
        <w:t xml:space="preserve">În fapt, la data de </w:t>
      </w:r>
      <w:r w:rsidR="00CB41C5">
        <w:t>......12.2013</w:t>
      </w:r>
      <w:r>
        <w:t xml:space="preserve">, a avut loc un incendiu la imobilul situat in comuna </w:t>
      </w:r>
      <w:r w:rsidR="00E007E2">
        <w:t>P.........</w:t>
      </w:r>
      <w:r>
        <w:t xml:space="preserve">, sat </w:t>
      </w:r>
      <w:r w:rsidR="00E007E2">
        <w:t xml:space="preserve">S............ </w:t>
      </w:r>
      <w:r>
        <w:t xml:space="preserve">, judeţ </w:t>
      </w:r>
      <w:r w:rsidR="00E007E2">
        <w:t xml:space="preserve">........ </w:t>
      </w:r>
      <w:r>
        <w:t xml:space="preserve">, împrejurarea determinanta a incendiului constând în „siguranţe fuzibile supradimensionate", fiind întocmit in acest sens de către Inspectoratul pentru Situaţii de Urgenta </w:t>
      </w:r>
      <w:r w:rsidR="00E007E2">
        <w:t xml:space="preserve">........ </w:t>
      </w:r>
      <w:r>
        <w:t xml:space="preserve">, Subunitatea Detaşamentul </w:t>
      </w:r>
      <w:r w:rsidR="00E007E2">
        <w:t xml:space="preserve">S............ </w:t>
      </w:r>
      <w:r>
        <w:t xml:space="preserve">, procesul verbal de intervenţie nr. </w:t>
      </w:r>
      <w:r w:rsidR="00E007E2">
        <w:t xml:space="preserve">7 </w:t>
      </w:r>
      <w:r>
        <w:t xml:space="preserve">din </w:t>
      </w:r>
      <w:r w:rsidR="00CB41C5">
        <w:t>......12.2013</w:t>
      </w:r>
      <w:r>
        <w:t xml:space="preserve">. </w:t>
      </w:r>
    </w:p>
    <w:p w:rsidR="00FA3E36" w14:paraId="2FE818E0" w14:textId="7758A6E4">
      <w:pPr>
        <w:ind w:firstLine="360"/>
        <w:jc w:val="both"/>
      </w:pPr>
      <w:r>
        <w:t>Imobilul in discuţie avea emisa Poliţa de Asigurare a Locuinţei si Conţinutului „</w:t>
      </w:r>
      <w:r w:rsidR="00CA459C">
        <w:t xml:space="preserve">               </w:t>
      </w:r>
      <w:r>
        <w:t xml:space="preserve">" emisa de ASIGURARE REASIGURARE </w:t>
      </w:r>
      <w:r w:rsidR="00CA459C">
        <w:t xml:space="preserve">AAA </w:t>
      </w:r>
      <w:r>
        <w:t xml:space="preserve"> S.A., cu valabilitate in perioada 30.06.2013-17.08.2014. Urmare a acestui eveniment si in raport de poliţa emisa de </w:t>
      </w:r>
      <w:r>
        <w:t xml:space="preserve">asigurătorul ASIGURARE REASIGURARE </w:t>
      </w:r>
      <w:r w:rsidR="00CA459C">
        <w:t xml:space="preserve">AAA </w:t>
      </w:r>
      <w:r>
        <w:t xml:space="preserve"> S.A., a fost deschis dosarul de dauna numărul </w:t>
      </w:r>
      <w:r w:rsidR="00E007E2">
        <w:t>8</w:t>
      </w:r>
      <w:r>
        <w:t xml:space="preserve"> (număr unic FGA </w:t>
      </w:r>
      <w:r w:rsidR="00E007E2">
        <w:t>9</w:t>
      </w:r>
      <w:r>
        <w:t>).</w:t>
      </w:r>
    </w:p>
    <w:p w:rsidR="00FA3E36" w14:paraId="760F1EDD" w14:textId="245553A8">
      <w:pPr>
        <w:ind w:firstLine="360"/>
        <w:jc w:val="both"/>
      </w:pPr>
      <w:r>
        <w:t xml:space="preserve">În urma formulării unei cereri de plată cu nr. </w:t>
      </w:r>
      <w:r w:rsidR="00E007E2">
        <w:t>10</w:t>
      </w:r>
      <w:r>
        <w:t xml:space="preserve">/26.02.2016, depusă de reclamanta </w:t>
      </w:r>
      <w:r w:rsidR="008D0A48">
        <w:t>1</w:t>
      </w:r>
      <w:r>
        <w:t xml:space="preserve">, dosarul de daună cu numărul unic </w:t>
      </w:r>
      <w:r w:rsidR="00E007E2">
        <w:t>9</w:t>
      </w:r>
      <w:r>
        <w:t xml:space="preserve"> a fost analizat de către Comisia Specială din data de 22.12.2016, sens în care s-a dispus aprobarea la plată a sumei în cuantum de 21.986 lei cu titlu de despăgubire. Împotriva acestei decizii, reclamanta a formulat contestaţie care face obiectul dosarului nr. </w:t>
      </w:r>
      <w:r w:rsidR="00CA459C">
        <w:t xml:space="preserve">1.1 </w:t>
      </w:r>
      <w:r>
        <w:t xml:space="preserve">, aflată pe rolul Curtea de Apel </w:t>
      </w:r>
      <w:r w:rsidR="008D0A48">
        <w:t xml:space="preserve">........... </w:t>
      </w:r>
      <w:r>
        <w:t xml:space="preserve">- Secţia </w:t>
      </w:r>
      <w:r w:rsidR="00CB41C5">
        <w:t>............</w:t>
      </w:r>
      <w:r>
        <w:t xml:space="preserve"> şi nesoluţionată până la data pronunţării prezentei sentinţe.</w:t>
      </w:r>
    </w:p>
    <w:p w:rsidR="00FA3E36" w14:paraId="3D200E27" w14:textId="77777777">
      <w:pPr>
        <w:ind w:firstLine="360"/>
        <w:jc w:val="both"/>
      </w:pPr>
      <w:r>
        <w:t xml:space="preserve">La 15.02.2017, petenta a formulat o nouă solicitare către FGA (filele 36 şi următoarele din dosar), prin care a solicitat suma în cuantum de 2.000 Euro cu titlu de despăgubiri pentru bunurile mobile şi suma în cuantum de 20.000 Euro cu titlu de despăgubiri pentru bunul imobil, depunând în susţinere o serie de înscrisuri noi ce nu au fost avute in vedere la momentul analizării iniţiale a dosarului de daună. </w:t>
      </w:r>
    </w:p>
    <w:p w:rsidR="00FA3E36" w14:paraId="11CBD067" w14:textId="77777777">
      <w:pPr>
        <w:ind w:firstLine="360"/>
        <w:jc w:val="both"/>
      </w:pPr>
      <w:r>
        <w:t>În esenţă, se arată că petenta se consideră „nemulţumită de suma primită drept despăgubire şi solicită reanalizarea dosarului de daună”.</w:t>
      </w:r>
    </w:p>
    <w:p w:rsidR="00FA3E36" w14:paraId="5306B7EA" w14:textId="4E700E46">
      <w:pPr>
        <w:ind w:firstLine="360"/>
        <w:jc w:val="both"/>
      </w:pPr>
      <w:r>
        <w:t xml:space="preserve">În acest sens, Comisia Specială a dispus reanalizarea dosarului de daună situaţie în care a fost emisă decizia ce face obiectul prezentului litigiu cu nr. </w:t>
      </w:r>
      <w:r w:rsidR="00E007E2">
        <w:t xml:space="preserve">6 </w:t>
      </w:r>
      <w:r>
        <w:t>/11.02.2019 (filele 8-11 din dosar). Prin această decizie, FGA a admis plata diferenţei de despăgubire în cuantum de 12.833 lei, compusă din 4.200 lei despăgubire pentru bunurile tip conţinut şi suma de 8.633 lei reprezentând diferenţa de despăgubire dintre cuantumul total (30.619 lei) şi suma aprobată de Comisia specială din data de 22.12.2016 (21.986 lei). Totodată, s-au respins pretenţiile până la concurenţa sumei de 22.000 euro pentru motivele expuse în decizie.</w:t>
      </w:r>
    </w:p>
    <w:p w:rsidR="00FA3E36" w14:paraId="43CA6433" w14:textId="77777777">
      <w:pPr>
        <w:ind w:firstLine="360"/>
        <w:jc w:val="both"/>
      </w:pPr>
      <w:r>
        <w:t>În esenţă, situaţia de fapt care se desprinde din dosarul de daună priveşte împrejurarea că, în urma incendiului puternic care a afectat imobilul asigurat, elementele structurale care au rămas din clădire sunt o parte din pereţii de cărămida si o mica parte din grinzile de lemn ce compun acoperişul. Pereţii de cărămida care au rămas in poziţie verticala au un grad de afectare foarte mare, in proporţie de aproximativ 80%. În acest caz, pereţii de cărămida ramaşi în urma incendiului nu mai prezintă siguranţa in exploatare si din punct de vedere tehnic s-ar impune demolarea acestora. În acest caz, dacă s-ar efectua inclusiv lucrările de demolare a pereţilor din cărămidă, s-ar impune reconstruirea in totalitate a imobilului.</w:t>
      </w:r>
    </w:p>
    <w:p w:rsidR="00FA3E36" w14:paraId="4672CA59" w14:textId="77777777">
      <w:pPr>
        <w:ind w:firstLine="360"/>
        <w:jc w:val="both"/>
      </w:pPr>
      <w:r>
        <w:t>În cuprinsul notei de constatare întocmita de reprezentantul asigurătorului au fost înscrise elementele de construcţie avariate precum şi suprafeţele acestora. Ulterior, reprezentantul asigurătorului a întocmit un deviz estimativ de reparaţii. Acest deviz de reparaţii a avut in vedere strict lucrările de reparaţii cuprinzând elementele avariate si suprafeţele acestora înscrise in nota de constatare. Nu s-a ţinut cont de faptul că pereţii de cărămida ramaşi precum si elementele de acoperiş nu mai pot fi refăcute si se impune demolarea. Ca atare, s-a opinat că pentru readucerea imobilului in starea de dinainte de incendiu s-ar impune reconstruirea acestuia.</w:t>
      </w:r>
    </w:p>
    <w:p w:rsidR="00FA3E36" w14:paraId="3CC99FA9" w14:textId="77777777">
      <w:pPr>
        <w:ind w:firstLine="360"/>
        <w:jc w:val="both"/>
      </w:pPr>
      <w:r>
        <w:t>Comisia FGA a lua în considerare aceste împrejurări, dar a reţinut că, pentru a stabili o valoare corectă a despăgubirii pentru imobilul afectat este necesar a se diminua valoarea de reconstrucţie cu valoarea uzurii.</w:t>
      </w:r>
    </w:p>
    <w:p w:rsidR="00FA3E36" w14:paraId="1DFEDC61" w14:textId="77777777">
      <w:pPr>
        <w:ind w:firstLine="360"/>
        <w:jc w:val="both"/>
      </w:pPr>
      <w:r>
        <w:t>Pentru stabilirea valorii imobilului la data producerii incendiului, s-au avut în vedere următoarele aspecte:</w:t>
      </w:r>
    </w:p>
    <w:p w:rsidR="00FA3E36" w14:paraId="555941BD" w14:textId="3843C2F6">
      <w:pPr>
        <w:ind w:firstLine="360"/>
        <w:jc w:val="both"/>
      </w:pPr>
      <w:r>
        <w:t>-</w:t>
      </w:r>
      <w:r>
        <w:tab/>
        <w:t xml:space="preserve">conform declaraţiei numitei </w:t>
      </w:r>
      <w:r w:rsidR="00E007E2">
        <w:t>1</w:t>
      </w:r>
      <w:r>
        <w:t>, in urma incendiului a fost afectata exclusiv construcţia din cărămida;</w:t>
      </w:r>
    </w:p>
    <w:p w:rsidR="00FA3E36" w14:paraId="5C3BDAF5" w14:textId="31A8335E">
      <w:pPr>
        <w:ind w:firstLine="360"/>
        <w:jc w:val="both"/>
      </w:pPr>
      <w:r>
        <w:t>-</w:t>
      </w:r>
      <w:r>
        <w:tab/>
        <w:t xml:space="preserve">conform adresei emisa de Primăria com. </w:t>
      </w:r>
      <w:r w:rsidR="00E007E2">
        <w:t xml:space="preserve">P......... </w:t>
      </w:r>
      <w:r>
        <w:t xml:space="preserve"> casa din cărămida are o suprafaţa de 44 m</w:t>
      </w:r>
      <w:r>
        <w:rPr>
          <w:rStyle w:val="Fontdeparagrafimplicit"/>
          <w:vertAlign w:val="superscript"/>
        </w:rPr>
        <w:t>2</w:t>
      </w:r>
      <w:r>
        <w:t xml:space="preserve"> si a fost edificata in anul 1972</w:t>
      </w:r>
    </w:p>
    <w:p w:rsidR="00FA3E36" w14:paraId="7F4BC709" w14:textId="4B29790D">
      <w:pPr>
        <w:ind w:firstLine="360"/>
        <w:jc w:val="both"/>
      </w:pPr>
      <w:r>
        <w:t>-</w:t>
      </w:r>
      <w:r>
        <w:tab/>
        <w:t xml:space="preserve">nota de constatare întocmita de reprezentantul asigurătorului, semnata si de numita </w:t>
      </w:r>
      <w:r w:rsidR="00E007E2">
        <w:t>1</w:t>
      </w:r>
      <w:r>
        <w:t>, cuprinde o schiţa a clădirii afectate unde sunt înscrise cotele rezultate din măsurătorile efectuate la fata locului. In acest caz au fost evidenţiate dimensiunile fizice ale imobilului afectat de incendiu. Din analiza acestor înscrisuri rezultă că suprafaţa imobilului din cărămida afectat de incendiu este de 44,48 m</w:t>
      </w:r>
      <w:r>
        <w:rPr>
          <w:rStyle w:val="Fontdeparagrafimplicit"/>
          <w:vertAlign w:val="superscript"/>
        </w:rPr>
        <w:t>2</w:t>
      </w:r>
      <w:r>
        <w:t>.</w:t>
      </w:r>
    </w:p>
    <w:p w:rsidR="00FA3E36" w14:paraId="191FA2E7" w14:textId="77777777">
      <w:pPr>
        <w:ind w:firstLine="360"/>
        <w:jc w:val="both"/>
      </w:pPr>
      <w:r>
        <w:t>-</w:t>
      </w:r>
      <w:r>
        <w:tab/>
        <w:t>pentru stabilirea gradului de uzura s-a avut în vedere "Ghidul cuprinzând coeficienţii de uzura fizica la mijloace fixe din grupa 1 Clădiri, indicativ P 135 - 95 aprobat prin Ordinul MLPAT 2/N/20.01.1995"</w:t>
      </w:r>
    </w:p>
    <w:p w:rsidR="00FA3E36" w14:paraId="6DB92A7E" w14:textId="77777777">
      <w:pPr>
        <w:ind w:firstLine="360"/>
        <w:jc w:val="both"/>
      </w:pPr>
      <w:r>
        <w:t xml:space="preserve"> -</w:t>
      </w:r>
      <w:r>
        <w:tab/>
        <w:t>pentru stabilirea costului per m</w:t>
      </w:r>
      <w:r>
        <w:rPr>
          <w:rStyle w:val="Fontdeparagrafimplicit"/>
          <w:vertAlign w:val="superscript"/>
        </w:rPr>
        <w:t>2</w:t>
      </w:r>
      <w:r>
        <w:t xml:space="preserve"> s-a utilizat "îndreptar tehnic pentru evaluarea imediata, la preţul zilei, a costurilor elementelor si construcţiilor de locuinţe", mai precis fisa nr. 56 pag. 167 din îndreptar.</w:t>
      </w:r>
    </w:p>
    <w:p w:rsidR="00FA3E36" w14:paraId="73A014EA" w14:textId="168425FF">
      <w:pPr>
        <w:ind w:firstLine="360"/>
        <w:jc w:val="both"/>
      </w:pPr>
      <w:r>
        <w:t>-</w:t>
      </w:r>
      <w:r>
        <w:tab/>
        <w:t xml:space="preserve">conform Proces Verbal de Intervenţie întocmit de ISU </w:t>
      </w:r>
      <w:r w:rsidR="00E007E2">
        <w:t xml:space="preserve">........ </w:t>
      </w:r>
      <w:r>
        <w:t xml:space="preserve"> - Subunitatea Detaşamentului </w:t>
      </w:r>
      <w:r w:rsidR="00E007E2">
        <w:t xml:space="preserve">S............ </w:t>
      </w:r>
      <w:r>
        <w:t>, sursa probabila a incendiului a fost efectul termic al curentului electric iar împrejurarea determinanta a fost utilizarea de siguranţe fuzibile supradimensionate. In acest caz valoarea imobilului la data incendiului a fost diminuata cu valoarea instalaţiei electrice care a cauzat producerea incendiului, respectiv branşament electric, cabluri/conductori, aparate electrice si corpuri iluminat.</w:t>
      </w:r>
    </w:p>
    <w:p w:rsidR="00FA3E36" w14:paraId="5F4F39A3" w14:textId="77777777">
      <w:pPr>
        <w:ind w:firstLine="360"/>
        <w:jc w:val="both"/>
      </w:pPr>
      <w:r>
        <w:t>Pe baza considerentelor expuse mai sus, comisia a conchis că valoarea despăgubirii acordată pentru imobilul afectat de incendiu este de 30.619 lei.</w:t>
      </w:r>
    </w:p>
    <w:p w:rsidR="00FA3E36" w14:paraId="7D62F9F4" w14:textId="6560C20E">
      <w:pPr>
        <w:ind w:firstLine="360"/>
        <w:jc w:val="both"/>
      </w:pPr>
      <w:r>
        <w:t xml:space="preserve">S-a mai reţinut în decizie că nota de constatare a avariilor imobilului a fost întocmită de reprezentantul asigurătorului în data de 03.04.2014, la trei luni si jumătate de la data producerii incendiului. Ca urmare a acestui fapt, pentru bunurile existente in imobil nu s-a putut alcătui un inventar al acestora. In procesul-verbal de constatare pentru bunurile distruse in incendiu au fost înscrise 6 poziţii ce cuprind o prezentare succintă al denumirii de bunuri ce ar fi fost afectate de incendiu. De altfel, Procesul Verbal de Intervenţie întocmit de ISU </w:t>
      </w:r>
      <w:r w:rsidR="00E007E2">
        <w:t xml:space="preserve">........ </w:t>
      </w:r>
      <w:r>
        <w:t xml:space="preserve"> - Subunitatea Detaşamentului </w:t>
      </w:r>
      <w:r w:rsidR="00E007E2">
        <w:t xml:space="preserve">S............ </w:t>
      </w:r>
      <w:r>
        <w:t xml:space="preserve"> menţionează la modul generic "bunuri gospodăreşti" fără a le preciza in mod distinct. Din analiza planşelor foto efectuate la locul incendiului se poate observa cu certitudine un tub de televizor. Alte resturi ale bunurilor ce au ars in incendiu nu au fost identificate. Astfel, s-a conchis că, pentru bunurile tip conţinut se poate aproxima la o suma de 4.200 lei.</w:t>
      </w:r>
    </w:p>
    <w:p w:rsidR="00FA3E36" w14:paraId="591BFA61" w14:textId="77777777">
      <w:pPr>
        <w:ind w:firstLine="360"/>
        <w:jc w:val="both"/>
      </w:pPr>
      <w:r>
        <w:t>Din actele depuse atât la dosarul administrativ, cât şi la dosarul de instanţă, rezultă că reclamanta nu a depus o lista cu bunurile distruse si nici alte înscrisuri care sa dovedească întinderea prejudiciului sau cuantificarea acestuia. Solicitarea de a i se acorda o despăgubire în cuantum de 2.000 Euro nu este susţinută de niciun înscris doveditor, astfel cum a reţinut şi comisia din cadrul FGA, care a analizat dosarul.</w:t>
      </w:r>
    </w:p>
    <w:p w:rsidR="00FA3E36" w14:paraId="21613514" w14:textId="77777777">
      <w:pPr>
        <w:ind w:firstLine="360"/>
        <w:jc w:val="both"/>
      </w:pPr>
      <w:r>
        <w:t>În acest context, obligarea pârâtei la plata sumei în cuantum de 30.619 lei pentru bunul imobil (casa cărămida) şi suma în cuantum de 4.200 lei reprezentând contravaloare bunuri mobile, apare ca fiind judicioasă.</w:t>
      </w:r>
    </w:p>
    <w:p w:rsidR="00FA3E36" w14:paraId="293E11F0" w14:textId="77777777">
      <w:pPr>
        <w:ind w:firstLine="360"/>
        <w:jc w:val="both"/>
      </w:pPr>
      <w:r>
        <w:t xml:space="preserve"> În ceea ce priveşte raportul de expertiză tehnică şi asigurare dovezi depus la dosarul administrativ rezultă că acesta a fost întocmit asupra unui alt imobil si nu asupra imobilului ce face obiectul prezentului dosar de daună. </w:t>
      </w:r>
    </w:p>
    <w:p w:rsidR="00FA3E36" w14:paraId="4D42FD94" w14:textId="5AFAD2A8">
      <w:pPr>
        <w:ind w:firstLine="360"/>
        <w:jc w:val="both"/>
      </w:pPr>
      <w:r>
        <w:t xml:space="preserve">Astfel, din adeverinţa emisă de primarul </w:t>
      </w:r>
      <w:r w:rsidR="00E007E2">
        <w:t xml:space="preserve">P......... </w:t>
      </w:r>
      <w:r>
        <w:t>-</w:t>
      </w:r>
      <w:r w:rsidR="00E007E2">
        <w:t xml:space="preserve">........ </w:t>
      </w:r>
      <w:r>
        <w:t xml:space="preserve"> rezulta fără că la poziţia de rol nr </w:t>
      </w:r>
      <w:r w:rsidR="00CA459C">
        <w:t xml:space="preserve">           </w:t>
      </w:r>
      <w:r>
        <w:t xml:space="preserve">, vol. 1, comuna </w:t>
      </w:r>
      <w:r w:rsidR="00E007E2">
        <w:t xml:space="preserve">P......... </w:t>
      </w:r>
      <w:r>
        <w:t xml:space="preserve">, sat </w:t>
      </w:r>
      <w:r w:rsidR="00E007E2">
        <w:t xml:space="preserve">S............ </w:t>
      </w:r>
      <w:r>
        <w:t xml:space="preserve">, judeţ </w:t>
      </w:r>
      <w:r w:rsidR="00E007E2">
        <w:t xml:space="preserve">........ </w:t>
      </w:r>
      <w:r>
        <w:t xml:space="preserve"> se regăsesc următoarele construcţii:</w:t>
      </w:r>
    </w:p>
    <w:p w:rsidR="00FA3E36" w14:paraId="1E06E4FE" w14:textId="77777777">
      <w:pPr>
        <w:ind w:firstLine="360"/>
        <w:jc w:val="both"/>
      </w:pPr>
      <w:r>
        <w:t>1.casa de locuit in suprafaţa de 66 mp din bârna construita in anul 1969;</w:t>
      </w:r>
    </w:p>
    <w:p w:rsidR="00FA3E36" w14:paraId="098BB008" w14:textId="77777777">
      <w:pPr>
        <w:ind w:firstLine="360"/>
        <w:jc w:val="both"/>
      </w:pPr>
      <w:r>
        <w:t>1.casa cu suprafaţa de 43 mp din cărămida construita in anul 1972.</w:t>
      </w:r>
    </w:p>
    <w:p w:rsidR="00FA3E36" w14:paraId="4EECC885" w14:textId="79378DFC">
      <w:pPr>
        <w:ind w:firstLine="360"/>
        <w:jc w:val="both"/>
      </w:pPr>
      <w:r>
        <w:t xml:space="preserve">Mai mult, din declaraţia completată chiar de către reclamantă în data de 30.12.2014 rezultă faptul că, incendiul s-a produs exclusiv la locuinţa din cărămidă, pentru care deţine poliţa de asigurare tip </w:t>
      </w:r>
      <w:r w:rsidR="00CA459C">
        <w:t xml:space="preserve">              </w:t>
      </w:r>
      <w:r>
        <w:t>.</w:t>
      </w:r>
    </w:p>
    <w:p w:rsidR="00FA3E36" w14:paraId="6CD57732" w14:textId="77777777">
      <w:pPr>
        <w:ind w:firstLine="360"/>
        <w:jc w:val="both"/>
      </w:pPr>
      <w:r>
        <w:t>Ca atare, raportul de expertiză tehnică de evaluare pentru asigurare dovezi nu a fost întocmit asupra bunului ce face obiectul prezentului dosar.</w:t>
      </w:r>
    </w:p>
    <w:p w:rsidR="00FA3E36" w14:paraId="544AB40C" w14:textId="77777777">
      <w:pPr>
        <w:pStyle w:val="Frspaiere"/>
        <w:tabs>
          <w:tab w:val="left" w:pos="7920"/>
        </w:tabs>
        <w:ind w:firstLine="567"/>
        <w:jc w:val="both"/>
        <w:rPr>
          <w:rStyle w:val="Fontdeparagrafimplicit"/>
          <w:rFonts w:ascii="Times New Roman" w:hAnsi="Times New Roman"/>
          <w:sz w:val="24"/>
        </w:rPr>
      </w:pPr>
      <w:r>
        <w:rPr>
          <w:rStyle w:val="Fontdeparagrafimplicit"/>
          <w:rFonts w:ascii="Times New Roman" w:hAnsi="Times New Roman"/>
          <w:sz w:val="24"/>
        </w:rPr>
        <w:t>Ca atare, în raport de toate probele administrate, instanţa constată că pârâtul a stabilit corect cuantumul daunelor materiale, luând în considerare ansamblul probator administrat în cauză. Totodată, se observă că reclamanta nu a solicitat administrarea unor mijloace de probă care să probeze caracterul neîntemeiat al deciziei atacat, contrar dispoziţiilor art. 249 din Codul de procedură civilă, potrivit cărora sarcina probei îi incumbă reclamantului.</w:t>
      </w:r>
    </w:p>
    <w:p w:rsidR="00FA3E36" w14:paraId="50EA0600" w14:textId="77777777">
      <w:pPr>
        <w:pStyle w:val="Frspaiere"/>
        <w:tabs>
          <w:tab w:val="left" w:pos="7920"/>
        </w:tabs>
        <w:ind w:firstLine="567"/>
        <w:jc w:val="both"/>
        <w:rPr>
          <w:rStyle w:val="Fontdeparagrafimplicit"/>
          <w:rFonts w:ascii="Times New Roman" w:hAnsi="Times New Roman"/>
          <w:sz w:val="24"/>
        </w:rPr>
      </w:pPr>
      <w:r>
        <w:rPr>
          <w:rStyle w:val="Fontdeparagrafimplicit"/>
          <w:rFonts w:ascii="Times New Roman" w:hAnsi="Times New Roman"/>
          <w:sz w:val="24"/>
        </w:rPr>
        <w:t>În raport de toate aceste considerente, Curtea constată că în mod legal a fost emisă decizia atacată, aceasta nefiind afectată de motive de nelegalitate sau netemeinicie, motive pentru care, în temeiul dispoziţiilor art. 18 din Legea nr. 554/2004 privind contenciosul administrativ, se impune respingerea acţiunii, cu consecinţa menţinerii deciziei contestate.</w:t>
      </w:r>
    </w:p>
    <w:p w:rsidR="00FA3E36" w14:paraId="3CF51F71" w14:textId="77777777">
      <w:pPr>
        <w:jc w:val="both"/>
        <w:rPr>
          <w:rStyle w:val="Fontdeparagrafimplicit"/>
          <w:rFonts w:ascii="Arial" w:hAnsi="Arial"/>
          <w:color w:val="000000"/>
          <w:sz w:val="28"/>
        </w:rPr>
      </w:pPr>
    </w:p>
    <w:p w:rsidR="00FA3E36" w14:paraId="22C40C0B" w14:textId="77777777">
      <w:pPr>
        <w:jc w:val="center"/>
        <w:rPr>
          <w:rStyle w:val="Fontdeparagrafimplicit"/>
          <w:b/>
          <w:i/>
          <w:color w:val="000000"/>
        </w:rPr>
      </w:pPr>
      <w:r>
        <w:rPr>
          <w:rStyle w:val="Fontdeparagrafimplicit"/>
          <w:rFonts w:ascii="Arial" w:hAnsi="Arial"/>
          <w:color w:val="000000"/>
        </w:rPr>
        <w:t xml:space="preserve">           </w:t>
      </w:r>
      <w:r>
        <w:rPr>
          <w:rStyle w:val="Fontdeparagrafimplicit"/>
          <w:b/>
          <w:i/>
          <w:color w:val="000000"/>
        </w:rPr>
        <w:t>PENTRU ACESTE MOTIVE,</w:t>
      </w:r>
    </w:p>
    <w:p w:rsidR="00FA3E36" w14:paraId="560EBB3E" w14:textId="77777777">
      <w:pPr>
        <w:jc w:val="center"/>
        <w:rPr>
          <w:rStyle w:val="Fontdeparagrafimplicit"/>
          <w:b/>
          <w:i/>
          <w:color w:val="000000"/>
        </w:rPr>
      </w:pPr>
      <w:r>
        <w:rPr>
          <w:rStyle w:val="Fontdeparagrafimplicit"/>
          <w:b/>
          <w:i/>
          <w:color w:val="000000"/>
        </w:rPr>
        <w:t xml:space="preserve">             ÎN NUMELE LEGII</w:t>
      </w:r>
    </w:p>
    <w:p w:rsidR="00FA3E36" w14:paraId="0E320AAD" w14:textId="77777777">
      <w:pPr>
        <w:ind w:firstLine="720"/>
        <w:jc w:val="center"/>
        <w:rPr>
          <w:rStyle w:val="Fontdeparagrafimplicit"/>
          <w:b/>
          <w:i/>
        </w:rPr>
      </w:pPr>
      <w:r>
        <w:rPr>
          <w:rStyle w:val="Fontdeparagrafimplicit"/>
          <w:b/>
          <w:i/>
        </w:rPr>
        <w:t xml:space="preserve">  HOTĂRĂŞTE:</w:t>
      </w:r>
    </w:p>
    <w:p w:rsidR="00FA3E36" w14:paraId="30D03776" w14:textId="77777777">
      <w:pPr>
        <w:ind w:firstLine="720"/>
        <w:rPr>
          <w:rStyle w:val="Fontdeparagrafimplicit"/>
        </w:rPr>
      </w:pPr>
    </w:p>
    <w:p w:rsidR="00FA3E36" w14:paraId="3EEC6E94" w14:textId="1562134A">
      <w:pPr>
        <w:ind w:firstLine="720"/>
        <w:jc w:val="both"/>
      </w:pPr>
      <w:r>
        <w:t xml:space="preserve">Respinge ca neîntemeiată acţiunea formulată de reclamanta </w:t>
      </w:r>
      <w:r w:rsidR="008D0A48">
        <w:t xml:space="preserve">1 </w:t>
      </w:r>
      <w:r>
        <w:t xml:space="preserve">, cu domiciliul în </w:t>
      </w:r>
      <w:r w:rsidR="00E007E2">
        <w:t xml:space="preserve">............ </w:t>
      </w:r>
      <w:r>
        <w:t xml:space="preserve">, str. </w:t>
      </w:r>
      <w:r w:rsidR="00CB41C5">
        <w:t>.........</w:t>
      </w:r>
      <w:r>
        <w:t xml:space="preserve"> nr. </w:t>
      </w:r>
      <w:r w:rsidR="00CB41C5">
        <w:t>........</w:t>
      </w:r>
      <w:r>
        <w:t xml:space="preserve">, bl. </w:t>
      </w:r>
      <w:r w:rsidR="00CB41C5">
        <w:t>.......</w:t>
      </w:r>
      <w:r>
        <w:t xml:space="preserve">, sc. </w:t>
      </w:r>
      <w:r w:rsidR="00CB41C5">
        <w:t>......</w:t>
      </w:r>
      <w:r>
        <w:t xml:space="preserve">, et. </w:t>
      </w:r>
      <w:r w:rsidR="00CB41C5">
        <w:t>.......</w:t>
      </w:r>
      <w:r>
        <w:t xml:space="preserve">, ap. </w:t>
      </w:r>
      <w:r w:rsidR="00CB41C5">
        <w:t>.......</w:t>
      </w:r>
      <w:r>
        <w:t xml:space="preserve">, judeţ </w:t>
      </w:r>
      <w:r w:rsidR="00E007E2">
        <w:t xml:space="preserve">........ </w:t>
      </w:r>
      <w:r>
        <w:t xml:space="preserve">,  în contradictoriu cu pârâtul FONDUL DE GARANTARE A ASIGURAŢILOR, cu sediul în </w:t>
      </w:r>
      <w:r w:rsidR="00E007E2">
        <w:t xml:space="preserve">........... </w:t>
      </w:r>
      <w:r>
        <w:t xml:space="preserve">, </w:t>
      </w:r>
      <w:r w:rsidR="00CB41C5">
        <w:t>.........</w:t>
      </w:r>
      <w:r>
        <w:t xml:space="preserve">, str. </w:t>
      </w:r>
      <w:r w:rsidR="00CB41C5">
        <w:t>.........,</w:t>
      </w:r>
      <w:r>
        <w:t xml:space="preserve"> nr. </w:t>
      </w:r>
      <w:r w:rsidR="00CB41C5">
        <w:t>.......</w:t>
      </w:r>
      <w:r>
        <w:t xml:space="preserve">. </w:t>
      </w:r>
    </w:p>
    <w:p w:rsidR="00FA3E36" w14:paraId="0F5AECE6" w14:textId="22911912">
      <w:pPr>
        <w:ind w:firstLine="720"/>
        <w:jc w:val="both"/>
      </w:pPr>
      <w:r>
        <w:t xml:space="preserve">Cu recurs în termen de 15 zile de la comunicare, cererea de recurs urmând a fi depusă la Curtea de Apel </w:t>
      </w:r>
      <w:r w:rsidR="008D0A48">
        <w:t xml:space="preserve">........... </w:t>
      </w:r>
      <w:r>
        <w:t xml:space="preserve">- Secţia </w:t>
      </w:r>
      <w:r w:rsidR="00CB41C5">
        <w:t>..........</w:t>
      </w:r>
      <w:r>
        <w:t xml:space="preserve">. </w:t>
      </w:r>
    </w:p>
    <w:p w:rsidR="00FA3E36" w14:paraId="2E3EF1D2" w14:textId="2C64CCCE">
      <w:pPr>
        <w:ind w:firstLine="720"/>
        <w:jc w:val="both"/>
      </w:pPr>
      <w:r>
        <w:t xml:space="preserve">Pronunţată astăzi, </w:t>
      </w:r>
      <w:r w:rsidR="008D0A48">
        <w:t xml:space="preserve">.............. </w:t>
      </w:r>
      <w:r>
        <w:t>, prin punerea soluţiei la dispoziţia părţilor prin mijlocirea grefei.</w:t>
      </w:r>
    </w:p>
    <w:p w:rsidR="00FA3E36" w14:paraId="3FCFDCF5" w14:textId="77777777">
      <w:pPr>
        <w:ind w:firstLine="720"/>
        <w:jc w:val="both"/>
      </w:pPr>
    </w:p>
    <w:p w:rsidR="00FA3E36" w14:paraId="245C6A6A" w14:textId="77777777">
      <w:pPr>
        <w:ind w:firstLine="720"/>
        <w:jc w:val="both"/>
        <w:rPr>
          <w:rStyle w:val="Fontdeparagrafimplicit"/>
          <w:b/>
        </w:rPr>
      </w:pPr>
      <w:r>
        <w:rPr>
          <w:rStyle w:val="Fontdeparagrafimplicit"/>
          <w:b/>
        </w:rPr>
        <w:t xml:space="preserve">          PREŞEDINTE,</w:t>
      </w:r>
      <w:r>
        <w:rPr>
          <w:rStyle w:val="Fontdeparagrafimplicit"/>
          <w:b/>
        </w:rPr>
        <w:tab/>
        <w:t xml:space="preserve">                                         GREFIER,</w:t>
      </w:r>
    </w:p>
    <w:p w:rsidR="00FA3E36" w14:paraId="086B1BF5" w14:textId="6B8D1A58">
      <w:pPr>
        <w:jc w:val="both"/>
        <w:rPr>
          <w:rStyle w:val="Fontdeparagrafimplicit"/>
          <w:b/>
        </w:rPr>
      </w:pPr>
      <w:r>
        <w:rPr>
          <w:rStyle w:val="Fontdeparagrafimplicit"/>
          <w:b/>
        </w:rPr>
        <w:t xml:space="preserve">                </w:t>
      </w:r>
      <w:r w:rsidR="00CB41C5">
        <w:rPr>
          <w:rStyle w:val="Fontdeparagrafimplicit"/>
          <w:b/>
        </w:rPr>
        <w:tab/>
      </w:r>
      <w:r>
        <w:rPr>
          <w:rStyle w:val="Fontdeparagrafimplicit"/>
          <w:b/>
        </w:rPr>
        <w:t xml:space="preserve"> </w:t>
      </w:r>
      <w:r w:rsidR="008D0A48">
        <w:rPr>
          <w:rStyle w:val="Fontdeparagrafimplicit"/>
          <w:b/>
        </w:rPr>
        <w:t>A0008</w:t>
      </w:r>
      <w:r>
        <w:rPr>
          <w:rStyle w:val="Fontdeparagrafimplicit"/>
          <w:b/>
        </w:rPr>
        <w:t xml:space="preserve">                                 </w:t>
      </w:r>
      <w:r w:rsidR="00CB41C5">
        <w:rPr>
          <w:rStyle w:val="Fontdeparagrafimplicit"/>
          <w:b/>
        </w:rPr>
        <w:t xml:space="preserve">                                  </w:t>
      </w:r>
      <w:r w:rsidR="008D0A48">
        <w:rPr>
          <w:rStyle w:val="Fontdeparagrafimplicit"/>
          <w:b/>
        </w:rPr>
        <w:t xml:space="preserve">.............. </w:t>
      </w:r>
    </w:p>
    <w:p w:rsidR="00FA3E36" w14:paraId="101C495E" w14:textId="77777777">
      <w:pPr>
        <w:jc w:val="both"/>
        <w:rPr>
          <w:rStyle w:val="Fontdeparagrafimplicit"/>
          <w:b/>
        </w:rPr>
      </w:pPr>
    </w:p>
    <w:p w:rsidR="00FA3E36" w14:paraId="283759F1" w14:textId="77777777">
      <w:pPr>
        <w:jc w:val="both"/>
        <w:rPr>
          <w:rStyle w:val="Fontdeparagrafimplicit"/>
          <w:b/>
        </w:rPr>
      </w:pPr>
    </w:p>
    <w:p w:rsidR="00FA3E36" w14:paraId="6E822E44" w14:textId="77777777">
      <w:pPr>
        <w:jc w:val="both"/>
        <w:rPr>
          <w:rStyle w:val="Fontdeparagrafimplicit"/>
          <w:b/>
        </w:rPr>
      </w:pPr>
    </w:p>
    <w:p w:rsidR="00FA3E36" w14:paraId="1335DDFE" w14:textId="77777777">
      <w:pPr>
        <w:jc w:val="both"/>
        <w:rPr>
          <w:rStyle w:val="Fontdeparagrafimplicit"/>
          <w:b/>
        </w:rPr>
      </w:pPr>
    </w:p>
    <w:p w:rsidR="00FA3E36" w14:paraId="14921359" w14:textId="77777777">
      <w:pPr>
        <w:jc w:val="both"/>
        <w:rPr>
          <w:rStyle w:val="Fontdeparagrafimplicit"/>
          <w:b/>
        </w:rPr>
      </w:pPr>
    </w:p>
    <w:p w:rsidR="00FA3E36" w14:paraId="42FCE80B" w14:textId="77777777">
      <w:pPr>
        <w:jc w:val="both"/>
        <w:rPr>
          <w:rStyle w:val="Fontdeparagrafimplicit"/>
          <w:b/>
        </w:rPr>
      </w:pPr>
    </w:p>
    <w:p w:rsidR="00FA3E36" w14:paraId="7B5EB600" w14:textId="2D2AC28F">
      <w:pPr>
        <w:jc w:val="both"/>
        <w:rPr>
          <w:rStyle w:val="Fontdeparagrafimplicit"/>
          <w:rFonts w:ascii="Calibri" w:hAnsi="Calibri"/>
          <w:sz w:val="22"/>
        </w:rPr>
      </w:pPr>
      <w:r>
        <w:rPr>
          <w:rStyle w:val="Fontdeparagrafimplicit"/>
          <w:sz w:val="20"/>
        </w:rPr>
        <w:t xml:space="preserve">Red./Tehnored. </w:t>
      </w:r>
      <w:r w:rsidR="00CB41C5">
        <w:rPr>
          <w:rStyle w:val="Fontdeparagrafimplicit"/>
          <w:sz w:val="20"/>
        </w:rPr>
        <w:t>A0008</w:t>
      </w:r>
      <w:r>
        <w:rPr>
          <w:rStyle w:val="Fontdeparagrafimplicit"/>
          <w:sz w:val="20"/>
        </w:rPr>
        <w:t>/4 ex.</w:t>
      </w:r>
      <w:r>
        <w:t xml:space="preserve"> </w:t>
      </w:r>
    </w:p>
    <w:p w:rsidR="00FA3E36" w14:paraId="7B790D31" w14:textId="77777777">
      <w:pPr>
        <w:rPr>
          <w:rStyle w:val="Fontdeparagrafimplicit"/>
          <w:rFonts w:ascii="Garamond" w:hAnsi="Garamond"/>
        </w:rPr>
      </w:pPr>
    </w:p>
    <w:sectPr>
      <w:pgSz w:w="11906" w:h="16838"/>
      <w:pgMar w:top="851" w:right="851" w:bottom="85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0C29380D"/>
    <w:multiLevelType w:val="hybridMultilevel"/>
    <w:tmpl w:val="A24CC758"/>
    <w:lvl w:ilvl="0">
      <w:start w:val="1"/>
      <w:numFmt w:val="bullet"/>
      <w:lvlText w:val="-"/>
      <w:lvlJc w:val="left"/>
      <w:pPr>
        <w:ind w:left="720" w:hanging="360"/>
      </w:pPr>
      <w:rPr>
        <w:rFonts w:ascii="Times New Roman" w:hAnsi="Times New Roman"/>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 w15:restartNumberingAfterBreak="0">
    <w:nsid w:val="7613076A"/>
    <w:multiLevelType w:val="multilevel"/>
    <w:tmpl w:val="FC341DD6"/>
    <w:lvl w:ilvl="0">
      <w:start w:val="1"/>
      <w:numFmt w:val="decimal"/>
      <w:lvlText w:val="%1."/>
      <w:lvlJc w:val="left"/>
      <w:pPr>
        <w:ind w:left="1065" w:hanging="70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623569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83047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E36"/>
    <w:rsid w:val="0025118A"/>
    <w:rsid w:val="00482CFA"/>
    <w:rsid w:val="00605D29"/>
    <w:rsid w:val="008D0A48"/>
    <w:rsid w:val="00AA70C2"/>
    <w:rsid w:val="00CA459C"/>
    <w:rsid w:val="00CB41C5"/>
    <w:rsid w:val="00D93335"/>
    <w:rsid w:val="00E007E2"/>
    <w:rsid w:val="00E50043"/>
    <w:rsid w:val="00F215C8"/>
    <w:rsid w:val="00FA3E36"/>
  </w:rsids>
  <w:docVars>
    <w:docVar w:name="url" w:val="http://10.1.48.53:80/ecris_cdms/document_upload.aspx?id_document=200000003283233&amp;id_departament=58&amp;id_sesiune=3110337&amp;id_user=856&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77873439"/>
  <w15:docId w15:val="{B1EA90F9-1CBA-4C07-B657-2DFFEADB7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rspaiere">
    <w:name w:val="Fără spațiere"/>
    <w:qFormat/>
    <w:rPr>
      <w:rFonts w:ascii="Calibri" w:hAnsi="Calibri"/>
      <w:lang w:val="ro-RO"/>
    </w:rPr>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Listparagraf">
    <w:name w:val="Listă paragraf"/>
    <w:basedOn w:val="Normal"/>
    <w:qFormat/>
    <w:pPr>
      <w:spacing w:after="200" w:line="276" w:lineRule="auto"/>
      <w:ind w:left="720"/>
      <w:contextualSpacing/>
    </w:pPr>
    <w:rPr>
      <w:rFonts w:ascii="Calibri" w:hAnsi="Calibri"/>
      <w:sz w:val="22"/>
    </w:r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57</ap:TotalTime>
  <ap:Pages>1</ap:Pages>
  <ap:Words>4423</ap:Words>
  <ap:Characters>25212</ap:Characters>
  <ap:Application>Microsoft Office Word</ap:Application>
  <ap:DocSecurity>0</ap:DocSecurity>
  <ap:Lines>210</ap:Lines>
  <ap:Paragraphs>59</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29576</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