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Hot.22</w:t>
      </w:r>
    </w:p>
    <w:p>
      <w:pPr>
        <w:pStyle w:val="Normal"/>
        <w:rPr>
          <w:b/>
        </w:rPr>
      </w:pPr>
      <w:r>
        <w:rPr>
          <w:b/>
        </w:rPr>
        <w:t>Dosar nr. D1</w:t>
      </w:r>
    </w:p>
    <w:p>
      <w:pPr>
        <w:pStyle w:val="Normal"/>
        <w:jc w:val="center"/>
        <w:rPr>
          <w:b/>
        </w:rPr>
      </w:pPr>
      <w:r>
        <w:rPr>
          <w:b/>
        </w:rPr>
      </w:r>
      <w:bookmarkStart w:name="_Hlk83891306" w:id="0"/>
      <w:bookmarkStart w:name="_Hlk83891306" w:id="1"/>
      <w:bookmarkEnd w:id="1"/>
    </w:p>
    <w:p>
      <w:pPr>
        <w:pStyle w:val="Normal"/>
        <w:jc w:val="center"/>
        <w:rPr>
          <w:b/>
        </w:rPr>
      </w:pPr>
      <w:r>
        <w:rPr>
          <w:b/>
        </w:rPr>
      </w:r>
    </w:p>
    <w:p>
      <w:pPr>
        <w:pStyle w:val="Normal"/>
        <w:jc w:val="center"/>
        <w:rPr>
          <w:b/>
        </w:rPr>
      </w:pPr>
      <w:r>
        <w:rPr>
          <w:b/>
        </w:rPr>
        <w:t>R O M Â N I A</w:t>
      </w:r>
    </w:p>
    <w:p>
      <w:pPr>
        <w:pStyle w:val="Normal"/>
        <w:jc w:val="center"/>
        <w:rPr/>
      </w:pPr>
      <w:r>
        <w:rPr/>
      </w:r>
    </w:p>
    <w:p>
      <w:pPr>
        <w:pStyle w:val="Normal"/>
        <w:jc w:val="center"/>
        <w:rPr/>
      </w:pPr>
      <w:r>
        <w:rPr/>
        <w:t>CURTEA DE APEL ...</w:t>
      </w:r>
    </w:p>
    <w:p>
      <w:pPr>
        <w:pStyle w:val="Normal"/>
        <w:jc w:val="center"/>
        <w:rPr>
          <w:lang w:val="en-US"/>
        </w:rPr>
      </w:pPr>
      <w:r>
        <w:rPr/>
        <w:t>SECŢIA ...</w:t>
      </w:r>
    </w:p>
    <w:p>
      <w:pPr>
        <w:pStyle w:val="Normal"/>
        <w:rPr/>
      </w:pPr>
      <w:r>
        <w:rPr/>
      </w:r>
    </w:p>
    <w:p>
      <w:pPr>
        <w:pStyle w:val="Normal"/>
        <w:jc w:val="center"/>
        <w:rPr>
          <w:b/>
        </w:rPr>
      </w:pPr>
      <w:r>
        <w:rPr>
          <w:b/>
        </w:rPr>
        <w:t>DECIZIA NR. ...</w:t>
      </w:r>
    </w:p>
    <w:p>
      <w:pPr>
        <w:pStyle w:val="Normal"/>
        <w:jc w:val="center"/>
        <w:rPr/>
      </w:pPr>
      <w:bookmarkStart w:name="_Hlk166075950" w:id="2"/>
      <w:r>
        <w:rPr/>
        <w:t>Şedinţa publică de la data de ...</w:t>
      </w:r>
    </w:p>
    <w:p>
      <w:pPr>
        <w:pStyle w:val="Normal"/>
        <w:jc w:val="center"/>
        <w:rPr/>
      </w:pPr>
      <w:r>
        <w:rPr/>
        <w:t>Completul de judecată este constituit din:</w:t>
      </w:r>
    </w:p>
    <w:p>
      <w:pPr>
        <w:pStyle w:val="Normal"/>
        <w:jc w:val="center"/>
        <w:rPr/>
      </w:pPr>
      <w:r>
        <w:rPr/>
        <w:t>Preşedinte: .... - judecător</w:t>
      </w:r>
    </w:p>
    <w:p>
      <w:pPr>
        <w:pStyle w:val="Normal"/>
        <w:jc w:val="center"/>
        <w:rPr/>
      </w:pPr>
      <w:r>
        <w:rPr/>
        <w:t>Judecător: ....</w:t>
      </w:r>
    </w:p>
    <w:p>
      <w:pPr>
        <w:pStyle w:val="Normal"/>
        <w:jc w:val="center"/>
        <w:rPr/>
      </w:pPr>
      <w:r>
        <w:rPr/>
        <w:t>Judecător: A0006</w:t>
      </w:r>
    </w:p>
    <w:p>
      <w:pPr>
        <w:pStyle w:val="Normal"/>
        <w:jc w:val="center"/>
        <w:rPr/>
      </w:pPr>
      <w:bookmarkStart w:name="_Hlk166075950" w:id="3"/>
      <w:r>
        <w:rPr/>
        <w:t>Grefier: ....</w:t>
      </w:r>
      <w:bookmarkEnd w:id="3"/>
    </w:p>
    <w:p>
      <w:pPr>
        <w:pStyle w:val="Normal"/>
        <w:jc w:val="center"/>
        <w:rPr/>
      </w:pPr>
      <w:r>
        <w:rPr/>
      </w:r>
    </w:p>
    <w:p>
      <w:pPr>
        <w:pStyle w:val="Normal"/>
        <w:rPr/>
      </w:pPr>
      <w:r>
        <w:rPr/>
      </w:r>
      <w:bookmarkStart w:name="_Hlk83891306" w:id="4"/>
      <w:bookmarkStart w:name="_Hlk83891306" w:id="5"/>
      <w:bookmarkEnd w:id="5"/>
    </w:p>
    <w:p>
      <w:pPr>
        <w:pStyle w:val="Normal"/>
        <w:ind w:firstLine="708"/>
        <w:jc w:val="both"/>
        <w:rPr>
          <w:b/>
        </w:rPr>
      </w:pPr>
      <w:r>
        <w:rPr/>
        <w:t xml:space="preserve">Pe rol, soluționarea recursului formulat de </w:t>
      </w:r>
      <w:bookmarkStart w:name="_Hlk29983462" w:id="6"/>
      <w:bookmarkStart w:name="_Hlk172728087" w:id="7"/>
      <w:bookmarkStart w:name="_Hlk25578309" w:id="8"/>
      <w:bookmarkStart w:name="_Hlk56519953" w:id="9"/>
      <w:bookmarkStart w:name="_Hlk20990416" w:id="10"/>
      <w:bookmarkStart w:name="_Hlk20296562" w:id="11"/>
      <w:r>
        <w:rPr/>
        <w:t xml:space="preserve">reclamantul </w:t>
      </w:r>
      <w:bookmarkEnd w:id="8"/>
      <w:bookmarkEnd w:id="9"/>
      <w:bookmarkEnd w:id="10"/>
      <w:bookmarkEnd w:id="11"/>
      <w:r>
        <w:rPr>
          <w:b/>
        </w:rPr>
        <w:t>R1</w:t>
      </w:r>
      <w:bookmarkEnd w:id="7"/>
      <w:r>
        <w:rPr/>
        <w:t xml:space="preserve">, în contradictoriu cu intimatul pârât </w:t>
      </w:r>
      <w:r>
        <w:rPr>
          <w:b/>
        </w:rPr>
        <w:t>Ministerul Afacerilor Interne - Inspectoratul de Poliție Județean...</w:t>
      </w:r>
      <w:r>
        <w:rPr/>
        <w:t xml:space="preserve">, împotriva sentinţei nr. </w:t>
      </w:r>
      <w:bookmarkStart w:name="_Hlk171935999" w:id="12"/>
      <w:bookmarkStart w:name="_Hlk51324496" w:id="13"/>
      <w:bookmarkStart w:name="_Hlk20991303" w:id="14"/>
      <w:bookmarkStart w:name="_Hlk34051356" w:id="15"/>
      <w:bookmarkStart w:name="_Hlk53131915" w:id="16"/>
      <w:bookmarkStart w:name="_Hlk20296462" w:id="17"/>
      <w:bookmarkStart w:name="_Hlk25578262" w:id="18"/>
      <w:bookmarkStart w:name="_Hlk29983392" w:id="19"/>
      <w:r>
        <w:rPr/>
        <w:t xml:space="preserve">SC1 din data de ..., pronunţată de Tribunalul ..., Secția   ..., în dosarul nr. </w:t>
      </w:r>
      <w:bookmarkEnd w:id="13"/>
      <w:bookmarkEnd w:id="14"/>
      <w:bookmarkEnd w:id="15"/>
      <w:bookmarkEnd w:id="16"/>
      <w:bookmarkEnd w:id="17"/>
      <w:bookmarkEnd w:id="18"/>
      <w:bookmarkEnd w:id="19"/>
      <w:r>
        <w:rPr/>
        <w:t>D1</w:t>
      </w:r>
      <w:bookmarkEnd w:id="12"/>
      <w:r>
        <w:rPr/>
        <w:t>, având ca obiect „suspendare executare act administrativ”.</w:t>
      </w:r>
      <w:bookmarkEnd w:id="6"/>
    </w:p>
    <w:p>
      <w:pPr>
        <w:pStyle w:val="Normal"/>
        <w:ind w:firstLine="708"/>
        <w:jc w:val="both"/>
        <w:rPr/>
      </w:pPr>
      <w:r>
        <w:rPr/>
        <w:t>La apelul nominal, făcut în şedinţa publică, a răspuns avocat   ... pentru recurentul reclamant R1, lipsind intimatul pârât Ministerul Afacerilor Interne - Inspectoratul de Poliție Județean....</w:t>
      </w:r>
    </w:p>
    <w:p>
      <w:pPr>
        <w:pStyle w:val="Normal"/>
        <w:ind w:firstLine="708"/>
        <w:jc w:val="both"/>
        <w:rPr/>
      </w:pPr>
      <w:r>
        <w:rPr/>
        <w:t>Procedura de citare a părţilor este legal îndeplinită.</w:t>
      </w:r>
    </w:p>
    <w:p>
      <w:pPr>
        <w:pStyle w:val="Normal"/>
        <w:ind w:firstLine="708"/>
        <w:jc w:val="both"/>
        <w:rPr/>
      </w:pPr>
      <w:r>
        <w:rPr/>
        <w:t>S-a făcut referatul cauzei de către grefierul de şedinţă, care învederează instanţei obiectul cauzei, stadiul judecăţii şi modalitatea de îndeplinire a procedurii de citare, faptul că recursul a fost declarat în termenul legal, iar intimatul a formulat întâmpinare, prin care a solicitat şi judecarea cauzei în lipsă, potrivit dispoziţiilor prevăzute de art. 411 alin. 1 pct. 2 teza finală din Codul de procedură civilă, după care:</w:t>
      </w:r>
    </w:p>
    <w:p>
      <w:pPr>
        <w:pStyle w:val="Normal"/>
        <w:ind w:firstLine="708"/>
        <w:jc w:val="both"/>
        <w:rPr/>
      </w:pPr>
      <w:r>
        <w:rPr/>
        <w:t xml:space="preserve">La interpelarea instanţei, apărătorul recurentului învederează că nu mai are cereri de formulat. </w:t>
      </w:r>
    </w:p>
    <w:p>
      <w:pPr>
        <w:pStyle w:val="Normal"/>
        <w:ind w:firstLine="708"/>
        <w:jc w:val="both"/>
        <w:rPr/>
      </w:pPr>
      <w:r>
        <w:rPr/>
        <w:t>Constatând că părţile nu mai au cereri de formulat şi că intimata  a solicitat judecarea cauzei în lipsă, instanţa apreciază cauza în stare de soluţionare şi acordă cuvântul părţii prezente, prin reprezentant convenţional, pentru a pune concluzii asupra recursului.</w:t>
      </w:r>
    </w:p>
    <w:p>
      <w:pPr>
        <w:pStyle w:val="Normal"/>
        <w:ind w:firstLine="708"/>
        <w:jc w:val="both"/>
        <w:rPr/>
      </w:pPr>
      <w:r>
        <w:rPr/>
        <w:t xml:space="preserve">Avocat   ..., pentru recurentul reclamant R1, </w:t>
      </w:r>
      <w:bookmarkStart w:name="_Hlk158209202" w:id="20"/>
      <w:r>
        <w:rPr/>
        <w:t>susţine oral motivele de recurs formulate în scris şi, în raport de acestea, solicită</w:t>
      </w:r>
      <w:bookmarkEnd w:id="20"/>
      <w:r>
        <w:rPr/>
        <w:t xml:space="preserve"> admiterea recursului, casarea sentinței recurate şi admiterea cererii, în sensul suspendării executării actului administrativ reprezentat de Dispoziția Șefului Inspectoratului nr.   ...0 din 11.04.2024, până la soluționarea definitivă a plângerii formulate împotriva dispoziției menționate, ce face obiectul dosarului nr. D2 al Tribunalului ....</w:t>
      </w:r>
    </w:p>
    <w:p>
      <w:pPr>
        <w:pStyle w:val="Normal"/>
        <w:ind w:firstLine="708"/>
        <w:jc w:val="both"/>
        <w:rPr/>
      </w:pPr>
      <w:r>
        <w:rPr/>
        <w:t>Apreciază că instanţa de fond a încălcat prevederilor art. 14 şi art. 15 din Legea nr. 554/2004, art. 425 și art. 488 din Codul de procedură civilă.</w:t>
      </w:r>
    </w:p>
    <w:p>
      <w:pPr>
        <w:pStyle w:val="Normal"/>
        <w:ind w:firstLine="708"/>
        <w:jc w:val="both"/>
        <w:rPr/>
      </w:pPr>
      <w:r>
        <w:rPr/>
        <w:t>De asemenea, consideră că instanța a făcut o confuzie între postul scos la concursul din data de 06.11.2021, care a făcut obiectul judecății din dosarul numărul D3, respectiv postul logistic marketing din cadrul Serviciului Logistic Marketing și postul din care reclamantului i-au încetat raporturile de serviciu și anume postul din cadrul Serviciului Investigarea Criminalității.</w:t>
      </w:r>
    </w:p>
    <w:p>
      <w:pPr>
        <w:pStyle w:val="Normal"/>
        <w:ind w:firstLine="708"/>
        <w:jc w:val="both"/>
        <w:rPr/>
      </w:pPr>
      <w:r>
        <w:rPr/>
        <w:t xml:space="preserve"> </w:t>
      </w:r>
      <w:r>
        <w:rPr/>
        <w:t>Precizează că recurentul a făcut trimitere la existența unei nulităţi absolute, sens în care a indicat şi temeiurile de drept.</w:t>
      </w:r>
    </w:p>
    <w:p>
      <w:pPr>
        <w:pStyle w:val="Normal"/>
        <w:ind w:firstLine="708"/>
        <w:jc w:val="both"/>
        <w:rPr/>
      </w:pPr>
      <w:r>
        <w:rPr/>
      </w:r>
    </w:p>
    <w:p>
      <w:pPr>
        <w:pStyle w:val="Normal"/>
        <w:ind w:firstLine="708"/>
        <w:jc w:val="both"/>
        <w:rPr/>
      </w:pPr>
      <w:r>
        <w:rPr/>
        <w:t>Prin dispoziția contestată, s-a dispus pentru trecut, având în vedere că a fost emisă la data de 11.04.2024, dar a produs efecte din data de 27.02.2024, perioadă în care reclamantul a activat, a lucrat, fiind detașat în cadrul altui serviciu.</w:t>
      </w:r>
    </w:p>
    <w:p>
      <w:pPr>
        <w:pStyle w:val="Normal"/>
        <w:ind w:firstLine="708"/>
        <w:jc w:val="both"/>
        <w:rPr/>
      </w:pPr>
      <w:r>
        <w:rPr/>
        <w:t>Or, din punctul său de vedere, recurentul a făcut dovada condițiilor necesare pentru a fi admisă această cerere, pentru că există argumente și nulități absolute pentru care dispoziția contestată este nelegală, dar există și o pagubă iminentă care se poate crea prin faptul că postul din cadrul Serviciului de Investigare a Criminalității Economice - Biroul de Investigații Complexe, pe care l-a dobândit reclamantul ca post vacant şi care nu are legătură cu postul pentru care, anterior, a existat un concurs și o judecată, se poate ocupa în cursul judecății cererilor sale. Deci, acest aspect care va naște noi litigii.</w:t>
      </w:r>
    </w:p>
    <w:p>
      <w:pPr>
        <w:pStyle w:val="Normal"/>
        <w:ind w:firstLine="708"/>
        <w:jc w:val="both"/>
        <w:rPr/>
      </w:pPr>
      <w:r>
        <w:rPr/>
        <w:t>Astfel, din statutul unei persoane care avea loc de muncă, în urma opțiunii sale de a intra în sistem ca polițist, în prezent, recurentul este fără serviciu, deşi nu a avut nicio culpă că Inspectoratul a dat decizii prin care, inițial, candidatului de pe locul întâi i-a fost respins rezultatul de la concurs și, astfel, a considerat că nu se poate valida. Practic, intimatul a ales ca cel de pe locul doi să intre în sistem, lucrând timp de doi ani pe un alt post vacant. Deci, A1 şi R1 au ocupat din 13.07.2023 posturi și, acum, prin punerea în aplicare a hotărârii prin care A1 și-a dobândit dreptul pe care îl avea, reclamantului R1 i-au încetat raporturile de serviciu dintr-un alt post.</w:t>
      </w:r>
    </w:p>
    <w:p>
      <w:pPr>
        <w:pStyle w:val="Normal"/>
        <w:ind w:firstLine="708"/>
        <w:jc w:val="both"/>
        <w:rPr/>
      </w:pPr>
      <w:r>
        <w:rPr/>
        <w:t xml:space="preserve">În prezent, recurentul este o persoană fără loc de muncă, fără venituri, cu o soție care realizează venituri apropiate de venitul minim pe economie și cu un copil în îngrijire. Ca atare, media veniturilor familiei este foarte mică. </w:t>
      </w:r>
    </w:p>
    <w:p>
      <w:pPr>
        <w:pStyle w:val="Normal"/>
        <w:ind w:firstLine="708"/>
        <w:jc w:val="both"/>
        <w:rPr/>
      </w:pPr>
      <w:r>
        <w:rPr/>
        <w:t>De asemenea, apreciază că există și o prejudiciu moral, întrucât recurentul, în comunitatea în care locuiește, este văzut ca o persoană care a devenit polițist, după care nu a mai fost polițist, aspect care va determina crearea unei imagini negative, imagine pe care va trebui să o repare ulterior, deși nu are nicio culpă.</w:t>
      </w:r>
    </w:p>
    <w:p>
      <w:pPr>
        <w:pStyle w:val="Normal"/>
        <w:ind w:firstLine="708"/>
        <w:jc w:val="both"/>
        <w:rPr/>
      </w:pPr>
      <w:r>
        <w:rPr/>
        <w:t>Apărătorul recurentului învederează că la dosar a fost depusă dovada că s-a înscris la un concurs organizat de Inspectoratul de Jandarmi. Mai întâi a fost respins dosarul, cu motivarea că nu poate fi văzut ca personal din sursă internă, deoarece încetarea calității de polițist nu a fost în raport de prevederile Legii nr. 360/2022, dar nu poate fi încadrat nici ca personal din sursă externă şi care nu are legătură cu sistemul, pentru că a lucrat în sistem o perioadă de timp. Practic, dispoziția contestată, a cărei suspendare se solicită, îl pune pe recurent într-o situație atipică, în care nu este nici fost polițist, nici persoană care nu are legătură cu sistemul.</w:t>
      </w:r>
    </w:p>
    <w:p>
      <w:pPr>
        <w:pStyle w:val="Normal"/>
        <w:ind w:firstLine="708"/>
        <w:jc w:val="both"/>
        <w:rPr/>
      </w:pPr>
      <w:r>
        <w:rPr/>
        <w:t>În concluzie, pentru motivele expuse pe larg în cerere, solicită admiterea recursului, fără cheltuieli de judecată, acestea urmând să fie solicitate pe care separată.</w:t>
      </w:r>
    </w:p>
    <w:p>
      <w:pPr>
        <w:pStyle w:val="Normal"/>
        <w:jc w:val="both"/>
        <w:rPr/>
      </w:pPr>
      <w:r>
        <w:rPr/>
      </w:r>
    </w:p>
    <w:p>
      <w:pPr>
        <w:pStyle w:val="Normal"/>
        <w:jc w:val="center"/>
        <w:rPr>
          <w:b/>
        </w:rPr>
      </w:pPr>
      <w:r>
        <w:rPr>
          <w:b/>
        </w:rPr>
        <w:t>C U R T E A</w:t>
      </w:r>
    </w:p>
    <w:p>
      <w:pPr>
        <w:pStyle w:val="Normal"/>
        <w:jc w:val="center"/>
        <w:rPr>
          <w:b/>
        </w:rPr>
      </w:pPr>
      <w:r>
        <w:rPr>
          <w:b/>
        </w:rPr>
      </w:r>
    </w:p>
    <w:p>
      <w:pPr>
        <w:pStyle w:val="Normal"/>
        <w:ind w:firstLine="567"/>
        <w:jc w:val="both"/>
        <w:rPr/>
      </w:pPr>
      <w:r>
        <w:rPr/>
        <w:t>Asupra recursului de față;</w:t>
      </w:r>
    </w:p>
    <w:p>
      <w:pPr>
        <w:pStyle w:val="Normal"/>
        <w:ind w:firstLine="567"/>
        <w:jc w:val="both"/>
        <w:rPr/>
      </w:pPr>
      <w:r>
        <w:rPr>
          <w:b/>
        </w:rPr>
        <w:t>Prin sentința nr. SC1 din data de ..., pronunţată de Tribunalul ..., Secția   ..., în dosarul nr. D1</w:t>
      </w:r>
      <w:r>
        <w:rPr/>
        <w:t xml:space="preserve"> s-a respins excepţia inadmisibilității cererii de suspendare.</w:t>
      </w:r>
    </w:p>
    <w:p>
      <w:pPr>
        <w:pStyle w:val="Normal"/>
        <w:ind w:firstLine="567"/>
        <w:jc w:val="both"/>
        <w:rPr/>
      </w:pPr>
      <w:r>
        <w:rPr/>
        <w:t xml:space="preserve">S-a respins cererea de suspendare executare act administrativ formulată de reclamantul R1 cu domiciliul în ...., în contradictoriu cu pârâtul Ministerul de Interne-Inspectoratul de Poliţie Județean..., cu sediul în ....  </w:t>
      </w:r>
    </w:p>
    <w:p>
      <w:pPr>
        <w:pStyle w:val="Normal"/>
        <w:ind w:firstLine="567"/>
        <w:jc w:val="both"/>
        <w:rPr/>
      </w:pPr>
      <w:r>
        <w:rPr>
          <w:b/>
        </w:rPr>
        <w:t xml:space="preserve">Împotriva sentinței nr. SC1 din data de ..., pronunţată de Tribunalul ..., Secția   ..., în dosarul nr. D1 </w:t>
      </w:r>
      <w:r>
        <w:rPr/>
        <w:t>a formulat recurs reclamantul R1, considerând-o netemeinică şi nelegală.</w:t>
      </w:r>
    </w:p>
    <w:p>
      <w:pPr>
        <w:pStyle w:val="Normal"/>
        <w:ind w:firstLine="567"/>
        <w:jc w:val="both"/>
        <w:rPr/>
      </w:pPr>
      <w:r>
        <w:rPr/>
        <w:t xml:space="preserve">În motivarea recursului, </w:t>
      </w:r>
      <w:r>
        <w:rPr>
          <w:b/>
        </w:rPr>
        <w:t xml:space="preserve">recurentul reclamant R1 </w:t>
      </w:r>
      <w:r>
        <w:rPr/>
        <w:t xml:space="preserve">a susținut că </w:t>
      </w:r>
      <w:bookmarkStart w:name="_Hlk172729156" w:id="21"/>
      <w:r>
        <w:rPr/>
        <w:t>sentința recurată a fost dată cu încălcarea prevederilor art. 14 şi art. 15 din Legea nr. 554/2004, art. 425 alin. 1 lit. b și art. 488 alin. 1 pct. 6 și pct. 8 Cod procedură civilă</w:t>
      </w:r>
      <w:bookmarkEnd w:id="21"/>
      <w:r>
        <w:rPr/>
        <w:t>, întrucât instanța de fond nu a analizat concret argumentele invocate de reclamant, nu a arătat motivele pentru care au fost înlăturate argumentele sale și a interpretat greșit situația de fapt, dar și temeiurile de drept aplicabile, motivarea fiind contradictorie și străină de natura cauzei.</w:t>
      </w:r>
    </w:p>
    <w:p>
      <w:pPr>
        <w:pStyle w:val="Normal"/>
        <w:ind w:firstLine="567"/>
        <w:jc w:val="both"/>
        <w:rPr/>
      </w:pPr>
      <w:r>
        <w:rPr/>
        <w:t>Prin cererea adresată instanței, recurentul a arătat că s-a înscris și a participat la concursul din data de 06.11.2021 organizat de IPJ..., obținând a 2-a notă, însă, întrucât candidatului ce a obținut prima notă din concurs i-a fost invalidat concursul și având în vedere adresa nr. ...4/16.11.2021 DMRU, I.P.J. ... a continuat procedura cu locul 2 (recurentul), atribuindu-i-se postul scos la concurs în cadrul Serviciului Logistic - Marketing și achiziții publice.</w:t>
      </w:r>
    </w:p>
    <w:p>
      <w:pPr>
        <w:pStyle w:val="Normal"/>
        <w:ind w:firstLine="567"/>
        <w:jc w:val="both"/>
        <w:rPr/>
      </w:pPr>
      <w:r>
        <w:rPr/>
        <w:t>Ulterior, prin Dispoziția Șefului Inspectoratului nr. ...6/12.07.202, s-a dispus că „începând cu data de 13.07.2023, subinspectorul de poliție R1 ... ..., ofițer IV în cadrul Serviciului Logistic, ..., se eliberează din funcția deținută, ... și se numește în funcția de ofițer IV ... în cadrul Serviciului de Investigare a Criminalității Economice Biroul Investigații Complexe astfel că din acel moment eu nu am mai ocupat postul obținut prin concurs, fiind încadrat pe un alt post vacant, în baza prevederilor art. 27</w:t>
      </w:r>
      <w:r>
        <w:rPr>
          <w:vertAlign w:val="superscript"/>
        </w:rPr>
        <w:t>33</w:t>
      </w:r>
      <w:r>
        <w:rPr/>
        <w:t xml:space="preserve"> din Legea nr. 360/2002 potrivit cărora: „Postul vacant se ocupă de polițistul care îndeplinește condițiile de ocupare prevăzute în fișa postului, precum și condițiile prevăzute de prezenta secțiune.,,, precum și dispozițiile art.2734 din Legea nr.360/2002 „Postul de execuție vacant se ocupă prin: b)mutare, la cerere sau în interesul serviciului.”</w:t>
      </w:r>
    </w:p>
    <w:p>
      <w:pPr>
        <w:pStyle w:val="Normal"/>
        <w:ind w:firstLine="567"/>
        <w:jc w:val="both"/>
        <w:rPr/>
      </w:pPr>
      <w:r>
        <w:rPr/>
        <w:t>Ignorând această situație de fapt, instanța de fond a reținut, în mod contradictoriu, că există „o altă hotărâre intrată în putere de lucru judecat, prin care i s-a dat câștig de cauză unui alt candidat, hotărâre pronunțată chiar în contradictoriu cu petentul R1 ..., A1 fiind trecut, începând cu data de 13.07.2023, în corpul ofițerilor și i s-a acordat gradul profesional de inspector principal de poliție, respectiv a fost numit în funcția de ofițer IV în Serviciul Logistic - Marketing și achiziții publice, la poziția 51/a din statul de organizare al unității, ca urmare a concursului organizat la data de 06.11.2021”.</w:t>
      </w:r>
    </w:p>
    <w:p>
      <w:pPr>
        <w:pStyle w:val="Normal"/>
        <w:ind w:firstLine="567"/>
        <w:jc w:val="both"/>
        <w:rPr/>
      </w:pPr>
      <w:r>
        <w:rPr/>
        <w:t>Această motivare este contradictorie cu Dispoziția Șefului Inspectoratului nr. ...6/12.07.2023, prin care a fost numit în funcția de ofițer IV în cadrul Serviciului de Investigare a Criminalității Economice Biroul Investigații Complexe, deoarece postul cuvenit lui A1 era cel din cadrul Serviciului Logistic - Marketing și achiziții publice, astfel că judecata din dosarul nr. D3 nu putea avea efecte asupra postului din cadrul Serviciului de Investigare a Criminalității Economice Biroul Investigații Complexe, ocupat de recurent începând din 13.07.2023, post din care i-au încetat raporturile de serviciu, potrivit Dispoziției nr.   ...0/11.04.2024, contestată de recurent și față de care a solicitat suspendarea executării.</w:t>
      </w:r>
    </w:p>
    <w:p>
      <w:pPr>
        <w:pStyle w:val="Normal"/>
        <w:ind w:firstLine="567"/>
        <w:jc w:val="both"/>
        <w:rPr/>
      </w:pPr>
      <w:r>
        <w:rPr/>
        <w:t>Mai mult, deși judecata în cazul lui A1 viza postul din cadrul Serviciului Logistic - Marketing și achiziții publice, prin Dispoziția Șefului Inspectoratului nr.   ...0 din 11.04.2024 s-a dispus: „începând cu data de 27.02.2024, subinspectorului de poliție R1 ... ... , ofițer IV în carul Serviciului de Investigare a Criminalității Economie, Biroul Investigații Complexe, la poziția 179/a din statul de organizare, i-au încetat raporturile de serviciu cu unitatea”, adică din alt post decât cel obținut în urma concursului, post diferit de cel cuvenit lui A1.</w:t>
      </w:r>
    </w:p>
    <w:p>
      <w:pPr>
        <w:pStyle w:val="Normal"/>
        <w:ind w:firstLine="567"/>
        <w:jc w:val="both"/>
        <w:rPr/>
      </w:pPr>
      <w:r>
        <w:rPr/>
        <w:t>Practic, în data de 12.07.2023, recurentul a fost numit în funcția de ofițer IV în cadrul Serviciului de Investigare a Criminalității Economice Biroul Investigații Complexe, poziția 179/a începând cu data de 13.07.2023, dată la care A1 a fost numit în funcția de ofițer IV în Serviciul Logistic - Marketing și achiziții publice, poziția 51/a, astfel că, anterior pronunțării sentinței nr. SC2 și a deciziei nr.DC2, date în dosarul nr. D3, atât recurentul, cât și A1 ocupau posturi distincte (179/a vs 51/a).</w:t>
      </w:r>
    </w:p>
    <w:p>
      <w:pPr>
        <w:pStyle w:val="Normal"/>
        <w:ind w:firstLine="567"/>
        <w:jc w:val="both"/>
        <w:rPr/>
      </w:pPr>
      <w:r>
        <w:rPr/>
        <w:t>Apare, astfel, ca evident că A1 s-a judecat pentru postul din cadrul Serviciului Logistic - Marketing și achiziții publice, post ce a făcut obiectul concursului din 06.11.2021, post pe care l-a și ocupat anterior soluționării definitive a dosarului nr. D3, post ce a fost ocupat de recurent doar până în data de 12.07.2023, când a fost eliberat din funcția respectivă, iar de la data de 13.07.2023 a ocupat un alt post ce era vacant, în cadrul Serviciului de Investigare a Criminalității Economice Biroul Investigații Complexe, în baza Dispoziției Șefului Inspectoratului nr. ...6/12.07.2023.</w:t>
      </w:r>
    </w:p>
    <w:p>
      <w:pPr>
        <w:pStyle w:val="Normal"/>
        <w:ind w:firstLine="567"/>
        <w:jc w:val="both"/>
        <w:rPr/>
      </w:pPr>
      <w:r>
        <w:rPr/>
        <w:t>Rezultă, deci, că ulterior datei de 13.07.2023 A1 a ocupat postul obținut prin concurs, astfel că hotărârile pronunțate în dosarul nr. D3 sunt respectate, nefiind încălcată puterea lucrului judecat a acestora, contrar celor reținute de instanța de fond.</w:t>
      </w:r>
    </w:p>
    <w:p>
      <w:pPr>
        <w:pStyle w:val="Normal"/>
        <w:ind w:firstLine="567"/>
        <w:jc w:val="both"/>
        <w:rPr/>
      </w:pPr>
      <w:bookmarkStart w:name="_Hlk172729294" w:id="22"/>
      <w:r>
        <w:rPr/>
        <w:t>Nelegalitatea invocată de recurent este aceea că încetarea raporturilor sale de serviciu în baza dispoziției nr.   ...0/11.04.2024 s-a făcut dintr-un alt post decât cel vizat de judecata din dosarul nr. D3, post dobândit prin Dispoziția nr. ...6/12.07.2023, post vacant la data atribuirii către recurent şi care nu a făcut obiectul vreunei judecăți.</w:t>
      </w:r>
      <w:bookmarkEnd w:id="22"/>
    </w:p>
    <w:p>
      <w:pPr>
        <w:pStyle w:val="Normal"/>
        <w:ind w:firstLine="567"/>
        <w:jc w:val="both"/>
        <w:rPr/>
      </w:pPr>
      <w:r>
        <w:rPr/>
        <w:t>Or, în aceste condiții, cazul bine justificat este reprezentat de faptul că a fost pusă în executare în mod eronat sentința nr. SC2 pronunțată de Tribunalul ... și decizia nr. DC2 pronunțată de Curtea de Apel ..., ambele în dosarul nr. D3, deoarece i-au încetat raporturile de serviciu dintr-un alt post decât cel ce a făcut obiectul concursului din 06.11.2021, distinct de postul ocupat de A1 încă din 13.07.2023.</w:t>
      </w:r>
    </w:p>
    <w:p>
      <w:pPr>
        <w:pStyle w:val="Normal"/>
        <w:ind w:firstLine="567"/>
        <w:jc w:val="both"/>
        <w:rPr/>
      </w:pPr>
      <w:r>
        <w:rPr/>
        <w:t>Instanța de fond a încălcat prevederile art. 488 Cod procedură civilă și prin faptul că a considerat că încălcarea dispozițiilor art. 535 raportat la art. 533 din O.U.G. nr. 57/2019 privind Codul Administrativ, precum și prevederile art. 517 alin. 3 din O.U.G. nr. 57/2019 „nu-și găsesc aplicabilitatea referitoare la dispoziția a cărei suspendare se solicită, nefiind în prezența unui caz bine justificat care să îndreptățească suspendarea executării actului administrativ”, deși, potrivit art. 535 din Codul administrativ, „Actele administrative întocmite cu nerespectarea dispozițiilor art. 528-533 sunt nule de drept. Nulitatea se constată de instanța de contencios administrativ competentă, în condițiile legii. ”</w:t>
      </w:r>
    </w:p>
    <w:p>
      <w:pPr>
        <w:pStyle w:val="Normal"/>
        <w:ind w:firstLine="567"/>
        <w:jc w:val="both"/>
        <w:rPr/>
      </w:pPr>
      <w:r>
        <w:rPr/>
        <w:t>Recurentul a apreciat că motivarea instanței cu privire la îndeplinirea condițiilor art. 15 din Legea nr. 554/2004 este nelegală, din moment ce instanța de fond s-a rezumat la a arăta că nu sunt îndeplinite condițiile legale „prin raportare la cele statuate de doctrina și practica judecătorească”, doctrină și practică neindicate concret în cuprinsul sentinței, mai ales că există posibilitatea de a nu exista cauze similare cu a recurentului.</w:t>
      </w:r>
    </w:p>
    <w:p>
      <w:pPr>
        <w:pStyle w:val="Normal"/>
        <w:ind w:firstLine="567"/>
        <w:jc w:val="both"/>
        <w:rPr/>
      </w:pPr>
      <w:r>
        <w:rPr/>
        <w:t>Deși a menționat că „existența cazului bine justificat poate fi reținută doar dacă, din împrejurările cauzei ar rezulta o îndoială puternică și evidentă asupra prezumției de legalitate a actului administrativ, îndoială care nu a fost ridicată prin aspectele invocate de reclamante”, instanța a ignorat invocarea unor nulități absolute, faptul că i-au încetat efectele de serviciu din alt post decât cel vizat de concursul din 06.11.2021 și judecata din dosarul nr. D3, precum și faptul că, printr-o dispoziție din 11.04.2024, s-a dispus pentru trecut începând cu data de 27.02.2024.</w:t>
      </w:r>
    </w:p>
    <w:p>
      <w:pPr>
        <w:pStyle w:val="Normal"/>
        <w:ind w:firstLine="567"/>
        <w:jc w:val="both"/>
        <w:rPr/>
      </w:pPr>
      <w:r>
        <w:rPr/>
        <w:t>Mai mult, instanța de fond a reținut eronat că reclamantul nu a putut argumenta cererea prin „invocarea unor elemente generale sau de unele care țin de însăși fondul cauzei, cauză ce a fost soluționată definitiv”, deși dosarul nr. D2 al Tribunalului ... nu a fost soluționat definitiv.</w:t>
      </w:r>
    </w:p>
    <w:p>
      <w:pPr>
        <w:pStyle w:val="Normal"/>
        <w:ind w:firstLine="567"/>
        <w:jc w:val="both"/>
        <w:rPr/>
      </w:pPr>
      <w:bookmarkStart w:name="_Hlk172729473" w:id="23"/>
      <w:r>
        <w:rPr/>
        <w:t xml:space="preserve">În realitate, instanța a considerat în mod greșit că demersurile recurentului vizau postul ocupat de către A1, din moment ce motivarea respingerii cererii sale a făcut trimitere la judecata din dosarul nr. D3 </w:t>
      </w:r>
      <w:bookmarkEnd w:id="23"/>
      <w:r>
        <w:rPr/>
        <w:t>și la faptul „că un alt candidat, agentul șef de poliție A1, din cadrul IPJ..., a obținut și nota cea mai mare” și că cererea sa a fost neîntemeiată „în această situație „ existând o hotărâre intrată în puterea lucrului judecat, prin care i s-a dat câștig de cauză unui alt candidat...</w:t>
      </w:r>
    </w:p>
    <w:p>
      <w:pPr>
        <w:pStyle w:val="Normal"/>
        <w:ind w:firstLine="567"/>
        <w:jc w:val="both"/>
        <w:rPr/>
      </w:pPr>
      <w:r>
        <w:rPr/>
        <w:t>Or, așa cum a arătat mai sus, dispoziția nr.   ...0/11.04.2024 a dispus cu privire la un alt post decât cel vizat de concursul din 06.11.2021 și de judecata din dosarul nr. D3, motiv pentru care recurentul a apreciat că sunt îndeplinite condițiile prevăzute de art. 14 din Legea nr. 554/2004.</w:t>
      </w:r>
    </w:p>
    <w:p>
      <w:pPr>
        <w:pStyle w:val="Normal"/>
        <w:ind w:firstLine="567"/>
        <w:jc w:val="both"/>
        <w:rPr/>
      </w:pPr>
      <w:r>
        <w:rPr/>
        <w:t>Recurentul reclamant a precizat că paguba iminentă constă în faptul că există posibilitatea ca postul său din cadrul Serviciului de Investigare a Criminalității Economice Biroul Investigații Complexe să se ocupe în cursul judecății dosarului nr. D2, ceea ce va genera alte litigii, dar și faptul că, în timpul judecății, este lipsit de veniturile necesare traiului zilnic pentru o perioadă de timp ce nu este previzibilă, cu consecința că veniturile respective se pot recupera numai printr-o nouă procedură la instanța de judecată, ceea ce reprezintă o sarcină prea grea și un prejudiciu material viitor și previzibil ce justifică admiterea cererii de suspendare a executării actului administrativ.</w:t>
      </w:r>
    </w:p>
    <w:p>
      <w:pPr>
        <w:pStyle w:val="Normal"/>
        <w:ind w:firstLine="567"/>
        <w:jc w:val="both"/>
        <w:rPr/>
      </w:pPr>
      <w:r>
        <w:rPr/>
        <w:t>Practic, de la o situație materială și o stabilitate profesională de care beneficia anterior dobândirii unui loc de muncă în cadrul I.P.J. ..., a trecut brusc la statutul unei persoane fără loc de muncă și fără venituri, fără a avea nici măcar timpul necesar relocării profesionale.</w:t>
      </w:r>
    </w:p>
    <w:p>
      <w:pPr>
        <w:pStyle w:val="Normal"/>
        <w:ind w:firstLine="567"/>
        <w:jc w:val="both"/>
        <w:rPr/>
      </w:pPr>
      <w:r>
        <w:rPr/>
        <w:t>Recurentul a menţionat că încadrarea s-a realizat pentru o perioadă nedeterminată (adeverința nr. ...7/13.05.2022), ceea ce l-a determinat să renunțe la vechiul loc de muncă (în care realiza între 4000 și 7431 lei la nivelul anilor 2021-2022, așa cum rezultă din adeverința nr. ...7/07.04.2022) și la oportunitățile pe care le avea pentru a începe cariera de ofițer de poliție.</w:t>
      </w:r>
    </w:p>
    <w:p>
      <w:pPr>
        <w:pStyle w:val="Normal"/>
        <w:ind w:firstLine="567"/>
        <w:jc w:val="both"/>
        <w:rPr/>
      </w:pPr>
      <w:bookmarkStart w:name="_Hlk172729508" w:id="24"/>
      <w:r>
        <w:rPr/>
        <w:t>Mai mult, încetarea raporturilor sale de serviciu, în baza dispoziției nr.   ...0/11.04.2021, generează o situație atipică în sensul că, deși s-a înscris la un concurs pentru ocuparea unui post în cadrul I.P.J...., i-a fost respins dosarul, așa cum rezultă din email-ul din 04.07.2024, pe care l-a atașat, neputând participa la concurs nici ca persoană din sursă externă, deoarece a avut calitatea de polițist, nici ca persoană din sursă internă, deoarece calitatea de polițist a încetat în alt mod decât cele prevăzute de Legea nr. 360/2002.</w:t>
      </w:r>
      <w:bookmarkEnd w:id="24"/>
    </w:p>
    <w:p>
      <w:pPr>
        <w:pStyle w:val="Normal"/>
        <w:ind w:firstLine="567"/>
        <w:jc w:val="both"/>
        <w:rPr/>
      </w:pPr>
      <w:r>
        <w:rPr/>
        <w:t>În concluzie, recurentul reclamant a solicitat admiterea recursului, casarea sentinței recurate şi admiterea cererii, în sensul suspendării executării actului administrativ reprezentat de Dispoziția Șefului Inspectoratului nr.   ...0 din 11.04.2024, până la soluționarea definitivă a plângerii formulate împotriva dispoziției respective, ce face obiectul dosarului nr. D2 al Tribunalului ....</w:t>
      </w:r>
    </w:p>
    <w:p>
      <w:pPr>
        <w:pStyle w:val="Normal"/>
        <w:ind w:firstLine="567"/>
        <w:jc w:val="both"/>
        <w:rPr/>
      </w:pPr>
      <w:r>
        <w:rPr/>
        <w:t xml:space="preserve">La data de 06.04.2024, intimatul pârât </w:t>
      </w:r>
      <w:r>
        <w:rPr>
          <w:b/>
        </w:rPr>
        <w:t>Ministerul Afacerilor Interne - Inspectoratul de Poliție Județean...</w:t>
      </w:r>
      <w:r>
        <w:rPr/>
        <w:t xml:space="preserve"> a depus </w:t>
      </w:r>
      <w:r>
        <w:rPr>
          <w:b/>
          <w:i/>
        </w:rPr>
        <w:t>întâmpinare</w:t>
      </w:r>
      <w:r>
        <w:rPr/>
        <w:t xml:space="preserve"> prin care a solicitat respingerea recursului ca nefondat.</w:t>
      </w:r>
    </w:p>
    <w:p>
      <w:pPr>
        <w:pStyle w:val="Normal"/>
        <w:ind w:firstLine="567"/>
        <w:jc w:val="both"/>
        <w:rPr/>
      </w:pPr>
      <w:r>
        <w:rPr/>
        <w:t>Recurentul-reclamant invocă, în drept, în susținerea cererii de recurs, motivele de casare prevăzute la art. 488, alin. 1 pct. 6 și 8 din Codul de procedură civilă, referitoare la faptul că hotărârea nu cuprinde motivele pe care se întemeiază sau când cuprinde motive contradictorii ori numai motive străine de natura cauzei, precum și la faptul că hotărârea a fost dată cu încălcarea sau aplicarea greșită a normelor de drept material.</w:t>
      </w:r>
    </w:p>
    <w:p>
      <w:pPr>
        <w:pStyle w:val="Normal"/>
        <w:ind w:firstLine="567"/>
        <w:jc w:val="both"/>
        <w:rPr/>
      </w:pPr>
      <w:r>
        <w:rPr/>
        <w:t>Sub aspectul primului motiv de casare indicat de recurent, din hotărârea judecătorească atacată rezultă faptul că instanța a analizat actul administrativ atât sub aspectul motivării în drept, cât și în ceea ce privește motivele de fapt care au stat la baza emiterii sale, constatând că nu există argumente care să conducă la concluzia unei aparente ilegalități a actului.</w:t>
      </w:r>
    </w:p>
    <w:p>
      <w:pPr>
        <w:pStyle w:val="Normal"/>
        <w:ind w:firstLine="567"/>
        <w:jc w:val="both"/>
        <w:rPr/>
      </w:pPr>
      <w:r>
        <w:rPr/>
        <w:t>De asemenea, intimatul a apreciat că instanța a făcut, în speță, o aplicare corectă a prevederilor referitoare la suspendarea executării actelor administrative cuprinse în Legii nr. 554/2002, a contenciosului administrativ, precum și a normelor legale aplicabile în privința actului administrativ a cărui suspendare a fost solicitată.</w:t>
      </w:r>
    </w:p>
    <w:p>
      <w:pPr>
        <w:pStyle w:val="Normal"/>
        <w:ind w:firstLine="567"/>
        <w:jc w:val="both"/>
        <w:rPr/>
      </w:pPr>
      <w:r>
        <w:rPr/>
        <w:t>Astfel cum a arătat și în întâmpinarea formulată în primă instanță, prin sentința civilă nr. SC2 pronunțată de Tribunalul ... în dosarul nr. D3, rămasă definitivă prin decizia Curții de Apel Craiova nr. DC2, a fost admisă în parte acțiunea formulată de numitul A1 în contradictoriu cu pârâții Inspectoratul de Poliție Județean..., R1 ... și comisar șef de poliție B1, adjunct al șefului I.P.J. Goij, dispunându-se anularea dispozițiilor nr. ...4/05.04.2022 și nr. ...5/05.04.2022, privind acordarea gradului profesional, respectiv numirea în funcție a subinspectorului de poliție R1 .....</w:t>
      </w:r>
    </w:p>
    <w:p>
      <w:pPr>
        <w:pStyle w:val="Normal"/>
        <w:ind w:firstLine="567"/>
        <w:jc w:val="both"/>
        <w:rPr/>
      </w:pPr>
      <w:r>
        <w:rPr/>
        <w:t>Având în vedere prevederile art. 66 alin. 2 din Legea nr. 360/2002 privind Stalului polițistului cu modificările şi completările ulterioare potrivit cărora „raportul de serviciu al polițistului ia naștere o data cu acordarea primului grad profesional”, precum și faptul că, atât actul prin care i s-a acordat lui R1 ... primul grad profesional, cât și cel referitor la numirea sa în prima funcție au fost anulate de instanța de judecată, a fost emisă dispoziția șefului I.P.J. ... nr.   ...0/11.04.2024, prin care subinspectorului de poliție R1 ... i-au încetat raporturile de serviciu cu unitatea.</w:t>
      </w:r>
    </w:p>
    <w:p>
      <w:pPr>
        <w:pStyle w:val="Normal"/>
        <w:ind w:firstLine="567"/>
        <w:jc w:val="both"/>
        <w:rPr/>
      </w:pPr>
      <w:r>
        <w:rPr/>
        <w:t>Astfel cum s-a menționat și în răspunsul la plângerea prealabilă formulată de recurentul reclamant, în dispoziția inspectorului șef al I.P.J. ... nr.   ...0/11.04.2024, a cărei suspendare s-i solicitat, este indicat, ca temei de drept, art. 517, alin. 1, lit. f din O.U.G. nr. 57/2019 privind Codul administrativ. Textul de lege trebuie interpretat în sensul că raportul de serviciu al funcționarului public încetează în cazul în care actul administrativ privind numirea în funcție a acestuia a fost anulat, chiar dacă, ulterior respectivei numiri, au intervenit modificări ale respectivului raport de serviciu, existent între funcționar și același angajator.</w:t>
      </w:r>
    </w:p>
    <w:p>
      <w:pPr>
        <w:pStyle w:val="Normal"/>
        <w:ind w:firstLine="567"/>
        <w:jc w:val="both"/>
        <w:rPr/>
      </w:pPr>
      <w:r>
        <w:rPr/>
        <w:t>Așadar, art. 517, alin. 1, lit. f din O.U.G. nr. 57/2019 privind Codul administrativ are incidență în speță, chiar daca, prin dispoziția șefului I.P.J. ... nr. ...6/12.07.2023, reclamantul a fost mutat pe o altă funcție în cadrul aceleiași unități de poliție.</w:t>
      </w:r>
    </w:p>
    <w:p>
      <w:pPr>
        <w:pStyle w:val="Normal"/>
        <w:ind w:firstLine="567"/>
        <w:jc w:val="both"/>
        <w:rPr/>
      </w:pPr>
      <w:r>
        <w:rPr/>
        <w:t>Nici cel de-al doilea argument invocat de recurentul-reclamant cu privire la pretinsa vădită nelegalitate a dispoziției șefului I.P.J. ... nr.   ...0/11.04.2024 nu se susține. Nici prevederile art.533 din O.U.G. nr. 57/2019 și, pe cale de consecință, nici cele ale art. 535 din același act normativ nu sunt aplicabile dispozițiilor prin care se constată încetarea raporturilor de serviciu ale polițiștilor. Legea specială (Legea nr. 360/2002, privind Statutul polițistului) cuprinde reglementări speciale, derogatorii de la dreptul comun, cu privire la procedurile privind nașterea, modificarea, suspendarea și încetarea raporturilor de serviciu ale polițiștilor.</w:t>
      </w:r>
    </w:p>
    <w:p>
      <w:pPr>
        <w:pStyle w:val="Normal"/>
        <w:ind w:firstLine="567"/>
        <w:jc w:val="both"/>
        <w:rPr/>
      </w:pPr>
      <w:r>
        <w:rPr/>
        <w:t>Astfel, potrivit prevederilor art. 741 lit. b din Legea nr. 360/2002 privind Statutul polițistului, „Prin ordin al ministrului afacerilor interne se stabilesc aspecte procedurale cu privire la:...b) nașterea, modificarea, suspendarea și încetarea raporturilor de serviciu.” Și în considerarea acestei dispoziții, cuprinsă în legea specială ce reglementează Statutul polițistului, a fost emis Ordinul M.A.I. nr. 140/2016 (a se vedea art. 1, lit. g din ordin și anexa nr. 7 a acestuia).</w:t>
      </w:r>
    </w:p>
    <w:p>
      <w:pPr>
        <w:pStyle w:val="Normal"/>
        <w:ind w:firstLine="567"/>
        <w:jc w:val="both"/>
        <w:rPr/>
      </w:pPr>
      <w:r>
        <w:rPr/>
        <w:t>În consecință, nici cerințele prevăzute la art. 533 din O.U.G. nr. 57/2019 și nici sancțiunea prevăzută la art. 535 din același act normativ nu au incidență în privința dispoziției a cărei suspendare s-a solicitat. Pentru aceleași argumente, nu sunt aplicabile nici prevederile art. 517, alin. 3 din O.U.G. nr. 57/2019.</w:t>
      </w:r>
    </w:p>
    <w:p>
      <w:pPr>
        <w:pStyle w:val="Normal"/>
        <w:ind w:firstLine="567"/>
        <w:jc w:val="both"/>
        <w:rPr/>
      </w:pPr>
      <w:r>
        <w:rPr/>
        <w:t>În consecință, așa cum a reținut și prima instanță, nu este situația existenței unui caz bine justificat care să îndreptățească suspendarea executării actului administrativ.</w:t>
      </w:r>
    </w:p>
    <w:p>
      <w:pPr>
        <w:pStyle w:val="Normal"/>
        <w:ind w:firstLine="567"/>
        <w:jc w:val="both"/>
        <w:rPr/>
      </w:pPr>
      <w:r>
        <w:rPr/>
        <w:t>De asemenea, prima instanță a apreciat corect atunci când a arătat că nu este îndeplinită, în speță, nici cealaltă cerință la care face trimitere art. 15, alin. 1 din Legea nr. 554/2004 a contenciosului administrativ, referitoare prevenirea unei pagube iminente, greu sau imposibil de reparat.</w:t>
      </w:r>
    </w:p>
    <w:p>
      <w:pPr>
        <w:pStyle w:val="Normal"/>
        <w:ind w:firstLine="567"/>
        <w:jc w:val="both"/>
        <w:rPr/>
      </w:pPr>
      <w:r>
        <w:rPr/>
        <w:t>Prevederea legală referitoare la existența unei pagube iminente se referă, astfel cum au statuat, în mod consecvent, atât doctrina, cât și practica judecătorească, la situațiile în care, după anularea actului administrativ, persoana vizată nu ar mai putea fi repusă în situația anterioară (executarea actului este, în mod obiectiv, ireversibilă). Lipsirea de veniturile actuale și dificultatea în stabilirea unui alt raport de serviciu, ori în încheierea unui alt contract de muncă nu constituie pagube iminente, imposibil de reparat, în accepțiunea dispozițiilor Legii nr. 554/2004, a contenciosului administrativ</w:t>
      </w:r>
    </w:p>
    <w:p>
      <w:pPr>
        <w:pStyle w:val="Normal"/>
        <w:ind w:firstLine="567"/>
        <w:jc w:val="both"/>
        <w:rPr/>
      </w:pPr>
      <w:r>
        <w:rPr/>
        <w:t xml:space="preserve">Față de cele arătate mai sus, intimatul a </w:t>
      </w:r>
      <w:bookmarkStart w:name="_Hlk172728796" w:id="25"/>
      <w:r>
        <w:rPr/>
        <w:t>solicitat respingerea recursului și menținerea ca temeinică și legală a sentinței civile nr. SC4, pronunțată de Tribunalul ... în dosarul nr. D1.</w:t>
      </w:r>
      <w:bookmarkEnd w:id="25"/>
    </w:p>
    <w:p>
      <w:pPr>
        <w:pStyle w:val="Normal"/>
        <w:ind w:firstLine="567"/>
        <w:jc w:val="both"/>
        <w:rPr/>
      </w:pPr>
      <w:r>
        <w:rPr/>
        <w:t>În baza art. 411 alin. 1, pct. 2, teza a doua din Codul de procedură civilă, intimatul pârât a solicitat judecarea cauzei în lipsă.</w:t>
      </w:r>
    </w:p>
    <w:p>
      <w:pPr>
        <w:pStyle w:val="Normal"/>
        <w:ind w:firstLine="708"/>
        <w:jc w:val="both"/>
        <w:rPr>
          <w:b/>
        </w:rPr>
      </w:pPr>
      <w:r>
        <w:rPr>
          <w:b/>
        </w:rPr>
        <w:t>Curtea ,examinând recursul, prin prisma  motivelor indicate la art. 488 alineat 1 pct. 6 şi 8 Cod de procedură civilă, îl apreciază nefondat pentru cele ce succed:</w:t>
      </w:r>
    </w:p>
    <w:p>
      <w:pPr>
        <w:pStyle w:val="Normal"/>
        <w:ind w:firstLine="708"/>
        <w:jc w:val="both"/>
        <w:rPr/>
      </w:pPr>
      <w:r>
        <w:rPr/>
        <w:t>Recurentul-reclamant  invocă insuficienta motivare prin raportare la argumentele invocate de acesta.</w:t>
      </w:r>
    </w:p>
    <w:p>
      <w:pPr>
        <w:pStyle w:val="Normal"/>
        <w:ind w:firstLine="709"/>
        <w:jc w:val="both"/>
        <w:rPr/>
      </w:pPr>
      <w:r>
        <w:rPr/>
        <w:t>In privinţa</w:t>
      </w:r>
      <w:r>
        <w:rPr>
          <w:i/>
        </w:rPr>
        <w:t xml:space="preserve"> </w:t>
      </w:r>
      <w:r>
        <w:rPr/>
        <w:t xml:space="preserve">acestui motiv de casare întemeiat pe art. 488 alin. (1) pct. 6 C.pr.civ., Curtea constată că nu poate fi primit, întrucât sentinţa recurată respectă exigenţele impuse de art. 425 alin. (1) lit. b) C.pr.pen., instanța de fond prezentând în mod corespunzător motivele de fapt și de drept avute în vedere la pronunțarea soluției, iar acestea nu sunt străine de natura cauzei. </w:t>
      </w:r>
    </w:p>
    <w:p>
      <w:pPr>
        <w:pStyle w:val="Normal"/>
        <w:ind w:firstLine="708"/>
        <w:jc w:val="both"/>
        <w:rPr/>
      </w:pPr>
      <w:r>
        <w:rPr/>
        <w:t xml:space="preserve">Astfel, Curtea apreciază că în considerente, prima instanță a analizat în mod corespunzător susţinerile reclamanului  şi apărările pârâtului, iar faptul că nu a interpretat argumentele invocate de recurent în sensul propus de aceasta şi  a dat eficienţă puterii de lucru judecat, prin prisma faptului că dispoziţia inspectorului şef al I.P.J. ... nr.   ...0/11.04.2024 a fost emisă ca urmare a unei hotărâri care beneficiază de această prezumţie absolută  , nu conduce la concluzia că nu ar fi cercetat cauza, în limitele defipte de art. 14 din Legea 554/2004. </w:t>
      </w:r>
    </w:p>
    <w:p>
      <w:pPr>
        <w:pStyle w:val="Normal"/>
        <w:ind w:firstLine="709"/>
        <w:jc w:val="both"/>
        <w:rPr/>
      </w:pPr>
      <w:r>
        <w:rPr/>
        <w:t xml:space="preserve">Foarte important este faptul ca puterea de lucru judecat nu este limitata la dispozitivul hotararii, ci ea se intinde si asupra </w:t>
      </w:r>
      <w:r>
        <w:rPr>
          <w:i/>
        </w:rPr>
        <w:t xml:space="preserve">considerentelor </w:t>
      </w:r>
      <w:r>
        <w:rPr/>
        <w:t xml:space="preserve">hotărârii, care constituie sustinerea necesara a dispozitivului,  făcând corp comun cu acesta. </w:t>
      </w:r>
    </w:p>
    <w:p>
      <w:pPr>
        <w:pStyle w:val="Normal"/>
        <w:ind w:firstLine="709"/>
        <w:jc w:val="both"/>
        <w:rPr/>
      </w:pPr>
      <w:r>
        <w:rPr/>
        <w:t>În privinţa motivului de casare prev. de art. 488 alin. (1) pct. 8 C.pr.civ. Curtea reţine următoarele:</w:t>
      </w:r>
    </w:p>
    <w:p>
      <w:pPr>
        <w:pStyle w:val="Normal"/>
        <w:ind w:firstLine="708"/>
        <w:jc w:val="both"/>
        <w:rPr>
          <w:b/>
        </w:rPr>
      </w:pPr>
      <w:r>
        <w:rPr/>
        <w:t>Sub aspectul greşitei aplicări a dispoziţiilor de drept material, hotărârea atacată a fost dată cu aplicarea corectă a normelor legale incidente în speţa dedusă judecăţii.</w:t>
      </w:r>
    </w:p>
    <w:p>
      <w:pPr>
        <w:pStyle w:val="Normal"/>
        <w:jc w:val="both"/>
        <w:rPr/>
      </w:pPr>
      <w:r>
        <w:rPr/>
        <w:tab/>
        <w:t xml:space="preserve">Î.C.C.J,  Secţia   ..., în decizia nr. 2199 din 14 aprilie 2009 a reţinut că </w:t>
      </w:r>
      <w:r>
        <w:rPr>
          <w:b/>
        </w:rPr>
        <w:t>a</w:t>
      </w:r>
      <w:r>
        <w:rPr/>
        <w:t>ctul administrativ se bucură de prezumţia de legalitate, care la rândul său se bazează pe prezumţiile autenticităţii şi veridicităţii fiind el însuşi titlu executoriu.</w:t>
      </w:r>
    </w:p>
    <w:p>
      <w:pPr>
        <w:pStyle w:val="Normal"/>
        <w:jc w:val="both"/>
        <w:rPr/>
      </w:pPr>
      <w:r>
        <w:rPr/>
        <w:tab/>
        <w:t>Principiul legalităţii actelor administrative presupune însă atât ca autorităţile  administrative  să nu încalce legea, cât şi ca toate deciziile lor să se întemeieze pe lege. El impune, în egală măsură, ca respectarea acestor  exigenţe de către autorităţi să fie în mod  efectiv asigurată.</w:t>
      </w:r>
    </w:p>
    <w:p>
      <w:pPr>
        <w:pStyle w:val="Normal"/>
        <w:jc w:val="both"/>
        <w:rPr/>
      </w:pPr>
      <w:r>
        <w:rPr/>
        <w:tab/>
        <w:t>Prin urmare, în procesul  executării din oficiu a actelor administrative trebuie asigurat un anumit echilibru, precum şi  anumite garanţii de echitate pentru particulari, întrucât acţiunile  autorităţilor publice nu pot fi  discreţionare, iar legea trebuie să furnizeze individului o protecţie adecvată împotriva arbitrariului.</w:t>
      </w:r>
    </w:p>
    <w:p>
      <w:pPr>
        <w:pStyle w:val="Normal"/>
        <w:jc w:val="both"/>
        <w:rPr/>
      </w:pPr>
      <w:r>
        <w:rPr/>
        <w:tab/>
        <w:t>Tocmai de aceea suspendarea executării actelor  administrative trebuie considerată ca fiind, în realitate, un  eficient instrument procedural aflat la îndemâna autorităţii emitente sau a instanţei de judecată pentru a sigura respectarea principiului legalităţii, fiind echitabil ca atât timp cât  autoritatea publică sau judecătorul se află  în proces de evaluare, acestea să nu-şi producă efecte asupra celor vizaţi.</w:t>
      </w:r>
    </w:p>
    <w:p>
      <w:pPr>
        <w:pStyle w:val="Normal"/>
        <w:jc w:val="both"/>
        <w:rPr/>
      </w:pPr>
      <w:r>
        <w:rPr/>
        <w:tab/>
        <w:t>În considerarea celor două principii incidente în materie – al legalităţii actului şi al executării acestuia din oficiu -  suspendarea executării  constituie însă o situaţie de excepţie, aceasta putând fi dispusă numai în cazurile şi în condiţiile  expres prevăzute de lege.</w:t>
      </w:r>
    </w:p>
    <w:p>
      <w:pPr>
        <w:pStyle w:val="Normal"/>
        <w:jc w:val="both"/>
        <w:rPr/>
      </w:pPr>
      <w:r>
        <w:rPr/>
        <w:tab/>
        <w:t>În plan intern, suspendarea executării actului administrativ este reglementată prin art. 14 şi 15 din Legea nr. 554/2004, putând fi dispusă numai în cazuri bine justificate şi pentru prevenirea unei pagube iminente.</w:t>
      </w:r>
    </w:p>
    <w:p>
      <w:pPr>
        <w:pStyle w:val="Normal"/>
        <w:jc w:val="both"/>
        <w:rPr/>
      </w:pPr>
      <w:r>
        <w:rPr/>
        <w:tab/>
        <w:t>În sensul acestei legi, cazurile bine justificate reprezintă acele împrejurări legate de starea de fapt şi de drept, care sunt de natură să creeze o îndoială serioasă în privinţa legalităţii actului  administrativ, iar paguba iminentă constă în  prejudiciul material viitor şi previzibil sau, după caz, perturbarea previzibilă gravă a funcţionării unei autorităţi publice sau a unui serviciu public, astfel cum se prevede prin art. 2 lit.t) şi ş).</w:t>
      </w:r>
    </w:p>
    <w:p>
      <w:pPr>
        <w:pStyle w:val="Normal"/>
        <w:ind w:firstLine="708"/>
        <w:jc w:val="both"/>
        <w:rPr/>
      </w:pPr>
      <w:r>
        <w:rPr/>
        <w:tab/>
        <w:t>Jurisprudenţa constantă a Inaltei Curti de Casatie şi Justitie (dec 550/2009, dec 3322/2009, dec 3543/2009,s.a) este în sensul ca nu orice dubiu în privinţa legalităţii unui act administrativ  demonstrează îndeplinirea  cazului bine justificat , ci dimpotrivă au  această aptitudine   doar îndoielile serioase determinate de exemplu de nemotivarea   actului, de emiterea lui de un organ necompetent, de întemeierea pe texte legale  abrogate  ori evident neincidente( ..., Legea nr.554/2004 comentată şi adnotată, Universul Juridic 2014, pag.371).</w:t>
      </w:r>
    </w:p>
    <w:p>
      <w:pPr>
        <w:pStyle w:val="Normal"/>
        <w:ind w:left="14" w:right="14" w:firstLine="691"/>
        <w:jc w:val="both"/>
        <w:rPr/>
      </w:pPr>
      <w:r>
        <w:rPr/>
        <w:t>În consecinţă, apărarea recurentului  legată de motivele de nulitate absolută ale  actului  administrativ contestat  nr.   ...0/11.04.2024,  prin prisma  prevederilor art. 517, alin. 3 şi ale  art. 533 şi  art. 535 din din O.U.G. nr. 57/2019, sunt apanajul analizei de fond a cauzei, nefiind în prezența unui caz bine justificat care să îndreptăţească suspendarea executării actului administrativ.</w:t>
      </w:r>
    </w:p>
    <w:p>
      <w:pPr>
        <w:pStyle w:val="Normal"/>
        <w:ind w:firstLine="708"/>
        <w:jc w:val="both"/>
        <w:rPr/>
      </w:pPr>
      <w:r>
        <w:rPr/>
        <w:t>Cum recurentul  nu a făcut dovada cazului bine justificat, condiţie cumulativă , pentru admisibilitatea cererii de suspendare, lipsa aceste condiţii reprezintă un fine de neprimire care face de prisos analizarea condiţiei referitoare la iminenţa pagubei.</w:t>
      </w:r>
    </w:p>
    <w:p>
      <w:pPr>
        <w:pStyle w:val="Normal"/>
        <w:ind w:firstLine="708"/>
        <w:jc w:val="both"/>
        <w:rPr/>
      </w:pPr>
      <w:r>
        <w:rPr/>
        <w:t xml:space="preserve"> </w:t>
      </w:r>
      <w:r>
        <w:rPr/>
        <w:t>În baza art.496 alineat 1 din Codul de procedură civilă se va dispune respingerea recursului.</w:t>
      </w:r>
    </w:p>
    <w:p>
      <w:pPr>
        <w:pStyle w:val="Normal"/>
        <w:ind w:firstLine="708"/>
        <w:jc w:val="both"/>
        <w:rPr/>
      </w:pPr>
      <w:r>
        <w:rPr/>
      </w:r>
    </w:p>
    <w:p>
      <w:pPr>
        <w:pStyle w:val="Normal"/>
        <w:ind w:firstLine="567"/>
        <w:rPr>
          <w:b/>
        </w:rPr>
      </w:pPr>
      <w:r>
        <w:rPr>
          <w:b/>
        </w:rPr>
        <w:t xml:space="preserve">                                     </w:t>
      </w:r>
      <w:r>
        <w:rPr>
          <w:b/>
        </w:rPr>
        <w:t>PENTRU ACESTE MOTIVE,</w:t>
        <w:br/>
        <w:t xml:space="preserve">                                                         ÎN NUMELE LEGII</w:t>
      </w:r>
    </w:p>
    <w:p>
      <w:pPr>
        <w:pStyle w:val="Normal"/>
        <w:rPr>
          <w:b/>
        </w:rPr>
      </w:pPr>
      <w:r>
        <w:rPr>
          <w:b/>
        </w:rPr>
        <w:t xml:space="preserve">                                                              </w:t>
      </w:r>
      <w:r>
        <w:rPr>
          <w:b/>
        </w:rPr>
        <w:t>DECIDE:</w:t>
      </w:r>
    </w:p>
    <w:p>
      <w:pPr>
        <w:pStyle w:val="Normal"/>
        <w:jc w:val="center"/>
        <w:rPr>
          <w:b/>
        </w:rPr>
      </w:pPr>
      <w:r>
        <w:rPr>
          <w:b/>
        </w:rPr>
      </w:r>
    </w:p>
    <w:p>
      <w:pPr>
        <w:pStyle w:val="Normal"/>
        <w:ind w:firstLine="708"/>
        <w:jc w:val="both"/>
        <w:rPr>
          <w:b/>
        </w:rPr>
      </w:pPr>
      <w:r>
        <w:rPr/>
        <w:t xml:space="preserve">Respinge, ca nefondat, recursul formulat de recurentul reclamant </w:t>
      </w:r>
      <w:r>
        <w:rPr>
          <w:b/>
        </w:rPr>
        <w:t>R1</w:t>
      </w:r>
      <w:r>
        <w:rPr/>
        <w:t xml:space="preserve">, cu domiciliul în ..., judeţul ..., în contradictoriu cu </w:t>
      </w:r>
      <w:bookmarkStart w:name="_Hlk171936149" w:id="26"/>
      <w:r>
        <w:rPr/>
        <w:t xml:space="preserve">intimatul pârât </w:t>
      </w:r>
      <w:r>
        <w:rPr>
          <w:b/>
        </w:rPr>
        <w:t>Ministerul Afacerilor Interne - Inspectoratul de Poliție Județean...</w:t>
      </w:r>
      <w:bookmarkEnd w:id="26"/>
      <w:r>
        <w:rPr/>
        <w:t>, cu sediul în ..., judeţul ..., împotriva sentinţei nr. SC1 din data de ..., pronunţată de Tribunalul ..., Secția   ..., în dosarul nr. D1, având ca obiect „suspendare executare act administrativ”.</w:t>
      </w:r>
    </w:p>
    <w:p>
      <w:pPr>
        <w:pStyle w:val="Normal"/>
        <w:ind w:firstLine="708"/>
        <w:jc w:val="both"/>
        <w:rPr/>
      </w:pPr>
      <w:r>
        <w:rPr/>
        <w:t>Definitivă.</w:t>
      </w:r>
    </w:p>
    <w:p>
      <w:pPr>
        <w:pStyle w:val="Normal"/>
        <w:ind w:firstLine="708"/>
        <w:jc w:val="both"/>
        <w:rPr/>
      </w:pPr>
      <w:bookmarkStart w:name="_Hlk83891334" w:id="27"/>
      <w:bookmarkStart w:name="_Hlk166075993" w:id="28"/>
      <w:r>
        <w:rPr/>
        <w:t xml:space="preserve">Pronunţată la data de ..., prin punerea soluţiei la dispoziţia părţilor de către Grefa instanţei. </w:t>
      </w:r>
      <w:bookmarkEnd w:id="28"/>
    </w:p>
    <w:tbl>
      <w:tblPr>
        <w:tblW w:w="9286" w:type="dxa"/>
        <w:jc w:val="center"/>
        <w:tblInd w:w="0" w:type="dxa"/>
        <w:tblLayout w:type="fixed"/>
        <w:tblCellMar>
          <w:top w:w="284" w:type="dxa"/>
          <w:left w:w="108" w:type="dxa"/>
          <w:bottom w:w="284" w:type="dxa"/>
          <w:right w:w="108" w:type="dxa"/>
        </w:tblCellMar>
      </w:tblPr>
      <w:tblGrid>
        <w:gridCol w:w="3095"/>
        <w:gridCol w:w="3095"/>
        <w:gridCol w:w="3096"/>
      </w:tblGrid>
      <w:tr>
        <w:trPr/>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Preşedinte,</w:t>
            </w:r>
          </w:p>
          <w:p>
            <w:pPr>
              <w:pStyle w:val="Normal"/>
              <w:jc w:val="center"/>
              <w:rPr>
                <w:b/>
              </w:rPr>
            </w:pPr>
            <w:r>
              <w:rPr>
                <w:b/>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Judecător,</w:t>
            </w:r>
          </w:p>
          <w:p>
            <w:pPr>
              <w:pStyle w:val="Normal"/>
              <w:jc w:val="center"/>
              <w:rPr>
                <w:b/>
              </w:rPr>
            </w:pPr>
            <w:r>
              <w:rPr>
                <w:b/>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Judecător,</w:t>
            </w:r>
          </w:p>
          <w:p>
            <w:pPr>
              <w:pStyle w:val="Normal"/>
              <w:jc w:val="center"/>
              <w:rPr>
                <w:b/>
              </w:rPr>
            </w:pPr>
            <w:r>
              <w:rPr>
                <w:b/>
              </w:rPr>
              <w:t>A0006</w:t>
            </w:r>
          </w:p>
        </w:tc>
      </w:tr>
      <w:tr>
        <w:trPr/>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Grefier,</w:t>
            </w:r>
          </w:p>
          <w:p>
            <w:pPr>
              <w:pStyle w:val="Normal"/>
              <w:jc w:val="center"/>
              <w:rPr>
                <w:b/>
              </w:rPr>
            </w:pPr>
            <w:r>
              <w:rPr>
                <w:b/>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r>
    </w:tbl>
    <w:p>
      <w:pPr>
        <w:pStyle w:val="Normal"/>
        <w:rPr>
          <w:sz w:val="16"/>
        </w:rPr>
      </w:pPr>
      <w:r>
        <w:rPr>
          <w:sz w:val="16"/>
        </w:rPr>
      </w:r>
    </w:p>
    <w:p>
      <w:pPr>
        <w:pStyle w:val="Normal"/>
        <w:rPr>
          <w:sz w:val="16"/>
        </w:rPr>
      </w:pPr>
      <w:r>
        <w:rPr>
          <w:sz w:val="16"/>
        </w:rPr>
      </w:r>
    </w:p>
    <w:p>
      <w:pPr>
        <w:pStyle w:val="Normal"/>
        <w:rPr>
          <w:sz w:val="16"/>
        </w:rPr>
      </w:pPr>
      <w:r>
        <w:rPr>
          <w:sz w:val="16"/>
        </w:rPr>
        <w:t>Red. jud.    A0006</w:t>
      </w:r>
    </w:p>
    <w:p>
      <w:pPr>
        <w:pStyle w:val="Normal"/>
        <w:rPr>
          <w:sz w:val="16"/>
        </w:rPr>
      </w:pPr>
      <w:r>
        <w:rPr>
          <w:sz w:val="16"/>
        </w:rPr>
        <w:t>Tehnored.  ..../ 4 ex./...</w:t>
      </w:r>
    </w:p>
    <w:p>
      <w:pPr>
        <w:pStyle w:val="Normal"/>
        <w:rPr/>
      </w:pPr>
      <w:bookmarkStart w:name="_Hlk83891334" w:id="29"/>
      <w:r>
        <w:rPr>
          <w:sz w:val="16"/>
        </w:rPr>
        <w:t xml:space="preserve">Jud. fond   </w:t>
      </w:r>
      <w:bookmarkEnd w:id="29"/>
      <w:r>
        <w:rPr>
          <w:sz w:val="16"/>
        </w:rPr>
        <w:t>/</w:t>
      </w:r>
    </w:p>
    <w:sectPr>
      <w:footerReference w:type="default" r:id="rId2"/>
      <w:type w:val="nextPage"/>
      <w:pgSz w:w="11906" w:h="16838"/>
      <w:pgMar w:top="851" w:right="1418" w:bottom="851" w:left="1418"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8</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ecris_cdms/document_upload.aspx?id_document=5400000001778552&amp;id_departament=5&amp;id_sesiune=2788406&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CharChar">
    <w:name w:val="Char Char"/>
    <w:basedOn w:val="Normal"/>
    <w:qFormat/>
    <w:pPr/>
    <w:rPr>
      <w:sz w:val="20"/>
      <w:lang w:val="pl-PL"/>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26</ap:TotalTime>
  <ap:Application>LibreOffice/24.2.7.2$Linux_X86_64 LibreOffice_project/420$Build-2</ap:Application>
  <ap:AppVersion>15.0000</ap:AppVersion>
  <ap:Pages>6</ap:Pages>
  <ap:Words>4475</ap:Words>
  <ap:Characters>25004</ap:Characters>
  <ap:CharactersWithSpaces>29634</ap:CharactersWithSpaces>
  <ap:Paragraphs>107</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