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25</w:t>
      </w:r>
    </w:p>
    <w:p>
      <w:pPr>
        <w:pStyle w:val="Normal"/>
        <w:rPr/>
      </w:pPr>
      <w:r>
        <w:rPr/>
        <w:t>Dosar nr. D1</w:t>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lang w:val="en-US"/>
        </w:rPr>
      </w:pPr>
      <w:r>
        <w:rPr>
          <w:lang w:val="en-US"/>
        </w:rPr>
      </w:r>
    </w:p>
    <w:p>
      <w:pPr>
        <w:pStyle w:val="Normal"/>
        <w:jc w:val="center"/>
        <w:rPr/>
      </w:pPr>
      <w:r>
        <w:rPr/>
      </w:r>
      <w:r>
        <w:rPr/>
      </w:r>
      <w:r>
        <w:rPr/>
      </w:r>
      <w:r>
        <w:rPr/>
        <w:t>DECIZIE</w:t>
      </w:r>
      <w:r>
        <w:rPr/>
      </w:r>
      <w:r>
        <w:rPr/>
      </w:r>
      <w:r>
        <w:rPr/>
        <w:t xml:space="preserve"> Nr. ...</w:t>
      </w:r>
    </w:p>
    <w:p>
      <w:pPr>
        <w:pStyle w:val="Normal"/>
        <w:jc w:val="center"/>
        <w:rPr/>
      </w:pPr>
      <w:r>
        <w:rPr/>
        <w:t>Şedinţa </w:t>
      </w:r>
      <w:r>
        <w:rPr/>
      </w:r>
      <w:r>
        <w:rPr/>
      </w:r>
      <w:r>
        <w:rPr/>
      </w:r>
      <w:r>
        <w:rPr/>
        <w:t>publică</w:t>
      </w:r>
      <w:r>
        <w:rPr/>
      </w:r>
      <w:r>
        <w:rPr/>
      </w:r>
      <w:r>
        <w:rPr/>
        <w:t xml:space="preserve"> de la ... </w:t>
      </w:r>
    </w:p>
    <w:p>
      <w:pPr>
        <w:pStyle w:val="Normal"/>
        <w:jc w:val="center"/>
        <w:rPr/>
      </w:pPr>
      <w:r>
        <w:rPr/>
        <w:t>Completul compus din:</w:t>
      </w:r>
    </w:p>
    <w:p>
      <w:pPr>
        <w:pStyle w:val="Normal"/>
        <w:jc w:val="center"/>
        <w:rPr/>
      </w:pPr>
      <w:r>
        <w:rPr/>
        <w:t>PREŞEDINTE ...</w:t>
      </w:r>
    </w:p>
    <w:p>
      <w:pPr>
        <w:pStyle w:val="Normal"/>
        <w:jc w:val="center"/>
        <w:rPr/>
      </w:pPr>
      <w:r>
        <w:rPr/>
        <w:t>Judecător ...</w:t>
      </w:r>
    </w:p>
    <w:p>
      <w:pPr>
        <w:pStyle w:val="Normal"/>
        <w:jc w:val="center"/>
        <w:rPr/>
      </w:pPr>
      <w:r>
        <w:rPr/>
        <w:t>Judecător A0006</w:t>
      </w:r>
    </w:p>
    <w:p>
      <w:pPr>
        <w:pStyle w:val="Normal"/>
        <w:jc w:val="center"/>
        <w:rPr/>
      </w:pPr>
      <w:r>
        <w:rPr/>
        <w:t>Grefier ...</w:t>
      </w:r>
    </w:p>
    <w:p>
      <w:pPr>
        <w:pStyle w:val="Normal"/>
        <w:jc w:val="center"/>
        <w:rPr/>
      </w:pPr>
      <w:r>
        <w:rPr/>
      </w:r>
    </w:p>
    <w:p>
      <w:pPr>
        <w:pStyle w:val="Normal"/>
        <w:jc w:val="center"/>
        <w:rPr/>
      </w:pPr>
      <w:r>
        <w:rPr/>
      </w:r>
      <w:r>
        <w:rPr/>
      </w:r>
      <w:r>
        <w:rPr/>
      </w:r>
      <w:r>
        <w:rPr/>
      </w:r>
      <w:r>
        <w:rPr>
          <w:lang w:val="en-US" w:eastAsia="en-US"/>
        </w:rPr>
        <w:t>     </w:t>
      </w:r>
      <w:r>
        <w:rPr/>
      </w:r>
      <w:r>
        <w:rPr/>
      </w:r>
    </w:p>
    <w:p>
      <w:pPr>
        <w:pStyle w:val="Normal"/>
        <w:jc w:val="center"/>
        <w:rPr/>
      </w:pPr>
      <w:r>
        <w:rPr/>
      </w:r>
    </w:p>
    <w:p>
      <w:pPr>
        <w:pStyle w:val="Normal"/>
        <w:jc w:val="center"/>
        <w:rPr/>
      </w:pPr>
      <w:r>
        <w:rPr/>
      </w:r>
    </w:p>
    <w:p>
      <w:pPr>
        <w:pStyle w:val="Normal"/>
        <w:ind w:right="0" w:firstLine="709"/>
        <w:jc w:val="both"/>
        <w:rPr/>
      </w:pPr>
      <w:r>
        <w:rPr/>
        <w:t>Pe rol judecarea cauzei Contencios administrativ şi fiscal formulat de recurentul pârât  INSPECTORATUL DE POLIŢIE JUDEŢEAN... în contradictoriu cu intimaţii reclamanţi R1, R2, R3, R4, R5, R6, R7, R8, R9, R10, R11, R12, R13, R14, R15, R16, R17, R18, R19, R20, R21, R22, R23, R24, R25, R26, toţi prin SINDICATUL ...-BIROUL TERITORIAL DIN IPJ ... - prin preşedinte A1, împotriva sentinţei nr.SC1 din data de ..., pronunţată de Tribunalul ... în dosarul nr.D1, având ca obiect litigiu privind funcţionarii publici statutari.</w:t>
      </w:r>
    </w:p>
    <w:p>
      <w:pPr>
        <w:pStyle w:val="Normal"/>
        <w:ind w:right="0" w:firstLine="709"/>
        <w:jc w:val="both"/>
        <w:rPr/>
      </w:pPr>
      <w:r>
        <w:rPr/>
        <w:t xml:space="preserve">La apelul nominal făcut în şedinţa </w:t>
      </w:r>
      <w:r>
        <w:rPr/>
      </w:r>
      <w:r>
        <w:rPr/>
      </w:r>
      <w:r>
        <w:rPr/>
      </w:r>
      <w:r>
        <w:rPr/>
        <w:t>publică</w:t>
      </w:r>
      <w:r>
        <w:rPr/>
      </w:r>
      <w:r>
        <w:rPr/>
      </w:r>
      <w:r>
        <w:rPr/>
        <w:t xml:space="preserve"> au lipsit părţile.</w:t>
      </w:r>
    </w:p>
    <w:p>
      <w:pPr>
        <w:pStyle w:val="Normal"/>
        <w:ind w:right="0" w:firstLine="709"/>
        <w:jc w:val="both"/>
        <w:rPr/>
      </w:pPr>
      <w:r>
        <w:rPr/>
        <w:t xml:space="preserve">Procedura </w:t>
      </w:r>
      <w:r>
        <w:rPr/>
      </w:r>
      <w:r>
        <w:rPr/>
      </w:r>
      <w:r>
        <w:rPr/>
      </w:r>
      <w:r>
        <w:rPr/>
        <w:t>legal</w:t>
      </w:r>
      <w:r>
        <w:rPr/>
      </w:r>
      <w:r>
        <w:rPr/>
      </w:r>
      <w:r>
        <w:rPr/>
        <w:t xml:space="preserve"> îndeplinită.</w:t>
      </w:r>
    </w:p>
    <w:p>
      <w:pPr>
        <w:pStyle w:val="Normal"/>
        <w:ind w:right="0" w:firstLine="709"/>
        <w:jc w:val="both"/>
        <w:rPr/>
      </w:pPr>
      <w:r>
        <w:rPr/>
        <w:t xml:space="preserve">S-a făcut </w:t>
      </w:r>
      <w:r>
        <w:rPr/>
      </w:r>
      <w:r>
        <w:rPr/>
      </w:r>
      <w:r>
        <w:rPr/>
      </w:r>
      <w:r>
        <w:rPr/>
        <w:t>referatul</w:t>
      </w:r>
      <w:r>
        <w:rPr/>
      </w:r>
      <w:r>
        <w:rPr/>
      </w:r>
      <w:r>
        <w:rPr/>
        <w:t xml:space="preserve"> cauzei de către </w:t>
      </w:r>
      <w:r>
        <w:rPr/>
      </w:r>
      <w:r>
        <w:rPr/>
      </w:r>
      <w:r>
        <w:rPr/>
      </w:r>
      <w:r>
        <w:rPr/>
        <w:t>grefier</w:t>
      </w:r>
      <w:r>
        <w:rPr/>
      </w:r>
      <w:r>
        <w:rPr/>
      </w:r>
      <w:r>
        <w:rPr/>
        <w:t xml:space="preserve"> </w:t>
      </w:r>
      <w:r>
        <w:rPr/>
      </w:r>
      <w:r>
        <w:rPr/>
      </w:r>
      <w:r>
        <w:rPr/>
      </w:r>
      <w:r>
        <w:rPr/>
        <w:t>care învederează</w:t>
      </w:r>
      <w:r>
        <w:rPr/>
      </w:r>
      <w:r>
        <w:rPr/>
      </w:r>
      <w:r>
        <w:rPr/>
        <w:t xml:space="preserve"> că recursul este declarat şi motivat în termenul prevăzut de lege, precum şi faptul că s-a solicitat judecarea cauzei în lipsă, după care:</w:t>
      </w:r>
    </w:p>
    <w:p>
      <w:pPr>
        <w:pStyle w:val="Normal"/>
        <w:ind w:right="0" w:firstLine="709"/>
        <w:jc w:val="both"/>
        <w:rPr/>
      </w:pPr>
      <w:r>
        <w:rPr/>
        <w:t>Instanţa apreciază cauza în stare de soluţionare şi o reţine spre deliberare.</w:t>
      </w:r>
    </w:p>
    <w:p>
      <w:pPr>
        <w:pStyle w:val="Normal"/>
        <w:jc w:val="both"/>
        <w:rPr/>
      </w:pPr>
      <w:r>
        <w:rPr/>
      </w:r>
      <w:r>
        <w:rPr/>
      </w:r>
      <w:r>
        <w:rPr/>
      </w:r>
      <w:r>
        <w:rPr/>
      </w:r>
      <w:r>
        <w:rPr>
          <w:lang w:val="en-US" w:eastAsia="en-US"/>
        </w:rPr>
        <w:t>     </w:t>
      </w:r>
      <w:r>
        <w:rPr/>
      </w:r>
      <w:r>
        <w:rPr/>
      </w:r>
    </w:p>
    <w:p>
      <w:pPr>
        <w:pStyle w:val="Normal"/>
        <w:jc w:val="center"/>
        <w:rPr/>
      </w:pPr>
      <w:r>
        <w:rPr/>
        <w:t>C U R T E A</w:t>
      </w:r>
    </w:p>
    <w:p>
      <w:pPr>
        <w:pStyle w:val="Normal"/>
        <w:jc w:val="center"/>
        <w:rPr/>
      </w:pPr>
      <w:r>
        <w:rPr/>
      </w:r>
    </w:p>
    <w:p>
      <w:pPr>
        <w:pStyle w:val="Normal"/>
        <w:ind w:left="142" w:right="0" w:firstLine="709"/>
        <w:jc w:val="both"/>
        <w:rPr/>
      </w:pPr>
      <w:r>
        <w:rPr/>
        <w:t>Asupra recursului de faţă,</w:t>
      </w:r>
    </w:p>
    <w:p>
      <w:pPr>
        <w:pStyle w:val="Normal"/>
        <w:ind w:right="0" w:firstLine="851"/>
        <w:jc w:val="both"/>
        <w:rPr/>
      </w:pPr>
      <w:r>
        <w:rPr/>
        <w:t xml:space="preserve">Prin sentinţa nr.SC1 din data de ..., pronunţată de Tribunalul ... în dosarul nr.D1, s-a respins excepţia lipsei capacităţii procesuale de folosinţă a Biroului Teritorial ... al Sindicatului .... </w:t>
      </w:r>
    </w:p>
    <w:p>
      <w:pPr>
        <w:pStyle w:val="Normal"/>
        <w:ind w:right="0" w:firstLine="851"/>
        <w:jc w:val="both"/>
        <w:rPr/>
      </w:pPr>
      <w:r>
        <w:rPr/>
        <w:t>S-a admis excepţia lipsei calităţii procesuale pasive a pârâtului Inspectoratul General al Poliţiei Române şi, în consecinţă, respinge acţiunea, astfel cum a fost modificată, formulată de reclamanţi, în contradictoriu cu pârâtul Inspectoratul General al Poliţiei Române, cu sediul profesional ales în municipiul ....</w:t>
      </w:r>
    </w:p>
    <w:p>
      <w:pPr>
        <w:pStyle w:val="Normal"/>
        <w:ind w:right="0" w:firstLine="851"/>
        <w:jc w:val="both"/>
        <w:rPr/>
      </w:pPr>
      <w:r>
        <w:rPr/>
        <w:t>S-a admis excepţia prescripţiei dreptului material la acţiune, invocată prin întâmpinări.</w:t>
      </w:r>
    </w:p>
    <w:p>
      <w:pPr>
        <w:pStyle w:val="Normal"/>
        <w:ind w:right="0" w:firstLine="851"/>
        <w:jc w:val="both"/>
        <w:rPr/>
      </w:pPr>
      <w:r>
        <w:rPr/>
        <w:t xml:space="preserve">S-a respins acţiunea, astfel cum a fost modificată, ca fiind prescrisă, pentru perioada 09.04.2015-07.11.2015. </w:t>
      </w:r>
    </w:p>
    <w:p>
      <w:pPr>
        <w:pStyle w:val="Normal"/>
        <w:ind w:right="0" w:firstLine="851"/>
        <w:jc w:val="both"/>
        <w:rPr/>
      </w:pPr>
      <w:r>
        <w:rPr/>
        <w:t xml:space="preserve">S-a admis în parte acţiunea, astfel cum a fost modificată. </w:t>
      </w:r>
    </w:p>
    <w:p>
      <w:pPr>
        <w:pStyle w:val="Normal"/>
        <w:ind w:right="0" w:firstLine="851"/>
        <w:jc w:val="both"/>
        <w:rPr/>
      </w:pPr>
      <w:r>
        <w:rPr/>
        <w:t xml:space="preserve">A fost obligat pârâtul IPJ ..., să stabilească drepturile salariale ale reclamanţilor R1, R2, R16, pentru perioada 08.11.2015-31.07.2016, la nivelul salariului de bază lunar maxim, aflat în plată, pentru funcţiile publice similare funcţiilor publice ocupate de aceşti reclamanţi. </w:t>
      </w:r>
    </w:p>
    <w:p>
      <w:pPr>
        <w:pStyle w:val="Normal"/>
        <w:ind w:right="0" w:firstLine="851"/>
        <w:jc w:val="both"/>
        <w:rPr/>
      </w:pPr>
      <w:r>
        <w:rPr/>
        <w:t>Împotriva sentinţei nr. nr.SC1 din data de ..., pronunţată de Tribunalul ... în dosarul nr.D1, a formulat recurs recurentul pârât  INSPECTORATUL DE POLIŢIE JUDEŢEAN....</w:t>
      </w:r>
    </w:p>
    <w:p>
      <w:pPr>
        <w:pStyle w:val="Normal"/>
        <w:ind w:right="0" w:firstLine="709"/>
        <w:jc w:val="both"/>
        <w:rPr/>
      </w:pPr>
      <w:r>
        <w:rPr/>
        <w:t>În motivarea recursului, părâtul apreciază că, în privința hotărârii atacate, sunt incidente motivele de casare prevăzute la art. 488, alin. l , pct. 5, și 8 din Codul de procedură civilă, respectiv: prin hotărârea dată, instanța a încălcat regulile de procedură a căror nerespectare atrage sancțiunea nulității; hotărârea nu cuprinde motivele pe care se întemeiază sau când cuprinde motive contradictorii ori numai motive străine de natura cauzei; hotărârea a fost dată cu încălcarea sau aplicarea greșită a normelor de drept material,</w:t>
      </w:r>
    </w:p>
    <w:p>
      <w:pPr>
        <w:pStyle w:val="Normal"/>
        <w:ind w:right="0" w:firstLine="709"/>
        <w:jc w:val="both"/>
        <w:rPr/>
      </w:pPr>
      <w:r>
        <w:rPr/>
        <w:t>Prin întâmpinarea formulată la instanța de fond cu privire la acțiunea precizată, am invocat, în raport de dispozițiile art. 18 și art. 28 din Legea nr. 62/2011, a dialogului social, excepţia lipsei capacității de folosință a Biroului teritorial ... al S....</w:t>
      </w:r>
    </w:p>
    <w:p>
      <w:pPr>
        <w:pStyle w:val="Normal"/>
        <w:ind w:right="0" w:firstLine="709"/>
        <w:jc w:val="both"/>
        <w:rPr/>
      </w:pPr>
      <w:r>
        <w:rPr/>
        <w:t>Contrar argumentelor expuse de instanța de judecată, este evident faptul că acțiunea a fost formulată de S.... — Biroul teritorial ... și nu de către membrii de sindicat. În aceste condiții, S.... — Biroul teritorial ... are calitatea de reclamant și trebuie să îndeplinească condițiile prevăzute de Legea nr. 62/2011.</w:t>
      </w:r>
    </w:p>
    <w:p>
      <w:pPr>
        <w:pStyle w:val="Normal"/>
        <w:ind w:right="0" w:firstLine="709"/>
        <w:jc w:val="both"/>
        <w:rPr/>
      </w:pPr>
      <w:r>
        <w:rPr/>
        <w:t>În consecință, apreciază că, respingând excepția, instanța de judecată a făcut o greșită interpretare și aplicare a dispozițiilor art. 18 și 28 din Legea nr. 62/201 1.</w:t>
      </w:r>
    </w:p>
    <w:p>
      <w:pPr>
        <w:pStyle w:val="Normal"/>
        <w:ind w:right="0" w:firstLine="709"/>
        <w:jc w:val="both"/>
        <w:rPr/>
      </w:pPr>
      <w:r>
        <w:rPr/>
        <w:t>2. La primul capăt de cerere al acțiunii precizate, Biroul teritorial ... al S.... a solicitat ”obligarea pârâtului Inspectoratul de Politie JUDEŢEAN... să recalculeze salariul de bază și sporurile de care beneficiază fiecare dintre reclamanți la nivelul maxim al funcției ocupate și al acestor drepturi salariale acordat în cadrul categoriei profesionale, respectiv familiei ocupaționale, începând cu data de 09.04.2015 și pentru viitor, pentru fiecare funcție/grad/treaptă. gradație, funcție de vechime, specialitate sau studii, conform art. l , alin. 5 1 , art. 5, alin. (I l ) și (1 2 ) din O.U.G. nr. 83/2014, aprobată prin Legea nr. 71/2015, precum și art. 31 alin. I din O.U.G. nr. 20/2016 pentru modificarea și completarea O.U.G. nr. 20/2016 pentru modificarea și completarea O.U.G. nr. 57/2015...”</w:t>
      </w:r>
    </w:p>
    <w:p>
      <w:pPr>
        <w:pStyle w:val="Normal"/>
        <w:ind w:right="0" w:firstLine="709"/>
        <w:jc w:val="both"/>
        <w:rPr/>
      </w:pPr>
      <w:r>
        <w:rPr/>
        <w:t>În privința acestui capăt de cerere, prima instanță a dispus obligarea pârâtului I.P.J. ... să stabilească salariile reclamanților la nivelul maxim prevăzut pentru fiecare funcție/grad/treaptă și gradație deținută în cadrul instituției pârâte.</w:t>
      </w:r>
    </w:p>
    <w:p>
      <w:pPr>
        <w:pStyle w:val="Normal"/>
        <w:ind w:right="0" w:firstLine="709"/>
        <w:jc w:val="both"/>
        <w:rPr/>
      </w:pPr>
      <w:r>
        <w:rPr/>
        <w:t>Potrivit prevederilor art. 397, alin. I din Codul de procedură civilă, ”lnstanța este obligată să se pronunțe asupra tuturor cererilor deduse judecății. Ea nu poate acorda mai mult sau altceva decât s-a cerut, dacă legea nu prevede altfel.' '</w:t>
      </w:r>
    </w:p>
    <w:p>
      <w:pPr>
        <w:pStyle w:val="Normal"/>
        <w:ind w:right="0" w:firstLine="709"/>
        <w:jc w:val="both"/>
        <w:rPr/>
      </w:pPr>
      <w:r>
        <w:rPr/>
        <w:t>În consecință, obligând unitatea noastră la recalcularea drepturilor salariale la nivelul maxim existent în cadrul I.P.J. ... și nu în cadrul familiei ocupaționale, așa cum s-a solicitat, prima instanță a încălcat regulile de procedură a căror nerespectare atrage sancțiunea nulității.</w:t>
      </w:r>
    </w:p>
    <w:p>
      <w:pPr>
        <w:pStyle w:val="Normal"/>
        <w:ind w:right="0" w:firstLine="709"/>
        <w:jc w:val="both"/>
        <w:rPr/>
      </w:pPr>
      <w:r>
        <w:rPr/>
        <w:t>Pe de altă parte, în situația în care dispozitivul hotărârii ar fi interpretat în sensul obligării I.P.J. ... la recalcularea drepturilor la maximul existent în cadrul familiei ocupaționale, în mod evident instanța a făcut o aplicare greșită a prevederilor art. 1, alin. S , art. S, alin. (1 1 ) și (1 2 ) din O.U.G. nr. 83/2014, aprobată prin Legea nr. 71/2015, precum și art. 3 1 alin. I din O.U.G. nr. 20/2016 pentru modificarea și completarea O.U.G. nr. 20/2016 pentru modificarea și completarea O.U.G. nr. 57/2015.</w:t>
      </w:r>
    </w:p>
    <w:p>
      <w:pPr>
        <w:pStyle w:val="Normal"/>
        <w:ind w:right="0" w:firstLine="709"/>
        <w:jc w:val="both"/>
        <w:rPr/>
      </w:pPr>
      <w:r>
        <w:rPr/>
        <w:t>3. Potrivit art. I din OUG nr. 83/2014 „(I) În anul 2015, cuantumul brut al salariilor de bază/soldelor funcției de bază/salariilor funcției de bază/indemnizațiilor de încadrare de care beneficiază personalul plătit din fonduri publice se menține la același nivel cu cel ce se acordă pentru luna decembrie 2014, în măsura în care personalul își desfășoară activitatea în aceleași condiții și nu se aplică valoarea de referință și coeficienții de ierarhizare corespunzători claselor de salarizare prevăzuți în anexele la Legea cadru nr. 284/2010 privind salarizarea unitară a personalului plătit din fonduri publice, cu modificările ulterioare.</w:t>
      </w:r>
    </w:p>
    <w:p>
      <w:pPr>
        <w:pStyle w:val="Normal"/>
        <w:ind w:right="0" w:firstLine="709"/>
        <w:jc w:val="both"/>
        <w:rPr/>
      </w:pPr>
      <w:r>
        <w:rPr/>
        <w:t xml:space="preserve">(2) În anul 2015, cuantumul sporurilor, indemnizațiilor, compensațiilor și al celorlalte elemente ale sistemului de salarizare care fac parte, potrivit legii, din salariul brut, solda lunară brută/salariul lunar brut, indemnizația brută de încadrare se menține la același nivel cu cel ce se acordă personalului plătit din fonduri publice pentru luna decembrie 2014, în măsura în care personalul își desfășoară activitatea în aceleași condiții” </w:t>
      </w:r>
    </w:p>
    <w:p>
      <w:pPr>
        <w:pStyle w:val="Normal"/>
        <w:ind w:right="0" w:firstLine="709"/>
        <w:jc w:val="both"/>
        <w:rPr/>
      </w:pPr>
      <w:r>
        <w:rPr/>
        <w:t>Conform art. 1 alin. 5 din același act normativ, ”prin excepție de la prevederile alin. 1 și 2, în anul 2015 personalul din cadrul sistemului public sanitar și sistemului public de asistență socială beneficiază de drepturile salariale stabilite conform prevederilor OUG nr. 70/2014 privind salarizarea personalului din cadrul sistemului public sanitar și sistemului public de asistență socială în anul 2015".</w:t>
      </w:r>
    </w:p>
    <w:p>
      <w:pPr>
        <w:pStyle w:val="Normal"/>
        <w:ind w:right="0" w:firstLine="709"/>
        <w:jc w:val="both"/>
        <w:rPr/>
      </w:pPr>
      <w:r>
        <w:rPr/>
        <w:t>Ulterior, la data de 09.04.2015 a intrat în vigoare Legea nr. 71/2015 pentru aprobarea OUG nr. 83/2014 (publicat în M. Of. nr. 233 din 6 aprilie 2015), prin care s-a introdus alin. 5 la art. l , cu următorul conținut: „prin excepție de la alin. 1 si 2, personalul din aparatul de lucru al Parlamentului si din celelalte instituții si autorități publice, salarizat la același nivel, precum si personalul din cadrul Consiliului Concurentei și al Curții de Conturi, inclusiv personalul prevăzut la art. 5 din aceste instituții, care beneficiază de un cuantum al salariilor de bază și al sporurilor mai mici decât cele stabilite la nivel maxim în cadrul aceleiași instituții sau autorități publice pentru fiecare functie/grad/treaptă si gradație, va fi salarizat la nivelul maxim, daci îsi desfășoară activitatea în aceleași condiții'.</w:t>
      </w:r>
    </w:p>
    <w:p>
      <w:pPr>
        <w:pStyle w:val="Normal"/>
        <w:ind w:right="0" w:firstLine="709"/>
        <w:jc w:val="both"/>
        <w:rPr/>
      </w:pPr>
      <w:r>
        <w:rPr/>
        <w:t>Prin hotărârea pronunțată de prima instanță, I.P.J. ... a fost obligată la stabilirea unor drepturi, capătul de cerere prin care s-a solicitat obligarea Inspectoratului General al Poliției Române Ia plata diferențelor de drepturi salariale fiind respins.</w:t>
      </w:r>
    </w:p>
    <w:p>
      <w:pPr>
        <w:pStyle w:val="Normal"/>
        <w:ind w:right="0" w:firstLine="709"/>
        <w:jc w:val="both"/>
        <w:rPr/>
      </w:pPr>
      <w:r>
        <w:rPr/>
        <w:t>Ori, prevederile legale invocate în susținerea cererii de chemare în judecată (art. 1, alin. 5 1 , art. 5, alin. (1 1 ) și (1 2) din O.U.G. nr. 83/2014, aprobată prin Legea nr. 71/2015, precum și art. 3 1 alin. 1 din O.U.G. nr. 20/2016 pentru modificarea și completarea O.U.G. nr. 20/2016 pentru modificarea și completarea O.U.G. nr. 57/2015) stabilesc obligații privind salarizarea la nivel maxim (la plata unor drepturi salariale la nivel maxim) și nu la recalcularea sumelor cuvenite personalului din sectorul bugetar cu titlu de drepturi salariale.</w:t>
      </w:r>
    </w:p>
    <w:p>
      <w:pPr>
        <w:pStyle w:val="Normal"/>
        <w:ind w:right="0" w:firstLine="709"/>
        <w:jc w:val="both"/>
        <w:rPr/>
      </w:pPr>
      <w:r>
        <w:rPr/>
        <w:t>În consecință, și sub acest aspect, prima instanță a făcut o aplicare greșită a normelor legale menționate.</w:t>
      </w:r>
    </w:p>
    <w:p>
      <w:pPr>
        <w:pStyle w:val="Normal"/>
        <w:ind w:right="0" w:firstLine="709"/>
        <w:jc w:val="both"/>
        <w:rPr/>
      </w:pPr>
      <w:r>
        <w:rPr/>
        <w:t>In drept, şi-a întemeiat recursul pe dispozițiile art. 488, alin. l, pct. 5 și 8 din Codul de procedură civilă.</w:t>
      </w:r>
    </w:p>
    <w:p>
      <w:pPr>
        <w:pStyle w:val="Normal"/>
        <w:ind w:right="0" w:firstLine="720"/>
        <w:jc w:val="both"/>
        <w:rPr/>
      </w:pPr>
      <w:r>
        <w:rPr>
          <w:b/>
        </w:rPr>
        <w:t>Curtea va admite recursul, va casa sentinţa şi va trimite cauza spre rejudecare la instanţa de fond, pentru considerentele ce succed</w:t>
      </w:r>
      <w:r>
        <w:rPr>
          <w:i/>
        </w:rPr>
        <w:t xml:space="preserve">:  </w:t>
      </w:r>
    </w:p>
    <w:p>
      <w:pPr>
        <w:pStyle w:val="Normal"/>
        <w:ind w:right="0" w:firstLine="708"/>
        <w:jc w:val="both"/>
        <w:rPr/>
      </w:pPr>
      <w:r>
        <w:rPr/>
        <w:t>Obiectul acţiunii a vizat salariul de funcţie/funcţie de bază, şi implicit a sporurilor care s-au aplicat Ia ele, de care beneficiază fiecare dintre reclamanţi la nivelul maxim aşa cum a fost precizat în acţiunea de la filele 54-58.</w:t>
      </w:r>
    </w:p>
    <w:p>
      <w:pPr>
        <w:pStyle w:val="Normal"/>
        <w:ind w:right="0" w:firstLine="708"/>
        <w:jc w:val="both"/>
        <w:rPr/>
      </w:pPr>
      <w:r>
        <w:rPr/>
        <w:t>Tribunalul a admis acţiunea.</w:t>
      </w:r>
    </w:p>
    <w:p>
      <w:pPr>
        <w:pStyle w:val="Normal"/>
        <w:ind w:right="0" w:firstLine="708"/>
        <w:jc w:val="both"/>
        <w:rPr/>
      </w:pPr>
      <w:r>
        <w:rPr>
          <w:lang w:val="en-US" w:eastAsia="en-US"/>
        </w:rPr>
        <w:t xml:space="preserve">Considerentele instanţei de recurs în raport de motivele de recurs invocate din oficiu  </w:t>
      </w:r>
      <w:r>
        <w:rPr/>
        <w:t>prevăzute de art. 488 alin. 1 pct.5 C.p.civ sunt  în sensul că, obiectul acţiunii nu este corect stabilit de către instanţa de fond şi pct. 8 impun analizarea soluţiei pronunţată de instanţa de fond, rolul instanţei de control judiciar fiind acela de a raporta considerentele hotărârii de fond la situaţii de fapt şi de drept rezultate din probatoriul administrat şi de a stabili în ce măsură argumentele avute în adoptarea unei soluţii îşi găsesc sau nu suport în actele dosarului, pornind desigur de la criticile avute în vedere atunci când s-a exercitat această cale extraordinară de atac a recursului.</w:t>
      </w:r>
    </w:p>
    <w:p>
      <w:pPr>
        <w:pStyle w:val="Normal"/>
        <w:ind w:right="0" w:firstLine="557"/>
        <w:jc w:val="both"/>
        <w:rPr/>
      </w:pPr>
      <w:r>
        <w:rPr/>
        <w:tab/>
        <w:t xml:space="preserve">În cauza dedusă judecăţii, la pronunţarea sentinţei, referitor la apărările pârâtului, reiterate în motivele de recurs, privind stabilirea obiectului precum şi analizarea în concret a petitelor privind egalizarea salariului de bază (salariului funcției de bază cf. Decizii ICCJ nr. 51/2019) și a sporurilor de care beneficiază reclamanţii la nivel maxim aflat în plată, Curtea observă că instanţa de fond nu face vorbire în conţinutul considerentelor sentinţei,  raportându-se la situaţii particulare relevate şi de adresa de la fil 142 vol II,  situaţie în care nu se poate realiza un control judiciar. </w:t>
      </w:r>
    </w:p>
    <w:p>
      <w:pPr>
        <w:pStyle w:val="Normal"/>
        <w:ind w:right="0" w:firstLine="708"/>
        <w:jc w:val="both"/>
        <w:rPr/>
      </w:pPr>
      <w:r>
        <w:rPr/>
        <w:t>Se poate concluziona, aşadar, ca prima instanţă a soluţionat cauza fără a intra în cercetarea fondului, fără lămurirea unor aspecte esenţiale şi o analiză efectivă a cererilor si susţinerilor reclamantului si intimatului  , cu nesocotirea dispoziţiilor art. 22 alin. 2 din Noul Cod de procedură civilă care impun judecătorului să stăruie, prin toate mijloacele legale, pentru a preveni orice greşeală privind aflarea adevărului în cauză, pe baza stabilirii faptelor şi prin aplicarea corectă a legii, în scopul pronunţării unei hotărâri temeinice şi legale.</w:t>
      </w:r>
    </w:p>
    <w:p>
      <w:pPr>
        <w:pStyle w:val="Normal"/>
        <w:ind w:right="0" w:firstLine="567"/>
        <w:jc w:val="both"/>
        <w:rPr>
          <w:u w:val="single"/>
        </w:rPr>
      </w:pPr>
      <w:r>
        <w:rPr/>
        <w:t xml:space="preserve">Totodată prin decizia 15/2020 a ICCJ CDCD in paragraful 67 s-a arătat că  analiza comparativă a nivelului salariului se face fără excluderea din salariul de funcție a sumelor compensatorii tranzitorii aferente sporurilor care nu se mai regăsesc în actuala reglementare — Legea-cadru nr. 284/2010 —, dar care au </w:t>
      </w:r>
      <w:r>
        <w:rPr>
          <w:u w:val="single"/>
        </w:rPr>
        <w:t>fost păstrate, virtual, ca drepturi câștigate”</w:t>
      </w:r>
    </w:p>
    <w:p>
      <w:pPr>
        <w:pStyle w:val="Normal"/>
        <w:autoSpaceDE w:val="false"/>
        <w:ind w:right="0" w:firstLine="708"/>
        <w:jc w:val="both"/>
        <w:rPr/>
      </w:pPr>
      <w:r>
        <w:rPr/>
        <w:tab/>
        <w:t xml:space="preserve">Dispozițiile art. 1 alin. 1 şi art. 2 din O.U.G. nr. 83/2014 </w:t>
      </w:r>
      <w:r>
        <w:rPr>
          <w:rStyle w:val="rvts2"/>
        </w:rPr>
        <w:t xml:space="preserve">privind salarizarea personalului plătit din fonduri publice în anul 2015, </w:t>
      </w:r>
      <w:r>
        <w:rPr/>
        <w:t>în forma aplicabilă la data de 15.11.2015,  stipulează că ”</w:t>
      </w:r>
      <w:r>
        <w:rPr>
          <w:rStyle w:val="rvts7"/>
        </w:rPr>
        <w:t>(1) În anul 2015, cuantumul brut al salariilor de bază/soldelor funcției de bază/salariilor funcției de bază/indemnizațiilor de încadrare de care beneficiază personalul plătit din fonduri publice se menține la același nivel cu cel ce se acordă pentru luna decembrie 2014 în măsura în care personalul îşi desfășoară activitatea în aceleași condiții (...). (2) În anul 2015, cuantumul sporurilor, indemnizațiilor, compensațiilor şi al celorlalte elemente ale sistemului de salarizare care fac parte, potrivit legii, din salariul brut, solda lunară brută/salariul lunar brut, indemnizația brută de încadrare se menține la același nivel cu cel ce se acordă personalului plătit din fonduri publice pentru luna decembrie 2014, în măsura în care personalul îşi desfășoară activitatea în aceleași condiții”.</w:t>
      </w:r>
    </w:p>
    <w:p>
      <w:pPr>
        <w:pStyle w:val="Normal"/>
        <w:autoSpaceDE w:val="false"/>
        <w:ind w:right="0" w:firstLine="708"/>
        <w:jc w:val="both"/>
        <w:rPr/>
      </w:pPr>
      <w:r>
        <w:rPr>
          <w:rStyle w:val="rvts7"/>
        </w:rPr>
        <w:t xml:space="preserve">Art. 1 alin. 5 ind. 1 din același normativ dispune că </w:t>
      </w:r>
      <w:r>
        <w:rPr/>
        <w:t>”</w:t>
      </w:r>
      <w:r>
        <w:rPr>
          <w:rStyle w:val="rvts7"/>
        </w:rPr>
        <w:t>(5</w:t>
      </w:r>
      <w:r>
        <w:rPr>
          <w:rStyle w:val="rvts10"/>
          <w:vertAlign w:val="superscript"/>
        </w:rPr>
        <w:t>1</w:t>
      </w:r>
      <w:r>
        <w:rPr>
          <w:rStyle w:val="rvts7"/>
        </w:rPr>
        <w:t>) Prin excepție de la prevederile alin. (1) şi (2), personalul din aparatul de lucru al Parlamentului şi din celelalte instituții şi autorități publice, salarizat la același nivel, precum şi personalul din cadrul Consiliului Concurenței şi al Curții de Conturi, inclusiv personalul prevăzut la art. 5 din aceste instituții, care beneficiază de un cuantum al salariilor de bază şi al sporurilor mai mici decât cele stabilite la nivel maxim în cadrul aceleiași instituții sau autorități publice pentru fiecare funcție/grad/treaptă şi gradație, va fi salarizat la nivelul maxim dacă își desfășoară activitatea în aceleași condiții.”.</w:t>
      </w:r>
    </w:p>
    <w:p>
      <w:pPr>
        <w:pStyle w:val="Normal"/>
        <w:tabs>
          <w:tab w:val="clear" w:pos="709"/>
          <w:tab w:val="left" w:leader="none" w:pos="2898"/>
          <w:tab w:val="left" w:leader="none" w:pos="5760"/>
        </w:tabs>
        <w:ind w:right="0" w:firstLine="708"/>
        <w:jc w:val="both"/>
        <w:rPr/>
      </w:pPr>
      <w:r>
        <w:rPr/>
        <w:t>Prin OUG nr. 57 / 2015 privind salarizarea personalului plătit din fonduri publice în anul 2016, astfel cum a fost modif. şi compl. prin OUG nr. 20 şi 43 /2016, art. 3/1 s-a prevăzut că: „(1) Prin excepție (...), începând cu luna august 2016, personalul plătit din fonduri publice care beneficiază de un cuantum al salariilor de bază/indemnizațiilor de încadrare, aferent unui program normal al timpului de muncă, mai mic decât cel stabilit în plată la nivel maxim pentru fiecare funcție, grad/treaptă, gradație, vechime în funcție sau în specialitate, după caz, va fi salarizat la nivelul maxim al salariului de bază/indemnizației de încadrare  din cadrul instituției sau autorității publice respective, dacă îşi desfășoară activitatea în aceleași condiții.</w:t>
      </w:r>
    </w:p>
    <w:p>
      <w:pPr>
        <w:pStyle w:val="Normal"/>
        <w:tabs>
          <w:tab w:val="clear" w:pos="709"/>
          <w:tab w:val="left" w:leader="none" w:pos="2898"/>
          <w:tab w:val="left" w:leader="none" w:pos="5760"/>
        </w:tabs>
        <w:ind w:right="0" w:firstLine="708"/>
        <w:jc w:val="both"/>
        <w:rPr/>
      </w:pPr>
      <w:r>
        <w:rPr/>
        <w:t>(1/1) Sintagma "fiecare funcție" prevăzută la alin. (1) reprezintă funcțiile prevăzute în aceeași anexă, capitol, literă, număr şi număr curent în Legea-cadru nr. 284/2010 privind salarizarea unitară a personalului plătit din fonduri publice, cu modificările şi completările ulterioare.</w:t>
      </w:r>
    </w:p>
    <w:p>
      <w:pPr>
        <w:pStyle w:val="Normal"/>
        <w:tabs>
          <w:tab w:val="clear" w:pos="709"/>
          <w:tab w:val="left" w:leader="none" w:pos="2898"/>
          <w:tab w:val="left" w:leader="none" w:pos="5760"/>
        </w:tabs>
        <w:ind w:right="0" w:firstLine="708"/>
        <w:jc w:val="both"/>
        <w:rPr/>
      </w:pPr>
      <w:r>
        <w:rPr/>
        <w:t>(1/2) în aplicarea prevederilor alin. (1), pentru stabilirea nivelului maxim al salariului de bază/indemnizației de încadrare; din cadrul instituției sau autorității publice respective, se iau în considerare numai drepturile salariale prevăzutei în actele normative privind salarizarea personalului plătit din fonduri publice şi nu se includ drepturile stabilite său recunoscute prin hotărâri judecătorești.</w:t>
      </w:r>
    </w:p>
    <w:p>
      <w:pPr>
        <w:pStyle w:val="Normal"/>
        <w:tabs>
          <w:tab w:val="clear" w:pos="709"/>
          <w:tab w:val="left" w:leader="none" w:pos="2898"/>
          <w:tab w:val="left" w:leader="none" w:pos="5760"/>
        </w:tabs>
        <w:ind w:right="0" w:firstLine="708"/>
        <w:jc w:val="both"/>
        <w:rPr/>
      </w:pPr>
      <w:r>
        <w:rPr/>
        <w:t>(1/3) în aplicarea prevederilor alin. (1), prin instituție sau autoritate publică se înțelege acea instituție sau autoritate publică cu personalitate juridică care are patrimoniu propriu, buget propriu de venituri şi cheltuieli, conduce contabilitate proprie, iar conducătorul acesteia are calitatea de ordonator de credite. în cazul instituțiilor sau autorităților publice aflate în subordinea aceluiași ordonator de credite, având acelaşi scop, îndeplinind aceleaşi funcții şi atribuții, aflate la același nivel de subordonare din punct de vedere financiar, nivelul maxim al salariului de bază/indemnizației de încadrare ;se va stabili la nivelul maxim aflat în plată din cadrul tuturor acestor instituții sau autorități publice subordonate.”</w:t>
      </w:r>
    </w:p>
    <w:p>
      <w:pPr>
        <w:pStyle w:val="Normal"/>
        <w:tabs>
          <w:tab w:val="clear" w:pos="709"/>
          <w:tab w:val="left" w:leader="none" w:pos="2898"/>
          <w:tab w:val="left" w:leader="none" w:pos="5760"/>
        </w:tabs>
        <w:ind w:right="0" w:firstLine="708"/>
        <w:jc w:val="both"/>
        <w:rPr/>
      </w:pPr>
      <w:r>
        <w:rPr/>
        <w:t>Odată cu intrarea în vigoare a noii reglementări din Legea cadru nr. 284/2010, ceea ce urmează a se avea în vedere la stabilirea salariului pentru un funcționar public sunt doar funcția, respectiv clasa de salarizare, gradul profesional şi în cadrul fiecărui grad profesional, vechimea în muncă, ce conține 5 gradații.</w:t>
      </w:r>
    </w:p>
    <w:p>
      <w:pPr>
        <w:pStyle w:val="Normal"/>
        <w:tabs>
          <w:tab w:val="clear" w:pos="709"/>
          <w:tab w:val="left" w:leader="none" w:pos="2898"/>
        </w:tabs>
        <w:ind w:right="0" w:firstLine="708"/>
        <w:jc w:val="both"/>
        <w:rPr/>
      </w:pPr>
      <w:r>
        <w:rPr/>
        <w:t>Este adevărat că alin. 1</w:t>
      </w:r>
      <w:r>
        <w:rPr>
          <w:vertAlign w:val="superscript"/>
        </w:rPr>
        <w:t>1</w:t>
      </w:r>
      <w:r>
        <w:rPr/>
        <w:t xml:space="preserve"> al art. 3</w:t>
      </w:r>
      <w:r>
        <w:rPr>
          <w:vertAlign w:val="superscript"/>
        </w:rPr>
        <w:t>1</w:t>
      </w:r>
      <w:r>
        <w:rPr/>
        <w:t xml:space="preserve"> definește sintagma ,,fiecare funcție” prin raportare la Legea cadru nr. 284/2010, dar această metodă de definire nu poate extinde sfera de aplicare a art. 3</w:t>
      </w:r>
      <w:r>
        <w:rPr>
          <w:vertAlign w:val="superscript"/>
        </w:rPr>
        <w:t>1</w:t>
      </w:r>
      <w:r>
        <w:rPr/>
        <w:t xml:space="preserve"> şi la familia ocupațională, atâta timp cât textul indică expres condiția salarizării la nivel maxim în cadrul aceleiași autorități sau instituții publice.</w:t>
      </w:r>
    </w:p>
    <w:p>
      <w:pPr>
        <w:pStyle w:val="Normal"/>
        <w:tabs>
          <w:tab w:val="clear" w:pos="709"/>
          <w:tab w:val="left" w:leader="none" w:pos="2898"/>
        </w:tabs>
        <w:ind w:right="0" w:firstLine="708"/>
        <w:jc w:val="both"/>
        <w:rPr/>
      </w:pPr>
      <w:r>
        <w:rPr/>
        <w:t>Această interpretare a dispozițiilor legale analizate a fost reținută şi prin Decizia nr. 49/18 iunie 2018 pronunțată de Înalta Curte de Casație şi Justiție – Completul pentru dezlegarea unor chestiuni de drept în dosarul nr. 731/1/2018 prin care s-a statuat că: „În interpretarea dispozițiilor art. 3</w:t>
      </w:r>
      <w:r>
        <w:rPr>
          <w:vertAlign w:val="superscript"/>
        </w:rPr>
        <w:t>1</w:t>
      </w:r>
      <w:r>
        <w:rPr/>
        <w:t xml:space="preserve"> alin. (1), raportat la art. 3</w:t>
      </w:r>
      <w:r>
        <w:rPr>
          <w:vertAlign w:val="superscript"/>
        </w:rPr>
        <w:t>1</w:t>
      </w:r>
      <w:r>
        <w:rPr/>
        <w:t xml:space="preserve"> alin. (1)</w:t>
      </w:r>
      <w:r>
        <w:rPr>
          <w:vertAlign w:val="superscript"/>
        </w:rPr>
        <w:t>3</w:t>
      </w:r>
      <w:r>
        <w:rPr/>
        <w:t xml:space="preserve"> din Ordonanța de urgență a Guvernului nr. 57/2015, în forma modificată prin Ordonanța de Urgență a Guvernului nr. 43/2016, stabilirea nivelului maxim al salariului de bază/indemnizației de încadrare pentru personalul încadrat în direcțiile generale de asistență socială şi protecția copilului se raportează la nivelul aceluiași ordonator de credite căruia îi sunt subordonate financiar, şi nu la nivel național”.</w:t>
      </w:r>
    </w:p>
    <w:p>
      <w:pPr>
        <w:pStyle w:val="Normal"/>
        <w:tabs>
          <w:tab w:val="clear" w:pos="709"/>
          <w:tab w:val="left" w:leader="none" w:pos="2898"/>
          <w:tab w:val="left" w:leader="none" w:pos="5760"/>
        </w:tabs>
        <w:ind w:right="0" w:firstLine="708"/>
        <w:jc w:val="both"/>
        <w:rPr/>
      </w:pPr>
      <w:r>
        <w:rPr/>
        <w:t>Prin decizia Curții Constituționale nr. 794/2016 s-a statuat că „în vederea egalizării prevăzute de art.31 alin.(1) din Ordonanța de urgență a Guvernului nr.57/2015, „nivelul maxim al salariului de bază/indemnizației de încadrare”, care trebuie să includă și drepturile stabilite sau recunoscute prin hotărâri judecătorești definitive și irevocabile/definitive, urmează să se stabilească prin raportare la aceeași funcție, grad, gradație, vechime în muncă și în specialitate, aceleași condiții de studii, din cadrul întregii categorii profesionale, respectiv familii ocupaționale, indiferent de instituție sau autoritate publică.”</w:t>
      </w:r>
    </w:p>
    <w:p>
      <w:pPr>
        <w:pStyle w:val="Normal"/>
        <w:tabs>
          <w:tab w:val="clear" w:pos="709"/>
          <w:tab w:val="left" w:leader="none" w:pos="2898"/>
          <w:tab w:val="left" w:leader="none" w:pos="5760"/>
        </w:tabs>
        <w:ind w:right="0" w:firstLine="708"/>
        <w:jc w:val="both"/>
        <w:rPr/>
      </w:pPr>
      <w:r>
        <w:rPr/>
        <w:t xml:space="preserve">Sintagma „ </w:t>
      </w:r>
      <w:r>
        <w:rPr>
          <w:i/>
        </w:rPr>
        <w:t>aceeași funcție</w:t>
      </w:r>
      <w:r>
        <w:rPr/>
        <w:t xml:space="preserve"> „ nu trebuie să se refere strict la denumirea unei funcții, ci la identificarea activității desfășurate în aceleași condiții, respectiv prerogativa de putere publică, astfel încât să se asigure un principiu fundamental al legii salarizării, prin crearea de oportunități egale şi remunerație egală pentru muncă de valoare egală.</w:t>
      </w:r>
    </w:p>
    <w:p>
      <w:pPr>
        <w:pStyle w:val="Normal"/>
        <w:tabs>
          <w:tab w:val="clear" w:pos="709"/>
          <w:tab w:val="left" w:leader="none" w:pos="2898"/>
          <w:tab w:val="left" w:leader="none" w:pos="5760"/>
        </w:tabs>
        <w:ind w:right="0" w:firstLine="708"/>
        <w:jc w:val="both"/>
        <w:rPr/>
      </w:pPr>
      <w:r>
        <w:rPr/>
        <w:t>Modalitatea concretă de aplicare a Deciziei nr. 794/2016 se materializează în sensul stabilirii unei salarizări pentru personalul bugetar la nivelul maxim în plată al salariului de bază pentru fiecare funcție, grad/treaptă, gradație, prin utilizarea principiilor şi regulilor de reconstrucție salarială aferente perioadei ; în acest sens, avem în vedere dispozițiile art. 3 alin. (1) şi alin. (1 ) din OUG nr. 57/2015 şi ale art. 13 alin. (2) din Legea-cadru nr. 284/2010 privind salarizarea unitară a personalului plătit din fonduri publice, cu modificările şi completările ulterioare, conform cărora "în cadrul fiecărei funcții, salariile de bază se diferențiază pe grade în cazul studiilor superioare şi studiilor superioare de scurtă durată şi pe trepte profesionale în cazul studiilor medii, respectiv pe grade profesionale în cazul funcționarilor publici, astfel încât să se asigure posibilitatea diferențierii salariilor de bază individuale în raport cu nivelul pregătirii profesionale a fiecărei persoane şi cu experiența acesteia în muncă".</w:t>
      </w:r>
    </w:p>
    <w:p>
      <w:pPr>
        <w:pStyle w:val="Normal"/>
        <w:ind w:right="0" w:firstLine="708"/>
        <w:jc w:val="both"/>
        <w:rPr/>
      </w:pPr>
      <w:r>
        <w:rPr>
          <w:rStyle w:val="rvts3"/>
        </w:rPr>
        <w:t>Din interpretarea prevederilor art. 4 – 7 și 11 din Capitolul II, Secțiunea 2 din Anexa VII la Legea-cadru nr. 284/2010, în construcția salariului lunar de funcție al polițiștilor nu exista nicio diferențiere determinată de vechimea în profesia de polițist (element factual care a stat la baza fostului spor de fidelitate prevăzut de art. 6 din O.G. nr. 38/2003), ci numai de nivelul studiilor, pregătirea profesională, atribuții, solicitări la efort, complexitatea muncii, gradul de răspundere și eșalonul de activitate.</w:t>
      </w:r>
    </w:p>
    <w:p>
      <w:pPr>
        <w:pStyle w:val="Normal"/>
        <w:ind w:right="0" w:firstLine="708"/>
        <w:jc w:val="both"/>
        <w:rPr/>
      </w:pPr>
      <w:r>
        <w:rPr>
          <w:rStyle w:val="rvts3"/>
        </w:rPr>
        <w:t>Conform art. 5 alin. 1, ”</w:t>
      </w:r>
      <w:r>
        <w:rPr>
          <w:rStyle w:val="rvts9"/>
        </w:rPr>
        <w:t>(1) (...) salariile de funcție sunt diferențiate prin clase de salarizare şi coeficienți de ierarhizare, în raport cu nivelul studiilor, pregătirea profesională, atribuțiile ce revin fiecărei funcții, solicitările la efort, complexitatea şi gradul de răspundere cerut de îndeplinirea acesteia, precum şi cu eșalonul la care se desfășoară activitatea, prevăzuți în cap. I din prezenta anexă.”</w:t>
      </w:r>
    </w:p>
    <w:p>
      <w:pPr>
        <w:pStyle w:val="Normal"/>
        <w:ind w:right="0" w:firstLine="708"/>
        <w:jc w:val="both"/>
        <w:rPr>
          <w:bCs/>
        </w:rPr>
      </w:pPr>
      <w:r>
        <w:rPr>
          <w:bCs/>
        </w:rPr>
        <w:t>În aceste condiţii, Curtea constată că, motivul de recurs privind necercetarea fondului cauzei, raportat la susţinerile şi apărările părţilor, este fondat astfel că, în raport de prevederile art. 496 alin.2, art. 498 alin.2 şi art. 488 alin.1 pct.5 şi  8 NCPC, admiţând recursul formulat, va casa sentinţa şi va trimite cauza spre rejudecare la aceeaşi instanţă de fond.</w:t>
      </w:r>
    </w:p>
    <w:p>
      <w:pPr>
        <w:pStyle w:val="Normal"/>
        <w:ind w:right="0" w:firstLine="851"/>
        <w:jc w:val="both"/>
        <w:rPr/>
      </w:pPr>
      <w:r>
        <w:rPr/>
        <w:t>Cu ocazia rejudecării, instanţa de fond va proceda la stabilirea obiectului, cu luarea în considerare  atât a apărarilor recurentului  cât şi cu privire la apărările intimatului pentru reclamanţi.</w:t>
      </w:r>
    </w:p>
    <w:p>
      <w:pPr>
        <w:pStyle w:val="Normal"/>
        <w:ind w:right="0" w:firstLine="851"/>
        <w:jc w:val="both"/>
        <w:rPr/>
      </w:pPr>
      <w:r>
        <w:rPr/>
      </w:r>
    </w:p>
    <w:p>
      <w:pPr>
        <w:pStyle w:val="Normal"/>
        <w:jc w:val="center"/>
        <w:rPr/>
      </w:pPr>
      <w:r>
        <w:rPr/>
        <w:t>PENTRU ACESTE MOTIVE,</w:t>
        <w:br/>
        <w:t>ÎN NUMELE LEGII</w:t>
      </w:r>
    </w:p>
    <w:p>
      <w:pPr>
        <w:pStyle w:val="Normal"/>
        <w:jc w:val="center"/>
        <w:rPr/>
      </w:pPr>
      <w:r>
        <w:rPr/>
        <w:t>D E C I D E</w:t>
      </w:r>
    </w:p>
    <w:p>
      <w:pPr>
        <w:pStyle w:val="Normal"/>
        <w:rPr/>
      </w:pPr>
      <w:r>
        <w:rPr/>
      </w:r>
    </w:p>
    <w:p>
      <w:pPr>
        <w:pStyle w:val="Normal"/>
        <w:ind w:right="0" w:firstLine="709"/>
        <w:jc w:val="both"/>
        <w:rPr/>
      </w:pPr>
      <w:r>
        <w:rPr/>
        <w:t xml:space="preserve">Admite recursul formulat de recurentul pârât  INSPECTORATUL DE POLIŢIE JUDEŢEAN... în contradictoriu cu intimaţii reclamanţi R1, R2, R3, R4, R5, R6, R7, R8, R9, R10, R11, R12, R13, R14, R15, R16, R17, R18, R19, R20, R21, R22, R23, R24, R25, R26, toţi prin SINDICATUL ...I-BIROUL TERITORIAL DIN IPJ ... - prin preşedinte A1, împotriva sentinţei nr.SC1 din data de ..., pronunţată de Tribunalul ... în dosarul nr.D1, având ca obiect litigiu privind funcţionarii publici statutari. </w:t>
      </w:r>
    </w:p>
    <w:p>
      <w:pPr>
        <w:pStyle w:val="Normal"/>
        <w:ind w:right="0" w:firstLine="709"/>
        <w:rPr/>
      </w:pPr>
      <w:r>
        <w:rPr/>
        <w:t>Caseaza în tot sentinta şi trimite cauza spre rejudecare  aceleaşi instanţe.</w:t>
      </w:r>
    </w:p>
    <w:p>
      <w:pPr>
        <w:pStyle w:val="Normal"/>
        <w:rPr/>
      </w:pPr>
      <w:r>
        <w:rPr/>
        <w:t>Definitivă.</w:t>
      </w:r>
    </w:p>
    <w:p>
      <w:pPr>
        <w:pStyle w:val="Normal"/>
        <w:ind w:right="0" w:firstLine="709"/>
        <w:rPr/>
      </w:pPr>
      <w:r>
        <w:rPr/>
        <w:t>Pronunţată la ..., prin punerea soluţiei la dispoziţia părţilor de către grefa instanţei, conform art.402 Cod procedură civilă.</w:t>
      </w:r>
    </w:p>
    <w:p>
      <w:pPr>
        <w:pStyle w:val="Normal"/>
        <w:rPr/>
      </w:pPr>
      <w:r>
        <w:rPr/>
      </w:r>
    </w:p>
    <w:p>
      <w:pPr>
        <w:pStyle w:val="Normal"/>
        <w:jc w:val="center"/>
        <w:rPr>
          <w:lang w:val="en-US" w:eastAsia="en-US"/>
        </w:rPr>
      </w:pPr>
      <w:r>
        <w:rPr>
          <w:lang w:val="en-US" w:eastAsia="en-US"/>
        </w:rPr>
      </w:r>
      <w:r>
        <w:rPr>
          <w:lang w:val="en-US" w:eastAsia="en-US"/>
        </w:rPr>
      </w:r>
      <w:r>
        <w:rPr>
          <w:lang w:val="en-US" w:eastAsia="en-US"/>
        </w:rPr>
      </w:r>
      <w:r>
        <w:t>  </w:t>
      </w:r>
      <w:r>
        <w:rPr>
          <w:lang w:val="en-US" w:eastAsia="en-US"/>
        </w:rPr>
      </w:r>
    </w:p>
    <w:tbl>
      <w:tblPr>
        <w:tblW w:w="9286" w:type="dxa"/>
        <w:jc w:val="center"/>
        <w:tblInd w:w="0" w:type="dxa"/>
        <w:tblLayout w:type="fixed"/>
        <w:tblCellMar>
          <w:top w:w="284" w:type="dxa"/>
          <w:left w:w="108" w:type="dxa"/>
          <w:bottom w:w="284" w:type="dxa"/>
          <w:right w:w="108" w:type="dxa"/>
        </w:tblCellMar>
      </w:tblPr>
      <w:tblGrid>
        <w:gridCol w:w="3096"/>
        <w:gridCol w:w="3095"/>
        <w:gridCol w:w="3095"/>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A0006</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jc w:val="center"/>
        <w:rPr/>
      </w:pPr>
      <w:r>
        <w:rPr>
          <w:lang w:val="en-US" w:eastAsia="en-US"/>
        </w:rPr>
        <w:t>   </w:t>
      </w:r>
      <w:r>
        <w:rPr/>
      </w:r>
      <w:r>
        <w:rPr/>
      </w:r>
    </w:p>
    <w:p>
      <w:pPr>
        <w:pStyle w:val="Normal"/>
        <w:rPr/>
      </w:pPr>
      <w:r>
        <w:rPr/>
        <w:t>Red.jud.A0006/...</w:t>
      </w:r>
    </w:p>
    <w:p>
      <w:pPr>
        <w:pStyle w:val="Normal"/>
        <w:rPr/>
      </w:pPr>
      <w:r>
        <w:rPr/>
        <w:t>Tehnored .... 8 ex.</w:t>
      </w:r>
    </w:p>
    <w:p>
      <w:pPr>
        <w:pStyle w:val="Normal"/>
        <w:rPr/>
      </w:pPr>
      <w:r>
        <w:rPr/>
        <w:t>Jud.fond.....</w:t>
      </w:r>
    </w:p>
    <w:sectPr>
      <w:footerReference w:type="default" r:id="rId2"/>
      <w:type w:val="nextPage"/>
      <w:pgSz w:w="11906" w:h="16838"/>
      <w:pgMar w:top="851" w:right="851" w:bottom="851"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6</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erver3:80/ecris_cdms/document_upload.aspx?id_document=5400000001511138&amp;id_departament=5&amp;id_sesiune=2145519&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Fontdeparagrafimplicit">
    <w:name w:val="Font de paragraf implicit"/>
    <w:qFormat/>
    <w:rPr/>
  </w:style>
  <w:style w:type="character" w:styleId="AntetCaracter">
    <w:name w:val="Antet Caracter"/>
    <w:qFormat/>
    <w:rPr>
      <w:sz w:val="24"/>
      <w:szCs w:val="24"/>
      <w:lang w:val="ro-RO"/>
    </w:rPr>
  </w:style>
  <w:style w:type="character" w:styleId="SubsolCaracter">
    <w:name w:val="Subsol Caracter"/>
    <w:qFormat/>
    <w:rPr>
      <w:sz w:val="24"/>
      <w:szCs w:val="24"/>
      <w:lang w:val="ro-RO"/>
    </w:rPr>
  </w:style>
  <w:style w:type="character" w:styleId="rvts8">
    <w:name w:val="rvts8"/>
    <w:qFormat/>
    <w:rPr/>
  </w:style>
  <w:style w:type="character" w:styleId="rvts9">
    <w:name w:val="rvts9"/>
    <w:qFormat/>
    <w:rPr/>
  </w:style>
  <w:style w:type="character" w:styleId="rvts7">
    <w:name w:val="rvts7"/>
    <w:qFormat/>
    <w:rPr/>
  </w:style>
  <w:style w:type="character" w:styleId="rvts2">
    <w:name w:val="rvts2"/>
    <w:qFormat/>
    <w:rPr/>
  </w:style>
  <w:style w:type="character" w:styleId="rvts10">
    <w:name w:val="rvts10"/>
    <w:qFormat/>
    <w:rPr/>
  </w:style>
  <w:style w:type="character" w:styleId="rvts3">
    <w:name w:val="rvts3"/>
    <w:qFormat/>
    <w:rPr/>
  </w:style>
  <w:style w:type="character" w:styleId="rvts15">
    <w:name w:val="rvts15"/>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703" w:leader="none"/>
        <w:tab w:val="right" w:pos="9406" w:leader="none"/>
      </w:tabs>
    </w:pPr>
    <w:rPr/>
  </w:style>
  <w:style w:type="paragraph" w:styleId="Footer">
    <w:name w:val="Footer"/>
    <w:basedOn w:val="Normal"/>
    <w:pPr>
      <w:tabs>
        <w:tab w:val="clear" w:pos="709"/>
        <w:tab w:val="center" w:pos="4703" w:leader="none"/>
        <w:tab w:val="right" w:pos="9406"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28</ap:TotalTime>
  <ap:Application>LibreOffice/24.2.7.2$Linux_X86_64 LibreOffice_project/420$Build-2</ap:Application>
  <ap:AppVersion>15.0000</ap:AppVersion>
  <ap:Pages>6</ap:Pages>
  <ap:Words>3201</ap:Words>
  <ap:Characters>18179</ap:Characters>
  <ap:CharactersWithSpaces>21343</ap:CharactersWithSpaces>
  <ap:Paragraphs>88</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