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F363EE" w14:paraId="0E1BBA81" w14:textId="752F3549">
      <w:pPr>
        <w:rPr>
          <w:rStyle w:val="Fontdeparagrafimplicit"/>
          <w:rFonts w:ascii="Garamond" w:hAnsi="Garamond"/>
        </w:rPr>
      </w:pPr>
      <w:r>
        <w:rPr>
          <w:rStyle w:val="Fontdeparagrafimplicit"/>
          <w:rFonts w:ascii="Garamond" w:hAnsi="Garamond"/>
        </w:rPr>
        <w:t xml:space="preserve"> </w:t>
      </w:r>
      <w:r w:rsidR="00000000">
        <w:rPr>
          <w:rStyle w:val="Fontdeparagrafimplicit"/>
          <w:rFonts w:ascii="Garamond" w:hAnsi="Garamond"/>
        </w:rPr>
        <w:t>:</w:t>
      </w:r>
    </w:p>
    <w:p w:rsidR="00F363EE" w14:paraId="58CE9FA8" w14:textId="77777777">
      <w:pPr>
        <w:jc w:val="center"/>
      </w:pPr>
      <w:r>
        <w:t>R O M Â N I A</w:t>
      </w:r>
    </w:p>
    <w:p w:rsidR="00F363EE" w14:paraId="09CFE419" w14:textId="3DA831D7">
      <w:pPr>
        <w:jc w:val="center"/>
      </w:pPr>
      <w:r>
        <w:t xml:space="preserve">CURTEA DE APEL </w:t>
      </w:r>
      <w:r w:rsidR="003C6EBC">
        <w:t xml:space="preserve">............... </w:t>
      </w:r>
    </w:p>
    <w:p w:rsidR="00F363EE" w14:paraId="076E546C" w14:textId="08D9DFC7">
      <w:pPr>
        <w:jc w:val="center"/>
      </w:pPr>
      <w:r>
        <w:t xml:space="preserve">SECŢIA </w:t>
      </w:r>
      <w:r w:rsidR="003C6EBC">
        <w:t xml:space="preserve">............... </w:t>
      </w:r>
    </w:p>
    <w:p w:rsidR="00F363EE" w14:paraId="2EA975B2" w14:textId="77777777"/>
    <w:p w:rsidR="00F363EE" w14:paraId="36150BED" w14:textId="33020618">
      <w:pPr>
        <w:rPr>
          <w:rStyle w:val="Fontdeparagrafimplicit"/>
          <w:b/>
        </w:rPr>
      </w:pPr>
      <w:r>
        <w:rPr>
          <w:rStyle w:val="Fontdeparagrafimplicit"/>
          <w:b/>
        </w:rPr>
        <w:t xml:space="preserve">Dosar nr. </w:t>
      </w:r>
      <w:r w:rsidR="000F0A43">
        <w:rPr>
          <w:rStyle w:val="Fontdeparagrafimplicit"/>
          <w:b/>
        </w:rPr>
        <w:t>1</w:t>
      </w:r>
    </w:p>
    <w:p w:rsidR="00F363EE" w14:paraId="607749E7" w14:textId="5323F9F1">
      <w:pPr>
        <w:jc w:val="center"/>
        <w:rPr>
          <w:rStyle w:val="Fontdeparagrafimplicit"/>
          <w:b/>
          <w:i/>
        </w:rPr>
      </w:pPr>
      <w:r>
        <w:rPr>
          <w:rStyle w:val="Fontdeparagrafimplicit"/>
          <w:b/>
          <w:i/>
        </w:rPr>
        <w:t xml:space="preserve">DECIZIA </w:t>
      </w:r>
      <w:r w:rsidR="003C6EBC">
        <w:rPr>
          <w:rStyle w:val="Fontdeparagrafimplicit"/>
          <w:b/>
          <w:i/>
        </w:rPr>
        <w:t xml:space="preserve">........... </w:t>
      </w:r>
      <w:r>
        <w:rPr>
          <w:rStyle w:val="Fontdeparagrafimplicit"/>
          <w:b/>
          <w:i/>
        </w:rPr>
        <w:t xml:space="preserve">NR. </w:t>
      </w:r>
      <w:r w:rsidR="003C6EBC">
        <w:rPr>
          <w:rStyle w:val="Fontdeparagrafimplicit"/>
          <w:b/>
          <w:i/>
        </w:rPr>
        <w:t>28</w:t>
      </w:r>
    </w:p>
    <w:p w:rsidR="00F363EE" w14:paraId="5B5B15B5" w14:textId="46C103DB">
      <w:pPr>
        <w:jc w:val="center"/>
      </w:pPr>
      <w:r>
        <w:t xml:space="preserve">Şedinţa publică de la data de </w:t>
      </w:r>
      <w:r w:rsidR="003C6EBC">
        <w:t xml:space="preserve">.......... </w:t>
      </w:r>
    </w:p>
    <w:p w:rsidR="00F363EE" w14:paraId="505CA515" w14:textId="77777777">
      <w:pPr>
        <w:jc w:val="center"/>
      </w:pPr>
      <w:r>
        <w:t>Curtea constituită din:</w:t>
      </w:r>
    </w:p>
    <w:p w:rsidR="00F363EE" w14:paraId="0D35F8CA" w14:textId="5FD1059B">
      <w:pPr>
        <w:jc w:val="center"/>
      </w:pPr>
      <w:r>
        <w:t xml:space="preserve"> PREŞEDINTE- </w:t>
      </w:r>
      <w:r w:rsidR="003C6EBC">
        <w:t xml:space="preserve">............... </w:t>
      </w:r>
    </w:p>
    <w:p w:rsidR="00F363EE" w14:paraId="6A960EE8" w14:textId="65EDE386">
      <w:pPr>
        <w:jc w:val="center"/>
      </w:pPr>
      <w:r>
        <w:t xml:space="preserve">JUDECĂTOR – </w:t>
      </w:r>
      <w:r w:rsidR="003C6EBC">
        <w:t>A0008</w:t>
      </w:r>
    </w:p>
    <w:p w:rsidR="00F363EE" w14:paraId="19C6DCF5" w14:textId="01518C16">
      <w:r>
        <w:t xml:space="preserve">                                            JUDECĂTOR  - </w:t>
      </w:r>
      <w:r w:rsidR="003C6EBC">
        <w:t xml:space="preserve">.............. </w:t>
      </w:r>
      <w:r>
        <w:t xml:space="preserve">                                          </w:t>
      </w:r>
    </w:p>
    <w:p w:rsidR="00F363EE" w14:paraId="7D177473" w14:textId="2E399490">
      <w:pPr>
        <w:ind w:left="1416" w:firstLine="708"/>
      </w:pPr>
      <w:r>
        <w:t xml:space="preserve">                  GREFIER- </w:t>
      </w:r>
      <w:r w:rsidR="003C6EBC">
        <w:t xml:space="preserve">.............. </w:t>
      </w:r>
    </w:p>
    <w:p w:rsidR="00F363EE" w14:paraId="07DB4AA1" w14:textId="77777777"/>
    <w:p w:rsidR="00F363EE" w14:paraId="02CAB6DE" w14:textId="34F2410C">
      <w:pPr>
        <w:ind w:firstLine="708"/>
        <w:jc w:val="both"/>
        <w:rPr>
          <w:rStyle w:val="Fontdeparagrafimplicit"/>
        </w:rPr>
      </w:pPr>
      <w:r>
        <w:t xml:space="preserve">Pe rol soluţionarea recursului declarat de recurenta-pârâtă DIRECŢIA GENERALĂ REGIONALĂ A FINANŢELOR PUBLICE </w:t>
      </w:r>
      <w:r w:rsidR="003C6EBC">
        <w:t xml:space="preserve">............... </w:t>
      </w:r>
      <w:r>
        <w:t xml:space="preserve"> în reprezentarea ADMINISTRAŢIEI JUDEŢENE A FINANŢELOR PUBLICE </w:t>
      </w:r>
      <w:r w:rsidR="003C6EBC">
        <w:t xml:space="preserve">.............. </w:t>
      </w:r>
      <w:r>
        <w:t xml:space="preserve">împotriva sentinţei civile nr. </w:t>
      </w:r>
      <w:r w:rsidR="003C6EBC">
        <w:t xml:space="preserve">......./............ </w:t>
      </w:r>
      <w:r>
        <w:t xml:space="preserve">pronunţată de Tribunalul </w:t>
      </w:r>
      <w:r w:rsidR="003C6EBC">
        <w:t xml:space="preserve">........... </w:t>
      </w:r>
      <w:r>
        <w:t xml:space="preserve">– Secţia </w:t>
      </w:r>
      <w:r w:rsidR="000F0A43">
        <w:t xml:space="preserve"> </w:t>
      </w:r>
      <w:r w:rsidR="003C6EBC">
        <w:t xml:space="preserve"> </w:t>
      </w:r>
      <w:r>
        <w:t xml:space="preserve">în dosarul nr. </w:t>
      </w:r>
      <w:r w:rsidR="000F0A43">
        <w:t xml:space="preserve">1 </w:t>
      </w:r>
      <w:r>
        <w:t xml:space="preserve">, în contradictoriu cu intimatul-reclamant </w:t>
      </w:r>
      <w:r w:rsidR="003C6EBC">
        <w:t xml:space="preserve">1 </w:t>
      </w:r>
      <w:r>
        <w:t xml:space="preserve">şi intimata-chemată în garanţie ADMINISTRAŢIA FONDULUI PENTRU MEDIU, având ca obiect </w:t>
      </w:r>
      <w:r>
        <w:rPr>
          <w:rStyle w:val="Fontdeparagrafimplicit"/>
          <w:i/>
        </w:rPr>
        <w:t>„pretenţii-timbru de mediu”.</w:t>
      </w:r>
    </w:p>
    <w:p w:rsidR="00F363EE" w14:paraId="35D614DA" w14:textId="77777777">
      <w:pPr>
        <w:ind w:firstLine="708"/>
        <w:jc w:val="both"/>
      </w:pPr>
      <w:r>
        <w:t>La apelul nominal făcut în şedinţă publică, nu răspund părţile.</w:t>
      </w:r>
    </w:p>
    <w:p w:rsidR="00F363EE" w14:paraId="70EABD7F" w14:textId="77777777">
      <w:pPr>
        <w:ind w:firstLine="708"/>
        <w:jc w:val="both"/>
      </w:pPr>
      <w:r>
        <w:t>Procedura de citare este legal îndeplinită.</w:t>
      </w:r>
    </w:p>
    <w:p w:rsidR="00F363EE" w14:paraId="78749ADC" w14:textId="77777777">
      <w:pPr>
        <w:ind w:firstLine="708"/>
        <w:jc w:val="both"/>
      </w:pPr>
      <w:r>
        <w:t>Grefierul de şedinţă a făcut referatul cauzei, apoi:</w:t>
      </w:r>
    </w:p>
    <w:p w:rsidR="00F363EE" w14:paraId="2C65CF27" w14:textId="77777777">
      <w:pPr>
        <w:ind w:firstLine="708"/>
        <w:jc w:val="both"/>
      </w:pPr>
      <w:r>
        <w:t>Curtea, constatând că nu sunt motive de amânare, apreciază cererea în stare de judecată şi o reţine în pronunţare.</w:t>
      </w:r>
    </w:p>
    <w:p w:rsidR="00F363EE" w14:paraId="58C8CDEE" w14:textId="77777777">
      <w:pPr>
        <w:jc w:val="both"/>
      </w:pPr>
    </w:p>
    <w:p w:rsidR="00F363EE" w14:paraId="2A90F73B" w14:textId="77777777">
      <w:pPr>
        <w:jc w:val="both"/>
        <w:rPr>
          <w:rStyle w:val="Fontdeparagrafimplicit"/>
          <w:b/>
        </w:rPr>
      </w:pPr>
      <w:r>
        <w:rPr>
          <w:rStyle w:val="Fontdeparagrafimplicit"/>
          <w:b/>
        </w:rPr>
        <w:t xml:space="preserve">                                                                     C U R T E A,</w:t>
      </w:r>
    </w:p>
    <w:p w:rsidR="00F363EE" w14:paraId="16696F1F" w14:textId="77777777">
      <w:pPr>
        <w:jc w:val="both"/>
        <w:rPr>
          <w:rStyle w:val="Fontdeparagrafimplicit"/>
        </w:rPr>
      </w:pPr>
    </w:p>
    <w:p w:rsidR="00F363EE" w14:paraId="65D8C62F" w14:textId="77777777">
      <w:pPr>
        <w:pStyle w:val="Listparagraf"/>
        <w:numPr>
          <w:ilvl w:val="0"/>
          <w:numId w:val="1"/>
        </w:numPr>
        <w:ind w:right="-709"/>
        <w:jc w:val="both"/>
        <w:rPr>
          <w:rStyle w:val="Fontdeparagrafimplicit"/>
          <w:b/>
        </w:rPr>
      </w:pPr>
      <w:r>
        <w:tab/>
      </w:r>
      <w:r>
        <w:rPr>
          <w:rStyle w:val="Fontdeparagrafimplicit"/>
          <w:b/>
        </w:rPr>
        <w:t>Circumstanţele cauzei</w:t>
      </w:r>
    </w:p>
    <w:p w:rsidR="00F363EE" w14:paraId="4837F5AE" w14:textId="77777777">
      <w:pPr>
        <w:pStyle w:val="Listparagraf"/>
        <w:numPr>
          <w:ilvl w:val="1"/>
          <w:numId w:val="1"/>
        </w:numPr>
        <w:ind w:right="-709"/>
        <w:jc w:val="both"/>
        <w:rPr>
          <w:rStyle w:val="Fontdeparagrafimplicit"/>
          <w:u w:val="single"/>
        </w:rPr>
      </w:pPr>
      <w:r>
        <w:rPr>
          <w:rStyle w:val="Fontdeparagrafimplicit"/>
          <w:u w:val="single"/>
        </w:rPr>
        <w:t>Acţiunea formulată</w:t>
      </w:r>
    </w:p>
    <w:p w:rsidR="00F363EE" w14:paraId="25D8F0AD" w14:textId="63A18682">
      <w:pPr>
        <w:ind w:firstLine="708"/>
        <w:jc w:val="both"/>
      </w:pPr>
      <w:r>
        <w:t xml:space="preserve">Prin cererea înregistrată pe rolul Tribunalului </w:t>
      </w:r>
      <w:r w:rsidR="003C6EBC">
        <w:t xml:space="preserve">............ </w:t>
      </w:r>
      <w:r>
        <w:t xml:space="preserve">, la data de </w:t>
      </w:r>
      <w:r w:rsidR="002D527E">
        <w:t xml:space="preserve"> </w:t>
      </w:r>
      <w:r>
        <w:t xml:space="preserve">.08.2017, reclamantul </w:t>
      </w:r>
      <w:r w:rsidR="003C6EBC">
        <w:t xml:space="preserve">1 </w:t>
      </w:r>
      <w:r>
        <w:t xml:space="preserve">a chemat in judecată pârâtA ADMINISTRAŢIA JUDEŢEANĂ A FINANTELOR PUBLICE </w:t>
      </w:r>
      <w:r w:rsidR="003C6EBC">
        <w:t xml:space="preserve">........... </w:t>
      </w:r>
      <w:r>
        <w:t xml:space="preserve">- SERVICIUL FISCAL ORĂŞENESC </w:t>
      </w:r>
      <w:r w:rsidR="003C6EBC">
        <w:t>B..........</w:t>
      </w:r>
      <w:r>
        <w:t xml:space="preserve"> PRIN DGRFP </w:t>
      </w:r>
      <w:r w:rsidR="003C6EBC">
        <w:t xml:space="preserve">............... </w:t>
      </w:r>
      <w:r>
        <w:t>solicitând obligarea pârâtei la restituirea sumei de 5311 lei, achitată cu titlu de timbru de mediu, obligarea pârâtei la plata dobânzii fiscale aferenta acestei sume, calculata de la data plăţii si pana la data restituirii efective, obligarea pârâtei la plata cheltuielilor de judecată.</w:t>
      </w:r>
    </w:p>
    <w:p w:rsidR="00F363EE" w14:paraId="0E95D5DF" w14:textId="77777777">
      <w:pPr>
        <w:pStyle w:val="Listparagraf"/>
        <w:ind w:left="1146" w:right="-709"/>
        <w:jc w:val="both"/>
        <w:rPr>
          <w:rStyle w:val="Fontdeparagrafimplicit"/>
          <w:u w:val="single"/>
        </w:rPr>
      </w:pPr>
    </w:p>
    <w:p w:rsidR="00F363EE" w14:paraId="253A8842" w14:textId="7ADA6AA0">
      <w:pPr>
        <w:pStyle w:val="Listparagraf"/>
        <w:numPr>
          <w:ilvl w:val="1"/>
          <w:numId w:val="1"/>
        </w:numPr>
        <w:ind w:right="-709"/>
        <w:jc w:val="both"/>
        <w:rPr>
          <w:rStyle w:val="Fontdeparagrafimplicit"/>
          <w:u w:val="single"/>
        </w:rPr>
      </w:pPr>
      <w:r>
        <w:rPr>
          <w:rStyle w:val="Fontdeparagrafimplicit"/>
          <w:u w:val="single"/>
        </w:rPr>
        <w:t xml:space="preserve">Sentinţa </w:t>
      </w:r>
      <w:r w:rsidR="003C6EBC">
        <w:rPr>
          <w:rStyle w:val="Fontdeparagrafimplicit"/>
          <w:u w:val="single"/>
        </w:rPr>
        <w:t xml:space="preserve">........... </w:t>
      </w:r>
      <w:r>
        <w:rPr>
          <w:rStyle w:val="Fontdeparagrafimplicit"/>
          <w:u w:val="single"/>
        </w:rPr>
        <w:t>pronunţată în cauză</w:t>
      </w:r>
    </w:p>
    <w:p w:rsidR="00F363EE" w14:paraId="518A00F3" w14:textId="07090F88">
      <w:pPr>
        <w:ind w:firstLine="708"/>
        <w:jc w:val="both"/>
      </w:pPr>
      <w:r>
        <w:t xml:space="preserve">Prin sentinţa </w:t>
      </w:r>
      <w:r w:rsidR="003C6EBC">
        <w:t xml:space="preserve">........... </w:t>
      </w:r>
      <w:r>
        <w:t xml:space="preserve">nr. </w:t>
      </w:r>
      <w:r w:rsidR="003C6EBC">
        <w:t xml:space="preserve">......./.......... </w:t>
      </w:r>
      <w:r>
        <w:t xml:space="preserve">, pronunţată de Tribunalul </w:t>
      </w:r>
      <w:r w:rsidR="003C6EBC">
        <w:t xml:space="preserve">........... </w:t>
      </w:r>
      <w:r>
        <w:t xml:space="preserve">– Secţia civilă, în dosarul nr. </w:t>
      </w:r>
      <w:r w:rsidR="000F0A43">
        <w:t xml:space="preserve">1 </w:t>
      </w:r>
      <w:r>
        <w:t>, s-au dispus următoarele:</w:t>
      </w:r>
    </w:p>
    <w:p w:rsidR="00F363EE" w14:paraId="3653543A" w14:textId="0FED1A35">
      <w:pPr>
        <w:numPr>
          <w:ilvl w:val="0"/>
          <w:numId w:val="2"/>
        </w:numPr>
        <w:jc w:val="both"/>
      </w:pPr>
      <w:r>
        <w:t xml:space="preserve">s-a admis acţiunea formulată de reclamantul </w:t>
      </w:r>
      <w:r w:rsidR="00B45D07">
        <w:t xml:space="preserve">1 </w:t>
      </w:r>
      <w:r>
        <w:t xml:space="preserve">, în contradictoriu cu  pârâta ADMINISTRAŢIA JUDEŢEANĂ A FINANTELOR PUBLICE </w:t>
      </w:r>
      <w:r w:rsidR="003C6EBC">
        <w:t xml:space="preserve">........... </w:t>
      </w:r>
      <w:r>
        <w:t xml:space="preserve">- SERVICIUL FISCAL ORĂŞENESC </w:t>
      </w:r>
      <w:r w:rsidR="003C6EBC">
        <w:t>B..........</w:t>
      </w:r>
      <w:r>
        <w:t xml:space="preserve"> PRIN DGRFP </w:t>
      </w:r>
      <w:r w:rsidR="00B45D07">
        <w:t xml:space="preserve">.......... </w:t>
      </w:r>
      <w:r>
        <w:t>;</w:t>
      </w:r>
    </w:p>
    <w:p w:rsidR="00F363EE" w14:paraId="35D308C4" w14:textId="77777777">
      <w:pPr>
        <w:numPr>
          <w:ilvl w:val="0"/>
          <w:numId w:val="2"/>
        </w:numPr>
        <w:jc w:val="both"/>
      </w:pPr>
      <w:r>
        <w:t>a fost obligată pârâta să restituie reclamantului suma de 5.311 lei  precum şi dobânda fiscală aferentă începând cu data de 13.12.2016 până la data plăţii efective;</w:t>
      </w:r>
    </w:p>
    <w:p w:rsidR="00F363EE" w14:paraId="7C041CEB" w14:textId="77777777">
      <w:pPr>
        <w:numPr>
          <w:ilvl w:val="0"/>
          <w:numId w:val="2"/>
        </w:numPr>
        <w:jc w:val="both"/>
      </w:pPr>
      <w:r>
        <w:t>a fost obligată pârâta la plata către reclamant a sumei de 300 lei reprezentând cheltuieli de judecată;</w:t>
      </w:r>
    </w:p>
    <w:p w:rsidR="00F363EE" w14:paraId="44D65BC8" w14:textId="40032D1F">
      <w:pPr>
        <w:numPr>
          <w:ilvl w:val="0"/>
          <w:numId w:val="2"/>
        </w:numPr>
        <w:jc w:val="both"/>
      </w:pPr>
      <w:r>
        <w:t xml:space="preserve">s-a admis cererea de chemare în garanţie formulată de pârâta AJFP </w:t>
      </w:r>
      <w:r w:rsidR="003C6EBC">
        <w:t xml:space="preserve">............ </w:t>
      </w:r>
      <w:r>
        <w:t>, în contradictoriu cu chemata in garanţie  Administraţia Fondului pentru Mediu;</w:t>
      </w:r>
    </w:p>
    <w:p w:rsidR="00F363EE" w14:paraId="6E8BDD99" w14:textId="77777777">
      <w:pPr>
        <w:numPr>
          <w:ilvl w:val="0"/>
          <w:numId w:val="2"/>
        </w:numPr>
        <w:jc w:val="both"/>
      </w:pPr>
      <w:r>
        <w:t>a fost obligată chemata în garanţie la plata către pârâtă a sumelor ce fac obiectul acţiunii principale.</w:t>
      </w:r>
    </w:p>
    <w:p w:rsidR="00F363EE" w14:paraId="06C11D8A" w14:textId="77777777">
      <w:pPr>
        <w:ind w:firstLine="708"/>
        <w:jc w:val="both"/>
      </w:pPr>
    </w:p>
    <w:p w:rsidR="00F363EE" w14:paraId="3996DA6D" w14:textId="77777777">
      <w:pPr>
        <w:pStyle w:val="Listparagraf"/>
        <w:numPr>
          <w:ilvl w:val="0"/>
          <w:numId w:val="1"/>
        </w:numPr>
        <w:ind w:right="-709"/>
        <w:jc w:val="both"/>
        <w:rPr>
          <w:rStyle w:val="Fontdeparagrafimplicit"/>
          <w:b/>
        </w:rPr>
      </w:pPr>
      <w:r>
        <w:rPr>
          <w:rStyle w:val="Fontdeparagrafimplicit"/>
          <w:b/>
        </w:rPr>
        <w:t>Calea de atac formulată</w:t>
      </w:r>
    </w:p>
    <w:p w:rsidR="00F363EE" w14:paraId="6B465047" w14:textId="45E7BFF2">
      <w:pPr>
        <w:ind w:right="-11" w:firstLine="708"/>
        <w:jc w:val="both"/>
      </w:pPr>
      <w:r>
        <w:t xml:space="preserve">Direcţia Generală Regională a Finanţelor Publice </w:t>
      </w:r>
      <w:r w:rsidR="003C6EBC">
        <w:t xml:space="preserve">............... </w:t>
      </w:r>
      <w:r>
        <w:t xml:space="preserve">, în termen legal, în contradictoriu cu numitul </w:t>
      </w:r>
      <w:r w:rsidR="00B45D07">
        <w:t xml:space="preserve">1 </w:t>
      </w:r>
      <w:r>
        <w:t>, cu domiciliul procesual ales la sediul Cabinetului de Avocat ’’</w:t>
      </w:r>
      <w:r w:rsidR="00B45D07">
        <w:t xml:space="preserve">2 </w:t>
      </w:r>
      <w:r>
        <w:t xml:space="preserve">”, a formulat recurs împotriva Sentinţei Civile nr. </w:t>
      </w:r>
      <w:r w:rsidR="003C6EBC">
        <w:t xml:space="preserve">......./............ </w:t>
      </w:r>
      <w:r>
        <w:t xml:space="preserve">pronunţată de Tribunalul </w:t>
      </w:r>
      <w:r w:rsidR="003C6EBC">
        <w:t xml:space="preserve">........... </w:t>
      </w:r>
      <w:r>
        <w:t xml:space="preserve">- Secţia </w:t>
      </w:r>
      <w:r w:rsidR="003C6EBC">
        <w:t xml:space="preserve">........... </w:t>
      </w:r>
      <w:r>
        <w:t xml:space="preserve">în dosarul nr. </w:t>
      </w:r>
      <w:r w:rsidR="000F0A43">
        <w:t xml:space="preserve">1 </w:t>
      </w:r>
      <w:r>
        <w:t>, solicitând admiterea recursului şi schimbarea în tot a hotărârii atacate în sensul respingerii în totalitate a acţiunii, pentru următoarele motive:</w:t>
      </w:r>
    </w:p>
    <w:p w:rsidR="00F363EE" w14:paraId="038294FB" w14:textId="77777777">
      <w:pPr>
        <w:ind w:right="-11" w:firstLine="708"/>
        <w:jc w:val="both"/>
      </w:pPr>
      <w:r>
        <w:t xml:space="preserve">Soluţia pronunţată se bazează pe o greşită interpretare a dispoziţiilor legale aplicabile în speţa supusă judecăţii, fapt pentru care dorim să învederăm instanţei de recurs următoarele:  </w:t>
      </w:r>
    </w:p>
    <w:p w:rsidR="00F363EE" w14:paraId="439A04ED" w14:textId="77777777">
      <w:pPr>
        <w:ind w:right="-11" w:firstLine="708"/>
        <w:jc w:val="both"/>
      </w:pPr>
      <w:r>
        <w:t>La data de 07.08.2017 a intrat în vigoare OUG nr. 52/2017 privind restituirea sumelor reprezentând taxa specială pentru autoturisme şi autovehicule, taxa pe poluare pentru autovehicule, taxa pentru emisiile poluante provenite de la autovehicule şi timbrul de mediu pentru autovehicule.</w:t>
      </w:r>
    </w:p>
    <w:p w:rsidR="00F363EE" w14:paraId="06BBC43B" w14:textId="77777777">
      <w:pPr>
        <w:ind w:right="-11" w:firstLine="708"/>
        <w:jc w:val="both"/>
      </w:pPr>
      <w:r>
        <w:t>Această Ordonanţa de Urgenţă prevede în mod clar şi expres că pentru restituirea taxei auto există o procedură specială care trebuie să fie uzitată de către contribuabili pentru restituirea taxei auto. în aceste condiţii, considerăm că se impunea ca - în baza rolului său activ - instanţa de fond să fi pus în discuţia reclamantului dacă îşi mai menţine sau nu acţiunea în instanţă având în vedere că restituirea sumelor de bani având ca obiect taxa auto se face la cerere în faţa organului fiscal. Această cerere este întemeiată pe dispoziţiile art. 21 Cod proc.civ. care, la alin. 2, prevede în mod expres că: ”încercarea de împăcare a părţilor</w:t>
      </w:r>
    </w:p>
    <w:p w:rsidR="00F363EE" w14:paraId="6C63AD86" w14:textId="77777777">
      <w:pPr>
        <w:ind w:right="-11" w:firstLine="708"/>
        <w:jc w:val="both"/>
      </w:pPr>
      <w:r>
        <w:t>(2) În tot cursul procesului, judecătorul va încerca împăcarea părţilor, dându-le îndrumările necesare, potrivit legii."</w:t>
      </w:r>
    </w:p>
    <w:p w:rsidR="00F363EE" w14:paraId="4704E052" w14:textId="77777777">
      <w:pPr>
        <w:ind w:right="-11" w:firstLine="708"/>
        <w:jc w:val="both"/>
      </w:pPr>
      <w:r>
        <w:t>Având în vedere aceste aspecte, considerăm că se impunea ca reclamantului să i se pună în discuţie renunţarea la judecată, cererea fiind soluţionată de organul administrativ conform procedurii prevăzute de OUG nr. 52/2017.</w:t>
      </w:r>
    </w:p>
    <w:p w:rsidR="00F363EE" w14:paraId="211E8055" w14:textId="77777777">
      <w:pPr>
        <w:ind w:right="-11" w:firstLine="708"/>
        <w:jc w:val="both"/>
      </w:pPr>
      <w:r>
        <w:t>Întrucât reclamantul nu a renunţat la judecată apreciem că acţiunea în contencios administrativ a rămas fără obiect este lipsită de interes si este inadmisibilă.</w:t>
      </w:r>
    </w:p>
    <w:p w:rsidR="00F363EE" w14:paraId="2A2E0EDA" w14:textId="77777777">
      <w:pPr>
        <w:ind w:right="-11" w:firstLine="708"/>
        <w:jc w:val="both"/>
      </w:pPr>
      <w:r>
        <w:t>a)</w:t>
      </w:r>
      <w:r>
        <w:tab/>
        <w:t>în ceea ce priveşte faptul că acţiunea este lipsită de obiect:</w:t>
      </w:r>
    </w:p>
    <w:p w:rsidR="00F363EE" w14:paraId="43FC9018" w14:textId="77777777">
      <w:pPr>
        <w:ind w:right="-11" w:firstLine="708"/>
        <w:jc w:val="both"/>
      </w:pPr>
      <w:r>
        <w:t>În conformitate cu prevederile art. 8 din Legea nr. 554/2004 privind contenciosul administrativ, completată şi modificată, obiectul acţiunii în contencios poate fi reprezentat de refuzul nejustificat al unei autorităţi de a soluţiona o cerere.</w:t>
      </w:r>
    </w:p>
    <w:p w:rsidR="00F363EE" w14:paraId="4B30CCD3" w14:textId="77777777">
      <w:pPr>
        <w:ind w:right="-11" w:firstLine="708"/>
        <w:jc w:val="both"/>
      </w:pPr>
      <w:r>
        <w:t>ART.8 Obiectul acţiunii judiciare: ”(1) Persoana vătămată într-un drept recunoscut de lege sau intr-un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w:t>
      </w:r>
    </w:p>
    <w:p w:rsidR="00F363EE" w14:paraId="2A2E87E8" w14:textId="77777777">
      <w:pPr>
        <w:ind w:right="-11" w:firstLine="708"/>
        <w:jc w:val="both"/>
      </w:pPr>
      <w:r>
        <w:t>După cum se poate observa, pentru a exista obiect al acţiunii în contencios administrativ este necesară existenţa un refuz nejustificat al autorităţii.</w:t>
      </w:r>
    </w:p>
    <w:p w:rsidR="00F363EE" w14:paraId="56208D2C" w14:textId="77777777">
      <w:pPr>
        <w:ind w:right="-11" w:firstLine="708"/>
        <w:jc w:val="both"/>
      </w:pPr>
      <w:r>
        <w:t>În acest moment nu se mai poate vorbi despre existenţa unui refuz nejustificat al autorităţii administrative de a soluţiona cererea reclamantului, în condiţiile în care a fost adoptat un act normativ care reglementează procedura specială de restituire a acestor taxe.</w:t>
      </w:r>
    </w:p>
    <w:p w:rsidR="00F363EE" w14:paraId="39D4AC2C" w14:textId="77777777">
      <w:pPr>
        <w:ind w:right="-11" w:firstLine="708"/>
        <w:jc w:val="both"/>
      </w:pPr>
      <w:r>
        <w:t>În prezent, legiuitorul român a emis OUG nr. 52/2017 privind restituirea sumelor reprezentând taxa specială pentru autoturisme şi autovehicule, taxa pe poluare pentru autovehicule, taxa pentru emisiile poluante provenite de la autovehicule şi timbrul de mediu pentru autovehicule care reprezintă legea specială pentru restituirea taxei auto care trebuie urmată, obligatorie atât pentru contribuabili, cât si pentru autorităţile administrative.</w:t>
      </w:r>
    </w:p>
    <w:p w:rsidR="00F363EE" w14:paraId="2EDDEFFF" w14:textId="77777777">
      <w:pPr>
        <w:ind w:right="-11" w:firstLine="708"/>
        <w:jc w:val="both"/>
      </w:pPr>
      <w:r>
        <w:t>Aşadar, la acest moment, consideră că este inadmisibilă sesizarea la acest moment a instanţelor de judecată cu o astfel de cerere, conducând la o încărcare inutilă a organului judecătoresc, atâta timp cât există o procedură specială pentru reglementarea acestor situaţii.</w:t>
      </w:r>
    </w:p>
    <w:p w:rsidR="00F363EE" w14:paraId="134CE594" w14:textId="77777777">
      <w:pPr>
        <w:ind w:right="-11" w:firstLine="708"/>
        <w:jc w:val="both"/>
      </w:pPr>
      <w:r>
        <w:t>În consecinţă, este inutil şi nejustificat ca instanţele de judecată să admită aceste cereri şi să nu constate că acestea au rămas fără obiect având în vedere existenţa la data soluţionării acţiunii a OUG nr. 52/2017.</w:t>
      </w:r>
    </w:p>
    <w:p w:rsidR="00F363EE" w14:paraId="08100D60" w14:textId="77777777">
      <w:pPr>
        <w:ind w:right="-11" w:firstLine="708"/>
        <w:jc w:val="both"/>
      </w:pPr>
      <w:r>
        <w:t>b)</w:t>
      </w:r>
      <w:r>
        <w:tab/>
        <w:t>cu privire la faptul că acţiunea este lipsită de un interes actual:</w:t>
      </w:r>
    </w:p>
    <w:p w:rsidR="00F363EE" w14:paraId="6ADDCE99" w14:textId="0A95B528">
      <w:pPr>
        <w:ind w:right="-11" w:firstLine="708"/>
        <w:jc w:val="both"/>
      </w:pPr>
      <w:r>
        <w:t xml:space="preserve">În conformitate cu prevederile art. 32 şi 33 Cod proc.civ., acţiunea </w:t>
      </w:r>
      <w:r w:rsidR="00B45D07">
        <w:t>civilă</w:t>
      </w:r>
      <w:r w:rsidR="003C6EBC">
        <w:t xml:space="preserve"> </w:t>
      </w:r>
      <w:r>
        <w:t>pentru a fi legală trebuie să justifice un interes (art. 32 alin. 1 lit. d Cod proc.civ.).</w:t>
      </w:r>
    </w:p>
    <w:p w:rsidR="00F363EE" w14:paraId="5A4BC2A9" w14:textId="77777777">
      <w:pPr>
        <w:ind w:right="-11" w:firstLine="708"/>
        <w:jc w:val="both"/>
      </w:pPr>
      <w:r>
        <w:t>În ceea ce priveşte interesul de a acţiona, acesta este reglementat de art. 33 Cod proc.civ, care arată că: „ ART 33 Interesul de a acţiona - Interesul trebuie să fie determinat, legitim, personal, născut şi actual."</w:t>
      </w:r>
    </w:p>
    <w:p w:rsidR="00F363EE" w14:paraId="2777A9A2" w14:textId="77777777">
      <w:pPr>
        <w:ind w:right="-11" w:firstLine="708"/>
        <w:jc w:val="both"/>
      </w:pPr>
      <w:r>
        <w:t>Având în vedere că, la data de 07.08.2017 a intrat în vigoare OUG nr. 52/2017, apreciem că nu mai exista niciun interes pentru reclamant de a formula acţiune în faţa instanţei, speţa dedusă judecăţii fiind soluţionată prin simpla cerere la organul administrativ, depusă în forma prevăzută de leguitor.</w:t>
      </w:r>
    </w:p>
    <w:p w:rsidR="00F363EE" w14:paraId="34B37655" w14:textId="77777777">
      <w:pPr>
        <w:ind w:right="-11" w:firstLine="708"/>
        <w:jc w:val="both"/>
      </w:pPr>
      <w:r>
        <w:t>c)</w:t>
      </w:r>
      <w:r>
        <w:tab/>
        <w:t>în ceea ce priveşte faptul că acţiunea este inadmisibilă:</w:t>
      </w:r>
    </w:p>
    <w:p w:rsidR="00F363EE" w14:paraId="63CF637C" w14:textId="77777777">
      <w:pPr>
        <w:ind w:right="-11" w:firstLine="708"/>
        <w:jc w:val="both"/>
      </w:pPr>
      <w:r>
        <w:t>Chiar dacă s-ar justifica un interes, această acţiune în instanţă nu mai poate fi primită având în vedere art. 35 Cod proc.civ. stabileşte că: "Cererea nu poate fi primită dacă partea poate cere realizarea dreptului oe orice altă cale prevăzută de lege.”</w:t>
      </w:r>
    </w:p>
    <w:p w:rsidR="00F363EE" w14:paraId="26286643" w14:textId="77777777">
      <w:pPr>
        <w:ind w:right="-11" w:firstLine="708"/>
        <w:jc w:val="both"/>
      </w:pPr>
      <w:r>
        <w:t>Aşadar, ţinând seama că OUG nr. 52/2017 reglementează realizarea dreptului pretins de reclamant prin urmarea procedurii prevăzută de acest act normativ, apreciază că cererea de chemare în judecată nu poate fi primită, fiind inadmisibilă la această dată.</w:t>
      </w:r>
    </w:p>
    <w:p w:rsidR="00F363EE" w14:paraId="76E7E67D" w14:textId="77777777">
      <w:pPr>
        <w:ind w:right="-11" w:firstLine="708"/>
        <w:jc w:val="both"/>
      </w:pPr>
      <w:r>
        <w:t>În ceea ce priveşte obligarea la plata dobânzii, a arătat următoarele:</w:t>
      </w:r>
    </w:p>
    <w:p w:rsidR="00F363EE" w14:paraId="3982348F" w14:textId="77777777">
      <w:pPr>
        <w:ind w:right="-11" w:firstLine="708"/>
        <w:jc w:val="both"/>
      </w:pPr>
      <w:r>
        <w:t>Potrivit Legii nr. 207/2015 privind Codul de procedură fiscală, republicată, cu completările şi modificările ulterioare, “Pentru sumele de restituit sau de rambursat de la buget contribuabilul/plătitorul are dreptul la dobânda din ziua următoare expirării termenului prevăzut la art. 168 alin. 4 sau la art. 77, după caz, până la data stingerii prin oricare dintre modalităţile prevăzute de lege. Acordarea dobânzilor se face la cererea contribuabilului/plătitorului.”</w:t>
      </w:r>
    </w:p>
    <w:p w:rsidR="00F363EE" w14:paraId="53272232" w14:textId="77777777">
      <w:pPr>
        <w:ind w:right="-11" w:firstLine="708"/>
        <w:jc w:val="both"/>
      </w:pPr>
      <w:r>
        <w:t>Prin urmare, faţă de textul legal invocat rezulta că, în cauză, nu este îndeplinită condiţia prevăzută pentru acordarea acestora.</w:t>
      </w:r>
    </w:p>
    <w:p w:rsidR="00F363EE" w14:paraId="1F57C69C" w14:textId="77777777">
      <w:pPr>
        <w:ind w:right="-11" w:firstLine="708"/>
        <w:jc w:val="both"/>
      </w:pPr>
      <w:r>
        <w:t>În ceea ce priveşte obligarea la restituirea taxei de timbru în sumă de 300 lei cu titlu de cheltuieli de judecată, acestea sunt cheltuieli obişnuite şi nu se pot imputa părţii adverse, aşa cum s-a subliniat şi în practica judiciară: “când o parte provoacă prin apărarea sa cheltuieli deosebite, ele urmează a fi suportate numai de ea, dacă cade în pretenţii Tribunalul Suprem, Secţia Civilă, decizia nr. 1410/1976; Tratatul teoretic şi practic de procedura civilă, V.M. Ciobanu.</w:t>
      </w:r>
    </w:p>
    <w:p w:rsidR="00F363EE" w14:paraId="056B1E79" w14:textId="77777777">
      <w:pPr>
        <w:ind w:right="-11" w:firstLine="708"/>
        <w:jc w:val="both"/>
      </w:pPr>
      <w:r>
        <w:t>Potrivit jurisprudenţei Curţii Europene a Drepturilor Omului, plata cheltuielilor de judecată presupune ca aceste cheltuieli să fie dovedite ca reale şi necesare şi, în plus, să aibă un nivel rezonabil (hotărârea în cauza Latridis împotriva Greciei (satisfacţie echitabilă), cererea nr. 31107/96, C.E.D.O. 2000-XI, alin. 54).</w:t>
      </w:r>
    </w:p>
    <w:p w:rsidR="00F363EE" w14:paraId="797CCC97" w14:textId="77777777">
      <w:pPr>
        <w:ind w:right="-11" w:firstLine="708"/>
        <w:jc w:val="both"/>
      </w:pPr>
      <w:r>
        <w:t>În plus, cheltuielile de judecată pot fi recuperate doar în măsura în care se raportează la încălcarea constatată (Beleyer împotriva Italiei (satisfacţie echitabilă), nr. 33202/96, hotărârea din 28 mai 2002, alin. 27).</w:t>
      </w:r>
    </w:p>
    <w:p w:rsidR="00F363EE" w14:paraId="43C1A561" w14:textId="7C7AA508">
      <w:pPr>
        <w:ind w:right="-11" w:firstLine="708"/>
        <w:jc w:val="both"/>
      </w:pPr>
      <w:r>
        <w:t xml:space="preserve">Critică sentinţa </w:t>
      </w:r>
      <w:r w:rsidR="00B45D07">
        <w:t>civilă</w:t>
      </w:r>
      <w:r w:rsidR="003C6EBC">
        <w:t xml:space="preserve"> </w:t>
      </w:r>
      <w:r>
        <w:t xml:space="preserve">sub aspectul obligării Administraţiei Judeţene a Finanţelor Publice </w:t>
      </w:r>
      <w:r w:rsidR="003C6EBC">
        <w:t xml:space="preserve">........... </w:t>
      </w:r>
      <w:r>
        <w:t>la plata cheltuielilor de judecată invocând şi Decizia nr.401/2005 prin care Curtea Constituţională a reţinut prerogativa instanţei de a cenzura cu prilejul stabilirii cheltuielilor de  judecată, cuantumul onorariului avocaţional convenit, prin prisma proporţionalităţii sale cu complexitatea activităţii depuse este una constituţională.</w:t>
      </w:r>
    </w:p>
    <w:p w:rsidR="00F363EE" w14:paraId="76F2630F" w14:textId="6BB7910F">
      <w:pPr>
        <w:ind w:right="-11" w:firstLine="708"/>
        <w:jc w:val="both"/>
      </w:pPr>
      <w:r>
        <w:t>Faţă de toate aceste aspecte se poate observa că instanţa de judecată, în speţa de faţă, prin acordarea cheltuielilor (mat mult, existând un singur termen de judecată</w:t>
      </w:r>
      <w:r w:rsidR="00B45D07">
        <w:t>)</w:t>
      </w:r>
      <w:r>
        <w:t xml:space="preserve"> nu a ţinut seama de jurisprudenţa CEDO în această materie, care a statuat că cheltuielile de judecată în care sunt cuprinse şi onorariile avocaţiale, acestea urmând a fi recuperate de partea adversă numai în măsura în care constituie cheltuieli necesare şi care au fost făcute în mod real în limita unui cuantum rezonabil.</w:t>
      </w:r>
    </w:p>
    <w:p w:rsidR="00F363EE" w14:paraId="4BCF3B12" w14:textId="77777777">
      <w:pPr>
        <w:ind w:right="-11" w:firstLine="708"/>
        <w:jc w:val="both"/>
      </w:pPr>
      <w:r>
        <w:t>Dispoziţiile prevăzute la articolul 451 alin. 2 Cod proc.civ. sunt menite să împiedice abuzul de drept, prin deturnarea onorariului de avocat de la finalitatea sa firească, aceea de a permite justiţiabilului să beneficieze de o asistenţă judiciară calificată pe parcursul procesului.</w:t>
      </w:r>
    </w:p>
    <w:p w:rsidR="00F363EE" w14:paraId="681A0EDB" w14:textId="77777777">
      <w:pPr>
        <w:ind w:right="-11" w:firstLine="708"/>
        <w:jc w:val="both"/>
      </w:pPr>
      <w:r>
        <w:t>De retinut că prevederile art. 451 alin. 2 Cod proc.civ. recunosc instanţei dreptul de a cenzura cheltuielile de judecată, în situaţia în care va constata că acestea sunt disproporţionat de mari faţă de activitatea prestată de avocat, urmând a se raporta la onorariile prevăzute în tabloul onorariilor minimale.</w:t>
      </w:r>
    </w:p>
    <w:p w:rsidR="00F363EE" w14:paraId="4AB8E849" w14:textId="6DC6AFE5">
      <w:pPr>
        <w:ind w:right="-11" w:firstLine="708"/>
        <w:jc w:val="both"/>
      </w:pPr>
      <w:r>
        <w:t>Prin aplicarea prevederilor 451 alin. 2 Cod proc.civ., instanţa nu intervine în contractul de asistenţă juridică dintre avocat şi client, care se menţine în integralitate, (drept urmare, clientul va pl</w:t>
      </w:r>
      <w:r w:rsidR="00B45D07">
        <w:t>ăt</w:t>
      </w:r>
      <w:r>
        <w:t>i avocatului onorariul cuvenit), ci doar apreciază în ce măsură onorariul stabilit de partea care a avut câştig de cauză trebuie suportat de partea adversă, ţinând seama de natură şi complexitatea prestaţiei avocatului acestuia. în acest sens, în jurisprudenţa CEDO s-a statuat că partea care a câştigat procesul nu va putea obţine rambursarea unor cheltuieli, în temeiul art. 453 Cod proc.civ., decât în măsură în care se constată realitatea, necesitatea şi caracterul lor rezonabil.</w:t>
      </w:r>
    </w:p>
    <w:p w:rsidR="00F363EE" w14:paraId="32B4149C" w14:textId="77777777">
      <w:pPr>
        <w:ind w:right="-11" w:firstLine="708"/>
        <w:jc w:val="both"/>
      </w:pPr>
      <w:r>
        <w:t>Făcând aplicarea dispoziţiilor legale menţionate şi a aspectelor doctrinare la speţa de faţă, apreciem că în speţă, faţă de munca depusă de apărătorul reclamantului în gestionarea acestui dosar este nejustificat de mare, motiv pentru care, vă rugăm să dispuneţi micşorarea onorariului de avocat acordat.</w:t>
      </w:r>
    </w:p>
    <w:p w:rsidR="00F363EE" w14:paraId="41876137" w14:textId="77777777">
      <w:pPr>
        <w:ind w:right="-11" w:firstLine="708"/>
        <w:jc w:val="both"/>
      </w:pPr>
      <w:r>
        <w:t>Tocmai de aceea, legiuitorul a reglementat anumite criterii pe care judecătorul este îndreptăţit să le aibă în vedere atunci când este învestit cu o cerere de acordare a cheltuielilor de judecată.</w:t>
      </w:r>
    </w:p>
    <w:p w:rsidR="00F363EE" w14:paraId="01A94BD5" w14:textId="77777777">
      <w:pPr>
        <w:ind w:right="-11" w:firstLine="708"/>
        <w:jc w:val="both"/>
      </w:pPr>
      <w:r>
        <w:t>Având în vedere toate aceste aspecte arătate mai sus, a arătat că instanţa de fond a apreciat în mod greşit prevederile legale, motiv pentru care a solicitat admiterea prezentului recurs astfel cum a fost formulat şi motivat, schimbarea hotărârii atacate, în sensul respingerii în totalitate a acţiunii.</w:t>
      </w:r>
    </w:p>
    <w:p w:rsidR="00F363EE" w14:paraId="56CEDD7B" w14:textId="77777777">
      <w:pPr>
        <w:pStyle w:val="Listparagraf"/>
        <w:ind w:left="786" w:right="-709"/>
        <w:jc w:val="both"/>
        <w:rPr>
          <w:rStyle w:val="Fontdeparagrafimplicit"/>
          <w:b/>
        </w:rPr>
      </w:pPr>
    </w:p>
    <w:p w:rsidR="00F363EE" w14:paraId="59138CE1" w14:textId="77777777">
      <w:pPr>
        <w:pStyle w:val="Listparagraf"/>
        <w:numPr>
          <w:ilvl w:val="0"/>
          <w:numId w:val="1"/>
        </w:numPr>
        <w:ind w:right="-709"/>
        <w:jc w:val="both"/>
        <w:rPr>
          <w:rStyle w:val="Fontdeparagrafimplicit"/>
          <w:b/>
        </w:rPr>
      </w:pPr>
      <w:r>
        <w:rPr>
          <w:rStyle w:val="Fontdeparagrafimplicit"/>
          <w:b/>
        </w:rPr>
        <w:t>Poziţia procesuală a părţii adverse</w:t>
      </w:r>
    </w:p>
    <w:p w:rsidR="00F363EE" w14:paraId="5E1066D5" w14:textId="77777777">
      <w:pPr>
        <w:ind w:right="-11" w:firstLine="708"/>
        <w:jc w:val="both"/>
      </w:pPr>
      <w:r>
        <w:t>Deşi legal citat, intimatul-reclamant nu a formulat întâmpinare şi nu şi-a expus opinia cu privire la calea de atac formulată în alt mod prevăzut de lege.</w:t>
      </w:r>
    </w:p>
    <w:p w:rsidR="00F363EE" w14:paraId="3645E414" w14:textId="77777777">
      <w:pPr>
        <w:numPr>
          <w:ilvl w:val="0"/>
          <w:numId w:val="1"/>
        </w:numPr>
        <w:ind w:right="-11"/>
        <w:jc w:val="both"/>
        <w:rPr>
          <w:rStyle w:val="Fontdeparagrafimplicit"/>
          <w:b/>
        </w:rPr>
      </w:pPr>
      <w:r>
        <w:rPr>
          <w:rStyle w:val="Fontdeparagrafimplicit"/>
          <w:b/>
        </w:rPr>
        <w:t>Alte aspecte procesuale</w:t>
      </w:r>
    </w:p>
    <w:p w:rsidR="00F363EE" w14:paraId="324B9FEB" w14:textId="77777777">
      <w:pPr>
        <w:ind w:right="-11" w:firstLine="708"/>
        <w:jc w:val="both"/>
      </w:pPr>
      <w:r>
        <w:t>În soluţionarea căii de atac în privinţa căreia a fost legal învestită, Curtea nu a administrat probe noi.</w:t>
      </w:r>
    </w:p>
    <w:p w:rsidR="00F363EE" w14:paraId="1A42CD3F" w14:textId="77777777">
      <w:pPr>
        <w:pStyle w:val="Listparagraf"/>
        <w:numPr>
          <w:ilvl w:val="0"/>
          <w:numId w:val="1"/>
        </w:numPr>
        <w:ind w:right="-709"/>
        <w:jc w:val="both"/>
        <w:rPr>
          <w:rStyle w:val="Fontdeparagrafimplicit"/>
          <w:b/>
        </w:rPr>
      </w:pPr>
      <w:r>
        <w:rPr>
          <w:rStyle w:val="Fontdeparagrafimplicit"/>
          <w:b/>
        </w:rPr>
        <w:t>Analiza instanţei de recurs</w:t>
      </w:r>
    </w:p>
    <w:p w:rsidR="00F363EE" w14:paraId="0FC89952" w14:textId="77777777">
      <w:pPr>
        <w:ind w:firstLine="709"/>
        <w:jc w:val="both"/>
      </w:pPr>
      <w:r>
        <w:rPr>
          <w:rStyle w:val="Fontdeparagrafimplicit"/>
          <w:b/>
        </w:rPr>
        <w:t>5.1.</w:t>
      </w:r>
      <w:r>
        <w:t xml:space="preserve"> Curtea observă că, în esenţă, recursul pârâtei se referă la nelegalitatea soluţiei privind restituirea taxei pe poluare, prin raportare la incidenţa în speţă a dispoziţiilor OUG nr. 52/2017 privind restituirea sumelor reprezentând taxa specială pentru autoturisme şi autovehicule, taxa pe poluare pentru autovehicule, taxa pentru emisiile poluante provenite de la autovehicule şi timbrul de mediu pentru autovehicule.</w:t>
      </w:r>
    </w:p>
    <w:p w:rsidR="00F363EE" w14:paraId="1DAE9171" w14:textId="77777777">
      <w:pPr>
        <w:ind w:firstLine="709"/>
        <w:jc w:val="both"/>
      </w:pPr>
      <w:r>
        <w:t>Curtea înlătură aceste alegaţii ale recurentei, observând în primul rând că soluţia de anulare a actului administrativ vătămător şi de reparare a prejudiciului cauzat reclamantei s-a dat în aplicarea principiilor efectivităţii şi al echivalenţei prevăzute de dreptul Uniunii Europene.</w:t>
      </w:r>
    </w:p>
    <w:p w:rsidR="00F363EE" w14:paraId="4D0E6DCC" w14:textId="77777777">
      <w:pPr>
        <w:ind w:firstLine="709"/>
        <w:jc w:val="both"/>
      </w:pPr>
      <w:r>
        <w:t>Pe cale de consecinţă, nu se poate susţine că obligarea reclamantei să urmeze procedura prevăzută de OUG nr. 52/2017, potrivit căreia restituirea sumelor achitate cu titlu de taxă pe poluare se face în baza unei noi cereri formulată de contribuabil şi a unei noi proceduri administrative prealabile, reprezintă un tratament procedural cel puţin la fel de favorabil precum cel prevăzut pentru o acţiune similară întemeiată pe dreptul naţional, nici prin prisma termenelor aplicabile în cursul acestei proceduri şi nici prin raportare la termenele de plată.</w:t>
      </w:r>
    </w:p>
    <w:p w:rsidR="00F363EE" w14:paraId="3D970B78" w14:textId="77777777">
      <w:pPr>
        <w:ind w:firstLine="709"/>
        <w:jc w:val="both"/>
      </w:pPr>
      <w:r>
        <w:t xml:space="preserve">În acest sens, Curtea observă că posibilitatea de a împiedica finalizarea prezentului demers procesual, prin invocarea de către recurentă a incidenţei OUG nr. 52/2017, nu reprezintă un remediu efectiv garantat acesteia de legiuitor ca efect al încălcării normelor de drept UE. Aceasta se datorează, mai ales, faptului că intimatul-reclamant a mai parcurs </w:t>
      </w:r>
      <w:r>
        <w:t>anterior o procedură administrativă de restituire a sumelor achitate şi nedatorate, fără sorţi de izbândă. Imputarea în sarcina acestuia a unei noi obligaţii de a formula cerere de restituire nu reprezintă o protecţie efectivă a drepturilor conferite de dreptul UE, fiind stabilită astfel o sarcină disproporţionată în privinţa reclamantei.</w:t>
      </w:r>
    </w:p>
    <w:p w:rsidR="00F363EE" w14:paraId="669FC4B2" w14:textId="77777777">
      <w:pPr>
        <w:ind w:firstLine="709"/>
        <w:jc w:val="both"/>
      </w:pPr>
      <w:r>
        <w:t>În aceste condiţii, Curtea reţine că independent de procedura administrativă prevăzută de OUG nr. 52/2017, în cazul constatării încălcării unor norme de drept UE şi cu respectarea principiului efectivităţii şi echivalenţei, instanţa de judecată este îndreptăţită să dispună în mod direct repararea prejudiciului cauzat, prin obligarea recurentei-pârâte la restituirea sumelor achitate cu titlu de taxă pe poluare.</w:t>
      </w:r>
    </w:p>
    <w:p w:rsidR="00F363EE" w14:paraId="1A49D328" w14:textId="77777777">
      <w:pPr>
        <w:ind w:firstLine="709"/>
        <w:jc w:val="both"/>
      </w:pPr>
      <w:r>
        <w:t xml:space="preserve">În ceea ce priveşte criticile recurentei-pârâte referitoare la lipsa oricărei culpe a acesteia în perceperea taxei pe poluare, Curtea va constata că în raporturile juridice cu intimatul- reclamant, pârâta este reprezentantul statului în materie fiscală, astfel că în analiza unei eventuale încălcări a normelor de drept UE, culpa organului fiscal în executarea unor obligaţii legale nu prezintă relevanţă. </w:t>
      </w:r>
    </w:p>
    <w:p w:rsidR="00F363EE" w14:paraId="1D366DFD" w14:textId="7A56DB06">
      <w:pPr>
        <w:ind w:firstLine="709"/>
        <w:jc w:val="both"/>
      </w:pPr>
      <w:r>
        <w:t>În speţă, instanţa de fond a constatat în mod corect că recurenta-pârâtă  a procedat la aplicarea unei norme contrare prevederilor art. 110</w:t>
      </w:r>
      <w:r w:rsidR="00B45D07">
        <w:t xml:space="preserve"> </w:t>
      </w:r>
      <w:r>
        <w:t>TFUE, pretinzând reclamantului în mod nelegal plata unei taxe pe poluare cu ocazia înmatriculării, astfel că este legală soluţia dispusă, în sensul obligării organului fiscal la repararea prejudiciului cauzat, prin restituirea acestei sume.</w:t>
      </w:r>
    </w:p>
    <w:p w:rsidR="00F363EE" w14:paraId="4C264F30" w14:textId="77777777">
      <w:pPr>
        <w:ind w:firstLine="709"/>
        <w:jc w:val="both"/>
      </w:pPr>
      <w:r>
        <w:rPr>
          <w:rStyle w:val="Fontdeparagrafimplicit"/>
          <w:b/>
        </w:rPr>
        <w:t xml:space="preserve">5.2. </w:t>
      </w:r>
      <w:r>
        <w:t>În ceea ce priveşte concluziile Tribunalului cu privire la neconformitatea prevederilor OUG nr. 50/2008 cu normele de drept UE, Curtea arată că acestea sunt corecte şi se impune a fi menţinute.</w:t>
      </w:r>
    </w:p>
    <w:p w:rsidR="00F363EE" w14:paraId="74B8BAD4" w14:textId="77777777">
      <w:pPr>
        <w:ind w:firstLine="684"/>
        <w:jc w:val="both"/>
      </w:pPr>
      <w:r>
        <w:t>Potrivit art. 148 alin. (2) din Constituţia României, revizuită, prevederile tratatelor constitutive ale Uniunii Europene au prioritate faţă de dispoziţiile contrare din legile interne. Alin. (4) din acelaşi articol prevede că autoritatea judecătorească, între alte instituţii, garantează aducerea la îndeplinire a obligaţiilor rezultate din alin. (2), astfel că, din chiar cuprinsul reglementării interne fundamentale, rezultă nu numai competenţa, dar şi obligaţia instanţelor judecătoreşti de a asigura prioritatea dreptului Uniunii Europene în cazul incompatibilităţii normei interne cu reglementarea europeană.</w:t>
      </w:r>
    </w:p>
    <w:p w:rsidR="00F363EE" w14:paraId="6DE44169" w14:textId="77777777">
      <w:pPr>
        <w:ind w:firstLine="684"/>
        <w:jc w:val="both"/>
      </w:pPr>
      <w:r>
        <w:t xml:space="preserve">Curtea reţine că dispoziţiile art. 110 din Tratatul pentru Funcţionarea Uniunii Europene interzic statelor membre să aplice, direct sau indirect, produselor altor state membre, impozite interne, de orice natură, mai mari decât cele care se aplică, direct sau indirect, produselor naţionale similare, scopul acestei prevederi fiind acela de a interzice discriminarea fiscală între produsele naţionale şi produsele importate, având natură similară. </w:t>
      </w:r>
    </w:p>
    <w:p w:rsidR="00F363EE" w14:paraId="68AE56A6" w14:textId="77777777">
      <w:pPr>
        <w:ind w:firstLine="684"/>
        <w:jc w:val="both"/>
      </w:pPr>
      <w:r>
        <w:t>Conform jurisprudenţei constante a Curţii de Justiţie a Uniunii Europene,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din alte state membre, fără însă a descuraja cumpărarea unor vehicule de ocazie având aceeaşi vechime şi aceeaşi uzură de pe piaţa naţională.</w:t>
      </w:r>
    </w:p>
    <w:p w:rsidR="00F363EE" w14:paraId="033F01BD" w14:textId="77777777">
      <w:pPr>
        <w:ind w:firstLine="684"/>
        <w:jc w:val="both"/>
      </w:pPr>
      <w:r>
        <w:t>În dreptul intern, discriminarea este realizată de legiuitor, care a legat plata timbrului de mediu de faptul înmatriculării, deşi din cuprinsul O.U.G. nr. 9/2013 rezultă că s-a urmărit realizarea protecţiei mediului prin realizarea unor programe şi proiecte pentru îmbunătăţirea calităţii aerului, ceea ce implică instituirea unei taxe pe poluare pentru toate autoturismele aflate în trafic, potrivit principiului „poluatorul plăteşte”.</w:t>
      </w:r>
    </w:p>
    <w:p w:rsidR="00F363EE" w14:paraId="23326490" w14:textId="77777777">
      <w:pPr>
        <w:ind w:firstLine="684"/>
        <w:jc w:val="both"/>
      </w:pPr>
      <w:r>
        <w:t>Astfel cum s-a statuat de către Curtea de Justiție a Uniunii Europene la data de 9 iunie 2016, ulterior pronunţării hotărârii recurate, în cauza Vasile Budișan, C-586/14, articolul 4 litera c) din O.U.G. nr. 9/2013 scutește de plata timbrului de mediu transcrierea dreptului de proprietate asupra vehiculelor rulate naționale a căror înmatriculare în România a determinat deja plata taxei speciale, a taxei pe poluare sau a taxei pentru emisiile poluante, cu excepția cazurilor, prevăzute la litera d) a acestui articol, în care o instanță română a dispus restituirea taxei respective pentru un anumit vehicul.</w:t>
      </w:r>
    </w:p>
    <w:p w:rsidR="00F363EE" w14:paraId="5F48A4EE" w14:textId="77777777">
      <w:pPr>
        <w:ind w:firstLine="684"/>
        <w:jc w:val="both"/>
      </w:pPr>
      <w:r>
        <w:t xml:space="preserve">Or, reiese fără echivoc din jurisprudența Curții de Justiție în cauzele referitoare la taxa pe poluare percepută în temeiul O.U.G. nr. 50/2008 și la taxa pentru emisiile poluante percepută în temeiul Legii nr. 9/2012, astfel cum a fost în parte suspendată prin O.U.G. nr. 1/2012 (înmatricularea autovehiculelor în perioada 13 ianuarie 2012-1 ianuarie 2013), că aceste taxe erau incompatibile cu articolul 110 TFUE (Hotărârea din 7 aprilie 2011, </w:t>
      </w:r>
      <w:r>
        <w:rPr>
          <w:rStyle w:val="Fontdeparagrafimplicit"/>
          <w:i/>
        </w:rPr>
        <w:t>Tatu</w:t>
      </w:r>
      <w:r>
        <w:t xml:space="preserve">, C 402/09, Hotărârea din 7 iulie 2011, </w:t>
      </w:r>
      <w:r>
        <w:rPr>
          <w:rStyle w:val="Fontdeparagrafimplicit"/>
          <w:i/>
        </w:rPr>
        <w:t>Nisipeanu</w:t>
      </w:r>
      <w:r>
        <w:t xml:space="preserve">, C 263/10,  și Ordonanța din 3 februarie 2014, </w:t>
      </w:r>
      <w:r>
        <w:rPr>
          <w:rStyle w:val="Fontdeparagrafimplicit"/>
          <w:i/>
        </w:rPr>
        <w:t>Câmpean și Ciocoiu</w:t>
      </w:r>
      <w:r>
        <w:t>, C 97/13 și C 214/13).</w:t>
      </w:r>
    </w:p>
    <w:p w:rsidR="00F363EE" w14:paraId="00EC2D49" w14:textId="77777777">
      <w:pPr>
        <w:ind w:firstLine="684"/>
        <w:jc w:val="both"/>
      </w:pPr>
      <w:r>
        <w:t xml:space="preserve">În mod similar, taxa specială trebuie considerată incompatibilă cu articolul 110 TFUE din moment ce prezenta caracteristici identice cu cele ale O.U.G. nr. 50/2008, incompatibile cu acest articol (a se vedea în acest sens Hotărârea din 14 aprilie 2015, </w:t>
      </w:r>
      <w:r>
        <w:rPr>
          <w:rStyle w:val="Fontdeparagrafimplicit"/>
          <w:i/>
        </w:rPr>
        <w:t>Manea</w:t>
      </w:r>
      <w:r>
        <w:t>, C 76/14, pct. 45).</w:t>
      </w:r>
    </w:p>
    <w:p w:rsidR="00F363EE" w14:paraId="7F91EF6E" w14:textId="77777777">
      <w:pPr>
        <w:ind w:firstLine="684"/>
        <w:jc w:val="both"/>
      </w:pPr>
      <w:r>
        <w:t xml:space="preserve">Curtea de Justiţie a Uniunii Europene a statuat deja că un regim de taxare care prevede că autovehiculele rulate care au fost supuse unor asemenea taxe incompatibile cu dreptul Uniunii vor fi scutite de o nouă taxă, în speță timbrul de mediu, este incompatibil cu articolul 110 TFUE (a se vedea în acest sens Hotărârea din 14 aprilie 2015, </w:t>
      </w:r>
      <w:r>
        <w:rPr>
          <w:rStyle w:val="Fontdeparagrafimplicit"/>
          <w:i/>
        </w:rPr>
        <w:t>Manea</w:t>
      </w:r>
      <w:r>
        <w:t>, C 76/14, pct. 47-51).</w:t>
      </w:r>
    </w:p>
    <w:p w:rsidR="00F363EE" w14:paraId="1C9B4BB8" w14:textId="77777777">
      <w:pPr>
        <w:ind w:firstLine="684"/>
        <w:jc w:val="both"/>
      </w:pPr>
      <w:r>
        <w:t xml:space="preserve">Valoarea reziduală a unei taxe incompatibile cu dreptul Uniunii încetează să fie încorporată în valoarea de piață a unui vehicul din moment ce proprietarul acestui vehicul dispune, în temeiul acestui drept, de posibilitatea de a obține restituirea acestei taxe, independent de faptul că ea a fost sau nu a fost efectiv restituită la data vânzării vehiculului menționat. </w:t>
      </w:r>
    </w:p>
    <w:p w:rsidR="00F363EE" w14:paraId="0CB4A17F" w14:textId="77777777">
      <w:pPr>
        <w:ind w:firstLine="684"/>
        <w:jc w:val="both"/>
      </w:pPr>
      <w:r>
        <w:t>Astfel, această simplă posibilitate este de natură să îi încurajeze pe proprietarii vehiculelor rulate românești vizate să propună pentru aceste vehicule, chiar dacă taxa vizată nu a fost încă restituită, un preț de vânzare care să nu țină seama de taxa respectivă. Or, în cazul în care taxa nu a fost încă restituită, cumpărătorii vehiculelor menționate vor fi, în temeiul articolului 4 litera c) din O.U.G. nr. 9/2013, scutiți de timbrul de mediu. În schimb, vehiculele rulate importate dintr-un alt stat membru vor fi invariabil supuse timbrului de mediu prevăzut de O.U.G. nr. 9/2013 la înscrierea în România a dreptului de proprietate asupra acestor vehicule. Astfel, o scutire precum cea rezultată din această dispoziție este de natură să ofere un avantaj concurențial vehiculelor rulate prezente deja pe piața românească și, în consecință, să descurajeze importul de vehicule similare din alte state membre.</w:t>
      </w:r>
    </w:p>
    <w:p w:rsidR="00F363EE" w14:paraId="08A43BD7" w14:textId="77777777">
      <w:pPr>
        <w:ind w:firstLine="684"/>
        <w:jc w:val="both"/>
      </w:pPr>
      <w:r>
        <w:t xml:space="preserve">Or, după aderarea României la UE, acest lucru nu este admisibil când produsele importate sunt din alte ţări membre ale UE, atât timp cât norma fiscală naţională diminuează sau este susceptibilă să diminueze, chiar şi potenţial, consumul produselor importate, influenţând astfel alegerea consumatorilor, (Hotărârea din 7 mai 1987, cauza 193/85, </w:t>
      </w:r>
      <w:r>
        <w:rPr>
          <w:rStyle w:val="Fontdeparagrafimplicit"/>
          <w:i/>
        </w:rPr>
        <w:t>Cooperativa Co-Frutta SRL c. Administrazione delle finanze dello Stato</w:t>
      </w:r>
      <w:r>
        <w:t>).</w:t>
      </w:r>
    </w:p>
    <w:p w:rsidR="00F363EE" w14:paraId="1F984B26" w14:textId="77777777">
      <w:pPr>
        <w:ind w:firstLine="684"/>
        <w:jc w:val="both"/>
      </w:pPr>
      <w:r>
        <w:t xml:space="preserve">Jurisprudenţa Curţii de Justiţie se impune cu forţă obligatorie statelor membre, interpretarea dreptului Uniunii devine parte integrantă şi inseparabilă din reglementarea europeană. Hotărârile instanţei de la Luxemburg constituie ratio legis a normei de drept UE, prin aceea că folosesc la dezvăluirea conţinutului, înţelesului, scopului, temeiurilor şi economiei reglementării. De altfel, caracterul obligatoriu al interpretării dreptului Uniunii de CJUE este susţinut şi de principiul răspunderii statului pentru încălcarea dreptului UE, în angajarea căruia Curtea a reţinut ca faptă generatoare de prejudiciu însăşi ignorarea unor concluzii stabilite prin hotărâre pronunţată anterior de instanţa europeană. Astfel, în Hotărârea din 9 decembrie 2003, </w:t>
      </w:r>
      <w:r>
        <w:rPr>
          <w:rStyle w:val="Fontdeparagrafimplicit"/>
          <w:i/>
        </w:rPr>
        <w:t>Comisia c. Italiei</w:t>
      </w:r>
      <w:r>
        <w:t xml:space="preserve">, C-129/00, s-a constatat culpa statului italian de a nu formula o dispoziţie legală suficient de clară şi precisă pentru a determina aplicarea acesteia în mod unitar de către instanţele italiene de pe toate palierele şi nivelurile. Dispoziţia în cauză reprezenta o recunoaştere directă a dreptului de recuperare a prejudiciilor rezultate prin încălcarea dreptului Uniunii, semnalată de Curtea de la Luxemburg într-o cauză anterioară, C-343/96, </w:t>
      </w:r>
      <w:r>
        <w:rPr>
          <w:rStyle w:val="Fontdeparagrafimplicit"/>
          <w:i/>
        </w:rPr>
        <w:t>Dilexport</w:t>
      </w:r>
      <w:r>
        <w:t>.</w:t>
      </w:r>
    </w:p>
    <w:p w:rsidR="00F363EE" w14:paraId="3087B271" w14:textId="77777777">
      <w:pPr>
        <w:ind w:firstLine="684"/>
        <w:jc w:val="both"/>
      </w:pPr>
      <w:r>
        <w:t xml:space="preserve">Prin urmare, conferind o forţă juridică superioară dispoziţiilor O.U.G. nr. 9/2013, prin obligarea reclamantului la plata timbrului de mediu, în vederea înmatriculării autoturismului menţionat, s-au  încălcat prevederile art. 110 TFUE, astfel că în mod corect a dispus prima instanţă restituirea taxei în integralitate, în virtutea obligaţiei stabilite prin art. 148 alin. (4) din </w:t>
      </w:r>
      <w:r>
        <w:t>Constituţia României, de a asigura aducerea la îndeplinire a principiului preeminenţei prevederilor tratatelor constitutive ale Uniunii Europene, principiu enunţat de alineatul 2 al aceluiaşi articol din Constituţia României.</w:t>
      </w:r>
    </w:p>
    <w:p w:rsidR="00F363EE" w14:paraId="60D57762" w14:textId="77777777">
      <w:pPr>
        <w:ind w:firstLine="708"/>
        <w:jc w:val="both"/>
      </w:pPr>
      <w:r>
        <w:rPr>
          <w:rStyle w:val="Fontdeparagrafimplicit"/>
          <w:b/>
        </w:rPr>
        <w:t>5.3.</w:t>
      </w:r>
      <w:r>
        <w:t xml:space="preserve"> Prin Decizia de recurs în interesul legii nr. 24/14.11.2011 pronunţată în dosarul nr. 9/2011 de Înalta Curte de Casaţie şi Justiţie s-a reţinut, cu referire la hotărârile pronunţate în cauzele C-68/1979 - Hans Just I c. Ministerului danez al impozitelor şi accizelor şi C-228/96 Aprile - S.R.L., că posibilitatea reglementării de către statele membre ale Uniunii Europene a unor proceduri de restituire a taxelor percepute cu încălcarea dreptului comunitar trebuie să respecte principiul echivalenţei şi principiul efectivităţii. Or, aceasta presupune aplicarea dispoziţiilor de drept comun favorabile persoanei îndreptăţite, iar nu înlăturarea acestora pe baza unui text de lege instituit pentru cazul în care persoana îndreptăţită nu ar fi beneficiat de vreo dispoziţie care să prevadă punerea de drept în întârziere a autorităţilor. </w:t>
      </w:r>
    </w:p>
    <w:p w:rsidR="00F363EE" w14:paraId="7851DEBD" w14:textId="77777777">
      <w:pPr>
        <w:ind w:firstLine="708"/>
        <w:jc w:val="both"/>
      </w:pPr>
      <w:r>
        <w:t>Totodată, prin Decizia de recurs în interesul legii nr. 14/22.06.2015 pronunţată în dosarul nr. 9/2015 de Înalta Curte de Casaţie şi Justiţie, s-a statuat că dobânda care se acordă pentru sumele încasate cu titlu de taxă de primă înmatriculare, taxă pe poluare şi taxă pentru emisii poluante, restituite prin hotărâri judecătoreşti, este dobânda fiscală prevăzută de dispoziţiile art. 124 alin. (1) şi alin. (2) din Codul de procedură fiscală, coroborat cu dispoziţiile art. 120 alin. (7) din acelaşi act normativ, iar momentul de la care curge dobânda fiscală este reprezentat de data plăţii acestor taxe.</w:t>
      </w:r>
    </w:p>
    <w:p w:rsidR="00F363EE" w14:paraId="77DAE753" w14:textId="77777777">
      <w:pPr>
        <w:ind w:firstLine="708"/>
        <w:jc w:val="both"/>
      </w:pPr>
      <w:r>
        <w:t>În data de 18.04.2013, Curtea de Justiţie a Uniunii Europene s-a pronunţat în cauza C-565/11, Mariana Irimie c. Administraţiei Finanţelor Publice Sibiu şi a Administraţiei Fondului pentru Mediu, statuând că dreptul Uniunii se opune unui regim naţional care limitează dobânzile acordate cu ocazia restituirii unei taxe percepute cu încălcarea dreptului Uniunii la cele care curg începând din ziua care urmează datei formulării cererii de restituire a acestei taxe.</w:t>
      </w:r>
    </w:p>
    <w:p w:rsidR="00F363EE" w14:paraId="23E9664C" w14:textId="77777777">
      <w:pPr>
        <w:ind w:firstLine="708"/>
        <w:jc w:val="both"/>
      </w:pPr>
      <w:r>
        <w:t xml:space="preserve">Prin urmare, în mod corect instanţa de fond a acordat reclamantei dobânda legală în materie fiscală, în cuantumul prevăzut de art. 124 alin. (2) raportat la art. 120 alin. (7) din O.G. nr. 92/2003, dar cu începere de la data încasării taxei, deoarece raportul juridic dedus judecăţii este de natură fiscală, iar principiul echivalenţei şi principiul efectivităţii, interpretate prin prisma hotărârii din cauza Irimie, impun ca părţile să beneficieze de acelaşi cuantum al dobânzii, cu singura distincţie că punerea în întârziere în cauza de faţă a intervenit de drept, prin faptul încălcării cu rea-credinţă a dreptului Uniunii Europene, la data perceperii taxei. </w:t>
      </w:r>
    </w:p>
    <w:p w:rsidR="00F363EE" w14:paraId="4C0630EC" w14:textId="77777777">
      <w:pPr>
        <w:ind w:firstLine="684"/>
        <w:jc w:val="both"/>
      </w:pPr>
    </w:p>
    <w:p w:rsidR="00F363EE" w14:paraId="248FBA3C" w14:textId="31953FE3">
      <w:pPr>
        <w:ind w:firstLine="684"/>
        <w:jc w:val="both"/>
      </w:pPr>
      <w:r>
        <w:t xml:space="preserve">5.4. Referitor la cheltuielile de judecată stabilite de instanţa de fond în sarcina pârâtei-recurente, Curtea reţine că aceasta a pierdut procesul, fiind îndeplinite condiţiile prevăzute de art. 453 din Codul de procedură </w:t>
      </w:r>
      <w:r w:rsidR="00B45D07">
        <w:t>civilă</w:t>
      </w:r>
      <w:r w:rsidR="003C6EBC">
        <w:t xml:space="preserve"> </w:t>
      </w:r>
      <w:r>
        <w:t xml:space="preserve">pentru obligarea sa la plata către intimatul-reclamant a cheltuielilor de judecată. </w:t>
      </w:r>
    </w:p>
    <w:p w:rsidR="00F363EE" w14:paraId="38E843DF" w14:textId="6EA156A8">
      <w:pPr>
        <w:ind w:firstLine="684"/>
        <w:jc w:val="both"/>
      </w:pPr>
      <w:r>
        <w:t xml:space="preserve">Curtea subliniază, pe de o parte, că, prin soluţia de faţă, câştigă procesul în mod definitiv partea reclamantă, iar, pe de altă parte, art. 451 şi 453 din Codul de procedură </w:t>
      </w:r>
      <w:r w:rsidR="00B45D07">
        <w:t>civilă</w:t>
      </w:r>
      <w:r w:rsidR="003C6EBC">
        <w:t xml:space="preserve"> </w:t>
      </w:r>
      <w:r>
        <w:t>asigura părţii care câştigă procesul într-o anumită etapă procesuală posibilitatea de a-şi recupera cheltuielile de judecată aferente, efectiva lor recuperare depinzând de măsura în care hotărârea care i le recunoaşte rămâne sau nu definitivă.</w:t>
      </w:r>
    </w:p>
    <w:p w:rsidR="00F363EE" w14:paraId="4180A511" w14:textId="77777777">
      <w:pPr>
        <w:ind w:right="-11" w:firstLine="708"/>
        <w:jc w:val="both"/>
      </w:pPr>
    </w:p>
    <w:p w:rsidR="00F363EE" w14:paraId="7F495BF5" w14:textId="6212C481">
      <w:pPr>
        <w:ind w:firstLine="684"/>
        <w:jc w:val="both"/>
      </w:pPr>
      <w:r>
        <w:t xml:space="preserve">În consecinţă, faţă de ansamblul considerentelor expuse anterior, ţinând seama de criticile aduse sentinţei recurate şi în limitele acestora, de dispoziţiile art. 488 alin. (1) pct. 8 Codul de procedură civilă, de dispoziţiile art. 489 alin. (3) din Codul de procedură </w:t>
      </w:r>
      <w:r w:rsidR="00B45D07">
        <w:t>civilă</w:t>
      </w:r>
      <w:r w:rsidR="003C6EBC">
        <w:t xml:space="preserve"> </w:t>
      </w:r>
      <w:r>
        <w:t>şi de faptul că nu există niciun motiv de ordine publică care să poată fi invocat din oficiu, se va respinge recursul ca nefondat, în conformitate cu dispoziţiile art. 496 din Codul de procedură civilă.</w:t>
      </w:r>
    </w:p>
    <w:p w:rsidR="00F363EE" w14:paraId="3C59BD97" w14:textId="77777777">
      <w:pPr>
        <w:ind w:firstLine="684"/>
        <w:jc w:val="both"/>
        <w:rPr>
          <w:rStyle w:val="Fontdeparagrafimplicit"/>
          <w:b/>
        </w:rPr>
      </w:pPr>
    </w:p>
    <w:p w:rsidR="00F363EE" w14:paraId="59CB1FCC" w14:textId="77777777">
      <w:pPr>
        <w:jc w:val="center"/>
      </w:pPr>
      <w:r>
        <w:t xml:space="preserve">PENTRU ACESTE MOTIVE, </w:t>
      </w:r>
    </w:p>
    <w:p w:rsidR="00F363EE" w14:paraId="608FBC0F" w14:textId="77777777">
      <w:pPr>
        <w:jc w:val="center"/>
      </w:pPr>
      <w:r>
        <w:t>ÎN NUMELE LEGII,</w:t>
      </w:r>
    </w:p>
    <w:p w:rsidR="00F363EE" w14:paraId="052E7B52" w14:textId="77777777">
      <w:pPr>
        <w:jc w:val="center"/>
      </w:pPr>
      <w:r>
        <w:t>DECIDE:</w:t>
      </w:r>
    </w:p>
    <w:p w:rsidR="00F363EE" w14:paraId="633DB388" w14:textId="77777777">
      <w:pPr>
        <w:jc w:val="center"/>
      </w:pPr>
    </w:p>
    <w:p w:rsidR="00F363EE" w14:paraId="511D51D4" w14:textId="43EAF65E">
      <w:pPr>
        <w:ind w:firstLine="708"/>
        <w:jc w:val="both"/>
      </w:pPr>
      <w:r>
        <w:t xml:space="preserve">Respinge recursul declarat de recurenta-pârâtă DIRECŢIA GENERALĂ REGIONALĂ A FINANŢELOR PUBLICE </w:t>
      </w:r>
      <w:r w:rsidR="003C6EBC">
        <w:t xml:space="preserve">............... </w:t>
      </w:r>
      <w:r>
        <w:t xml:space="preserve"> în reprezentarea ADMINISTRAŢIEI JUDEŢENE A FINANŢELOR PUBLICE </w:t>
      </w:r>
      <w:r w:rsidR="003C6EBC">
        <w:t xml:space="preserve">............ </w:t>
      </w:r>
      <w:r>
        <w:t xml:space="preserve">, cu sediul în </w:t>
      </w:r>
      <w:r w:rsidR="003C6EBC">
        <w:t xml:space="preserve">............... </w:t>
      </w:r>
      <w:r>
        <w:t xml:space="preserve">, Str. </w:t>
      </w:r>
      <w:r w:rsidR="00B45D07">
        <w:t>........</w:t>
      </w:r>
      <w:r>
        <w:t xml:space="preserve"> nr. </w:t>
      </w:r>
      <w:r w:rsidR="00B45D07">
        <w:t>.......</w:t>
      </w:r>
      <w:r>
        <w:t xml:space="preserve">, </w:t>
      </w:r>
      <w:r w:rsidR="00B45D07">
        <w:t>.......</w:t>
      </w:r>
      <w:r>
        <w:t xml:space="preserve">,  împotriva sentinţei civile nr. </w:t>
      </w:r>
      <w:r w:rsidR="003C6EBC">
        <w:t xml:space="preserve">......./............ </w:t>
      </w:r>
      <w:r>
        <w:t xml:space="preserve">pronunţată de Tribunalul </w:t>
      </w:r>
      <w:r w:rsidR="003C6EBC">
        <w:t xml:space="preserve">........... </w:t>
      </w:r>
      <w:r>
        <w:t xml:space="preserve">– Secţia </w:t>
      </w:r>
      <w:r w:rsidR="003C6EBC">
        <w:t xml:space="preserve">........... </w:t>
      </w:r>
      <w:r>
        <w:t xml:space="preserve">în dosarul nr. </w:t>
      </w:r>
      <w:r w:rsidR="000F0A43">
        <w:t xml:space="preserve">1 </w:t>
      </w:r>
      <w:r>
        <w:t xml:space="preserve">, în contradictoriu cu intimatul-reclamant </w:t>
      </w:r>
      <w:r w:rsidR="00B45D07">
        <w:t xml:space="preserve">1 </w:t>
      </w:r>
      <w:r>
        <w:t xml:space="preserve">, cu domiciliul ales la CA </w:t>
      </w:r>
      <w:r w:rsidR="00B45D07">
        <w:t xml:space="preserve">2 </w:t>
      </w:r>
      <w:r>
        <w:t xml:space="preserve"> din </w:t>
      </w:r>
      <w:r w:rsidR="00B45D07">
        <w:t>.......</w:t>
      </w:r>
      <w:r>
        <w:t xml:space="preserve">, Str. </w:t>
      </w:r>
      <w:r w:rsidR="00B45D07">
        <w:t>.........</w:t>
      </w:r>
      <w:r>
        <w:t xml:space="preserve"> nr. </w:t>
      </w:r>
      <w:r w:rsidR="00B45D07">
        <w:t>.........</w:t>
      </w:r>
      <w:r>
        <w:t xml:space="preserve">, jud. </w:t>
      </w:r>
      <w:r w:rsidR="003C6EBC">
        <w:t xml:space="preserve">............ </w:t>
      </w:r>
      <w:r>
        <w:t xml:space="preserve">, şi intimata-chemată în garanţie ADMINISTRAŢIA FONDULUI PENTRU MEDIU, cu sediul în </w:t>
      </w:r>
      <w:r w:rsidR="003C6EBC">
        <w:t xml:space="preserve">............... </w:t>
      </w:r>
      <w:r>
        <w:t xml:space="preserve">, </w:t>
      </w:r>
      <w:r w:rsidR="00B45D07">
        <w:t>...........</w:t>
      </w:r>
      <w:r>
        <w:t xml:space="preserve"> nr. </w:t>
      </w:r>
      <w:r w:rsidR="00B45D07">
        <w:t>.......</w:t>
      </w:r>
      <w:r>
        <w:t xml:space="preserve">, </w:t>
      </w:r>
      <w:r w:rsidR="00B45D07">
        <w:t>.......</w:t>
      </w:r>
      <w:r>
        <w:t xml:space="preserve">, </w:t>
      </w:r>
      <w:r w:rsidR="00B45D07">
        <w:t>.......</w:t>
      </w:r>
      <w:r>
        <w:t>, ca nefondat.</w:t>
      </w:r>
    </w:p>
    <w:p w:rsidR="00F363EE" w14:paraId="6CD921A8" w14:textId="77777777">
      <w:pPr>
        <w:ind w:firstLine="708"/>
        <w:jc w:val="both"/>
      </w:pPr>
      <w:r>
        <w:t xml:space="preserve">Definitivă. </w:t>
      </w:r>
    </w:p>
    <w:p w:rsidR="00F363EE" w14:paraId="60ED1C98" w14:textId="0BF7334F">
      <w:pPr>
        <w:ind w:firstLine="708"/>
        <w:jc w:val="both"/>
      </w:pPr>
      <w:r>
        <w:t xml:space="preserve">Pronunţată în şedinţă publică, astăzi, </w:t>
      </w:r>
      <w:r w:rsidR="003C6EBC">
        <w:t xml:space="preserve">.......... </w:t>
      </w:r>
      <w:r>
        <w:t>.</w:t>
      </w:r>
    </w:p>
    <w:p w:rsidR="00F363EE" w14:paraId="036EE916" w14:textId="77777777">
      <w:pPr>
        <w:ind w:firstLine="708"/>
        <w:jc w:val="both"/>
      </w:pPr>
    </w:p>
    <w:p w:rsidR="00F363EE" w14:paraId="50F099C1" w14:textId="77777777">
      <w:pPr>
        <w:jc w:val="both"/>
      </w:pPr>
      <w:r>
        <w:rPr>
          <w:rStyle w:val="Fontdeparagrafimplicit"/>
          <w:b/>
        </w:rPr>
        <w:t xml:space="preserve">                  </w:t>
      </w:r>
      <w:r>
        <w:t xml:space="preserve">Preşedinte,                                  Judecător,                                         Judecător,                                                             </w:t>
      </w:r>
    </w:p>
    <w:p w:rsidR="00F363EE" w14:paraId="394753C3" w14:textId="6DB8034F">
      <w:pPr>
        <w:jc w:val="both"/>
      </w:pPr>
      <w:r>
        <w:t xml:space="preserve">      </w:t>
      </w:r>
      <w:r w:rsidR="00B45D07">
        <w:t xml:space="preserve">        </w:t>
      </w:r>
      <w:r>
        <w:t xml:space="preserve">   </w:t>
      </w:r>
      <w:r w:rsidR="003C6EBC">
        <w:t xml:space="preserve">............... </w:t>
      </w:r>
      <w:r>
        <w:tab/>
      </w:r>
      <w:r>
        <w:tab/>
        <w:t xml:space="preserve">   </w:t>
      </w:r>
      <w:r w:rsidR="00B45D07">
        <w:t xml:space="preserve">                .................</w:t>
      </w:r>
      <w:r>
        <w:tab/>
      </w:r>
      <w:r>
        <w:tab/>
      </w:r>
      <w:r w:rsidR="00B45D07">
        <w:t xml:space="preserve">                 </w:t>
      </w:r>
      <w:r>
        <w:t xml:space="preserve"> </w:t>
      </w:r>
      <w:r w:rsidR="003C6EBC">
        <w:t>A0008</w:t>
      </w:r>
    </w:p>
    <w:p w:rsidR="00F363EE" w14:paraId="006520BB" w14:textId="77777777">
      <w:pPr>
        <w:jc w:val="both"/>
      </w:pPr>
    </w:p>
    <w:p w:rsidR="00F363EE" w14:paraId="42A564F3" w14:textId="77777777">
      <w:pPr>
        <w:jc w:val="both"/>
      </w:pPr>
    </w:p>
    <w:p w:rsidR="00F363EE" w14:paraId="5E1E8EE6" w14:textId="77777777">
      <w:pPr>
        <w:jc w:val="both"/>
      </w:pPr>
    </w:p>
    <w:p w:rsidR="00F363EE" w14:paraId="555D06DD" w14:textId="77777777">
      <w:pPr>
        <w:jc w:val="both"/>
      </w:pPr>
      <w:r>
        <w:t xml:space="preserve">                                                                     </w:t>
      </w:r>
      <w:r>
        <w:tab/>
      </w:r>
      <w:r>
        <w:tab/>
        <w:t xml:space="preserve">           Grefier,</w:t>
      </w:r>
    </w:p>
    <w:p w:rsidR="00F363EE" w14:paraId="6CDD290B" w14:textId="7DACC8D2">
      <w:pPr>
        <w:jc w:val="both"/>
      </w:pPr>
      <w:r>
        <w:rPr>
          <w:rStyle w:val="Fontdeparagrafimplicit"/>
          <w:b/>
        </w:rPr>
        <w:t xml:space="preserve">                                                                 </w:t>
      </w:r>
      <w:r>
        <w:rPr>
          <w:rStyle w:val="Fontdeparagrafimplicit"/>
          <w:b/>
        </w:rPr>
        <w:tab/>
      </w:r>
      <w:r>
        <w:rPr>
          <w:rStyle w:val="Fontdeparagrafimplicit"/>
          <w:b/>
        </w:rPr>
        <w:tab/>
        <w:t xml:space="preserve">   </w:t>
      </w:r>
      <w:r w:rsidR="00B45D07">
        <w:rPr>
          <w:rStyle w:val="Fontdeparagrafimplicit"/>
          <w:b/>
        </w:rPr>
        <w:t xml:space="preserve">     </w:t>
      </w:r>
      <w:r>
        <w:rPr>
          <w:rStyle w:val="Fontdeparagrafimplicit"/>
          <w:b/>
        </w:rPr>
        <w:t xml:space="preserve"> </w:t>
      </w:r>
      <w:r w:rsidR="003C6EBC">
        <w:t xml:space="preserve">.............. </w:t>
      </w:r>
    </w:p>
    <w:p w:rsidR="00F363EE" w14:paraId="7B7C8640" w14:textId="77777777">
      <w:pPr>
        <w:jc w:val="both"/>
      </w:pPr>
    </w:p>
    <w:p w:rsidR="00F363EE" w14:paraId="73373DCF" w14:textId="77777777">
      <w:pPr>
        <w:jc w:val="both"/>
      </w:pPr>
    </w:p>
    <w:p w:rsidR="00F363EE" w14:paraId="294B1215" w14:textId="77777777">
      <w:pPr>
        <w:jc w:val="both"/>
      </w:pPr>
    </w:p>
    <w:p w:rsidR="00F363EE" w14:paraId="4001680D" w14:textId="77777777">
      <w:pPr>
        <w:jc w:val="both"/>
      </w:pPr>
    </w:p>
    <w:p w:rsidR="00F363EE" w14:paraId="11018BF3" w14:textId="77777777">
      <w:pPr>
        <w:jc w:val="both"/>
      </w:pPr>
    </w:p>
    <w:p w:rsidR="00F363EE" w14:paraId="036298DC" w14:textId="0EB699E4">
      <w:pPr>
        <w:jc w:val="both"/>
        <w:rPr>
          <w:rStyle w:val="Fontdeparagrafimplicit"/>
          <w:i/>
          <w:sz w:val="16"/>
        </w:rPr>
      </w:pPr>
      <w:r>
        <w:rPr>
          <w:rStyle w:val="Fontdeparagrafimplicit"/>
          <w:i/>
          <w:sz w:val="16"/>
        </w:rPr>
        <w:t xml:space="preserve">Red. jud. </w:t>
      </w:r>
      <w:r w:rsidR="00B45D07">
        <w:rPr>
          <w:rStyle w:val="Fontdeparagrafimplicit"/>
          <w:i/>
          <w:sz w:val="16"/>
        </w:rPr>
        <w:t>A0008</w:t>
      </w:r>
      <w:r>
        <w:rPr>
          <w:rStyle w:val="Fontdeparagrafimplicit"/>
          <w:i/>
          <w:sz w:val="16"/>
        </w:rPr>
        <w:t>/2 ex./</w:t>
      </w:r>
      <w:r w:rsidR="00B45D07">
        <w:rPr>
          <w:rStyle w:val="Fontdeparagrafimplicit"/>
          <w:i/>
          <w:sz w:val="16"/>
        </w:rPr>
        <w:t>.........</w:t>
      </w:r>
    </w:p>
    <w:p w:rsidR="00F363EE" w14:paraId="788EF082" w14:textId="5F096526">
      <w:pPr>
        <w:jc w:val="both"/>
        <w:rPr>
          <w:rStyle w:val="Fontdeparagrafimplicit"/>
          <w:i/>
          <w:sz w:val="16"/>
        </w:rPr>
      </w:pPr>
      <w:r>
        <w:rPr>
          <w:rStyle w:val="Fontdeparagrafimplicit"/>
          <w:i/>
          <w:sz w:val="16"/>
        </w:rPr>
        <w:t xml:space="preserve">Jud. fond: </w:t>
      </w:r>
      <w:r w:rsidR="00B45D07">
        <w:rPr>
          <w:rStyle w:val="Fontdeparagrafimplicit"/>
          <w:i/>
          <w:sz w:val="16"/>
        </w:rPr>
        <w:t>.........</w:t>
      </w:r>
      <w:r>
        <w:rPr>
          <w:rStyle w:val="Fontdeparagrafimplicit"/>
          <w:i/>
          <w:sz w:val="16"/>
        </w:rPr>
        <w:t xml:space="preserve"> (T. </w:t>
      </w:r>
      <w:r w:rsidR="003C6EBC">
        <w:rPr>
          <w:rStyle w:val="Fontdeparagrafimplicit"/>
          <w:i/>
          <w:sz w:val="16"/>
        </w:rPr>
        <w:t xml:space="preserve">........... </w:t>
      </w:r>
      <w:r>
        <w:rPr>
          <w:rStyle w:val="Fontdeparagrafimplicit"/>
          <w:i/>
          <w:sz w:val="16"/>
        </w:rPr>
        <w:t xml:space="preserve">– Secţia </w:t>
      </w:r>
      <w:r w:rsidR="000F0A43">
        <w:rPr>
          <w:rStyle w:val="Fontdeparagrafimplicit"/>
          <w:i/>
          <w:sz w:val="16"/>
        </w:rPr>
        <w:t xml:space="preserve"> </w:t>
      </w:r>
      <w:r>
        <w:rPr>
          <w:rStyle w:val="Fontdeparagrafimplicit"/>
          <w:i/>
          <w:sz w:val="16"/>
        </w:rPr>
        <w:t>)</w:t>
      </w:r>
    </w:p>
    <w:p w:rsidR="00F363EE" w14:paraId="1EAD9B19" w14:textId="77777777">
      <w:pPr>
        <w:jc w:val="both"/>
        <w:rPr>
          <w:rStyle w:val="Fontdeparagrafimplicit"/>
          <w:i/>
        </w:rPr>
      </w:pPr>
    </w:p>
    <w:p w:rsidR="00F363EE" w14:paraId="0523C8E8" w14:textId="77777777">
      <w:pPr>
        <w:jc w:val="both"/>
        <w:rPr>
          <w:rStyle w:val="Fontdeparagrafimplicit"/>
          <w:i/>
        </w:rPr>
      </w:pPr>
    </w:p>
    <w:p w:rsidR="00F363EE" w14:paraId="48DF0FF2"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64F191A"/>
    <w:multiLevelType w:val="hybridMultilevel"/>
    <w:tmpl w:val="BB8427DC"/>
    <w:lvl w:ilvl="0">
      <w:start w:val="2"/>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1" w15:restartNumberingAfterBreak="0">
    <w:nsid w:val="69A65FFC"/>
    <w:multiLevelType w:val="multilevel"/>
    <w:tmpl w:val="1B4ECC0E"/>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917203376">
    <w:abstractNumId w:val="1"/>
  </w:num>
  <w:num w:numId="2" w16cid:durableId="268706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3EE"/>
    <w:rsid w:val="000D0A95"/>
    <w:rsid w:val="000F0A43"/>
    <w:rsid w:val="002D1311"/>
    <w:rsid w:val="002D527E"/>
    <w:rsid w:val="003C6EBC"/>
    <w:rsid w:val="005900DD"/>
    <w:rsid w:val="00594539"/>
    <w:rsid w:val="00B45D07"/>
    <w:rsid w:val="00F11F5A"/>
    <w:rsid w:val="00F363EE"/>
  </w:rsids>
  <w:docVars>
    <w:docVar w:name="url" w:val="http://10.1.48.53:80/ecris_cdms/document_upload.aspx?id_document=200000003084501&amp;id_departament=5&amp;id_sesiune=2726423&amp;id_user=65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6F2C738"/>
  <w15:docId w15:val="{7F7A42F4-61A6-4CA8-818F-2F4243EC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26</ap:TotalTime>
  <ap:Pages>1</ap:Pages>
  <ap:Words>4443</ap:Words>
  <ap:Characters>25327</ap:Characters>
  <ap:Application>Microsoft Office Word</ap:Application>
  <ap:DocSecurity>0</ap:DocSecurity>
  <ap:Lines>211</ap:Lines>
  <ap:Paragraphs>59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29711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