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82F7" w14:textId="772314A7" w:rsidR="00AB1FD0" w:rsidRDefault="002044B4">
      <w:pPr>
        <w:rPr>
          <w:rStyle w:val="Fontdeparagrafimplicit1"/>
          <w:rFonts w:ascii="Garamond" w:hAnsi="Garamond"/>
        </w:rPr>
      </w:pPr>
      <w:r>
        <w:rPr>
          <w:rStyle w:val="Fontdeparagrafimplicit1"/>
          <w:rFonts w:ascii="Garamond" w:hAnsi="Garamond"/>
        </w:rPr>
        <w:t>Cod ECLI    ECLI:RO:CA</w:t>
      </w:r>
      <w:r w:rsidR="00CA03E8">
        <w:rPr>
          <w:rStyle w:val="Fontdeparagrafimplicit1"/>
          <w:rFonts w:ascii="Garamond" w:hAnsi="Garamond"/>
        </w:rPr>
        <w:t>...</w:t>
      </w:r>
      <w:r>
        <w:rPr>
          <w:rStyle w:val="Fontdeparagrafimplicit1"/>
          <w:rFonts w:ascii="Garamond" w:hAnsi="Garamond"/>
        </w:rPr>
        <w:t>:</w:t>
      </w:r>
      <w:r w:rsidR="00CA03E8">
        <w:rPr>
          <w:rStyle w:val="Fontdeparagrafimplicit1"/>
          <w:rFonts w:ascii="Garamond" w:hAnsi="Garamond"/>
        </w:rPr>
        <w:t>....</w:t>
      </w:r>
    </w:p>
    <w:p w14:paraId="56642BCD" w14:textId="77777777" w:rsidR="00AB1FD0" w:rsidRDefault="002044B4">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5BF12ADE" w14:textId="26215C11" w:rsidR="00AB1FD0" w:rsidRDefault="002044B4">
      <w:pPr>
        <w:rPr>
          <w:rStyle w:val="Fontdeparagrafimplicit1"/>
          <w:b/>
          <w:i/>
        </w:rPr>
      </w:pPr>
      <w:r>
        <w:rPr>
          <w:rStyle w:val="Fontdeparagrafimplicit1"/>
          <w:b/>
          <w:i/>
        </w:rPr>
        <w:t xml:space="preserve">CURTEA DE APEL </w:t>
      </w:r>
      <w:r w:rsidR="00CA03E8">
        <w:rPr>
          <w:rStyle w:val="Fontdeparagrafimplicit1"/>
          <w:b/>
          <w:i/>
        </w:rPr>
        <w:t>X</w:t>
      </w:r>
    </w:p>
    <w:p w14:paraId="4E0666DB" w14:textId="23EE3DE2" w:rsidR="00AB1FD0" w:rsidRDefault="002044B4">
      <w:pPr>
        <w:rPr>
          <w:rStyle w:val="Fontdeparagrafimplicit1"/>
          <w:b/>
          <w:i/>
        </w:rPr>
      </w:pPr>
      <w:r>
        <w:rPr>
          <w:rStyle w:val="Fontdeparagrafimplicit1"/>
          <w:b/>
          <w:i/>
        </w:rPr>
        <w:t xml:space="preserve">   SECŢIA  </w:t>
      </w:r>
      <w:r w:rsidR="00CA03E8">
        <w:rPr>
          <w:rStyle w:val="Fontdeparagrafimplicit1"/>
          <w:b/>
          <w:i/>
        </w:rPr>
        <w:t>....</w:t>
      </w:r>
    </w:p>
    <w:p w14:paraId="66A4C216" w14:textId="0673600D" w:rsidR="00AB1FD0" w:rsidRDefault="002044B4">
      <w:pPr>
        <w:rPr>
          <w:rStyle w:val="Fontdeparagrafimplicit1"/>
          <w:i/>
        </w:rPr>
      </w:pPr>
      <w:r>
        <w:rPr>
          <w:rStyle w:val="Fontdeparagrafimplicit1"/>
          <w:i/>
        </w:rPr>
        <w:t xml:space="preserve"> Număr operator de date cu caracter personal </w:t>
      </w:r>
      <w:r w:rsidR="00CA03E8">
        <w:rPr>
          <w:rStyle w:val="Fontdeparagrafimplicit1"/>
          <w:i/>
        </w:rPr>
        <w:t>...</w:t>
      </w:r>
    </w:p>
    <w:p w14:paraId="59B6C0B9" w14:textId="6AC9439A" w:rsidR="00AB1FD0" w:rsidRDefault="002044B4">
      <w:pPr>
        <w:rPr>
          <w:rStyle w:val="Fontdeparagrafimplicit1"/>
          <w:b/>
          <w:i/>
        </w:rPr>
      </w:pPr>
      <w:r>
        <w:rPr>
          <w:rStyle w:val="Fontdeparagrafimplicit1"/>
          <w:b/>
          <w:i/>
        </w:rPr>
        <w:t xml:space="preserve">  DOSAR NR. </w:t>
      </w:r>
      <w:r w:rsidR="00CA03E8">
        <w:rPr>
          <w:rStyle w:val="Fontdeparagrafimplicit1"/>
          <w:b/>
          <w:i/>
        </w:rPr>
        <w:t>....</w:t>
      </w:r>
      <w:r>
        <w:rPr>
          <w:rStyle w:val="Fontdeparagrafimplicit1"/>
          <w:b/>
          <w:i/>
        </w:rPr>
        <w:t>5</w:t>
      </w:r>
    </w:p>
    <w:p w14:paraId="530C6747" w14:textId="77777777" w:rsidR="00AB1FD0" w:rsidRDefault="00AB1FD0">
      <w:pPr>
        <w:rPr>
          <w:rStyle w:val="Fontdeparagrafimplicit1"/>
          <w:b/>
          <w:i/>
        </w:rPr>
      </w:pPr>
    </w:p>
    <w:p w14:paraId="1DE2E21E" w14:textId="77777777" w:rsidR="00AB1FD0" w:rsidRDefault="002044B4">
      <w:pPr>
        <w:rPr>
          <w:rStyle w:val="Fontdeparagrafimplicit1"/>
          <w:i/>
        </w:rPr>
      </w:pPr>
      <w:r>
        <w:rPr>
          <w:rStyle w:val="Fontdeparagrafimplicit1"/>
          <w:i/>
        </w:rPr>
        <w:t xml:space="preserve">        </w:t>
      </w:r>
    </w:p>
    <w:p w14:paraId="24094BC7" w14:textId="25861E8E" w:rsidR="00AB1FD0" w:rsidRDefault="002044B4">
      <w:pPr>
        <w:keepNext/>
        <w:jc w:val="center"/>
        <w:outlineLvl w:val="0"/>
        <w:rPr>
          <w:rStyle w:val="Fontdeparagrafimplicit1"/>
          <w:b/>
          <w:i/>
          <w:u w:val="single"/>
        </w:rPr>
      </w:pPr>
      <w:r>
        <w:rPr>
          <w:rStyle w:val="Fontdeparagrafimplicit1"/>
          <w:b/>
          <w:i/>
          <w:u w:val="single"/>
        </w:rPr>
        <w:t>DECIZIA CIVILĂ NR.</w:t>
      </w:r>
      <w:r w:rsidR="00CA03E8">
        <w:rPr>
          <w:rStyle w:val="Fontdeparagrafimplicit1"/>
          <w:b/>
          <w:i/>
          <w:u w:val="single"/>
        </w:rPr>
        <w:t>....</w:t>
      </w:r>
      <w:r>
        <w:rPr>
          <w:rStyle w:val="Fontdeparagrafimplicit1"/>
          <w:b/>
          <w:i/>
          <w:u w:val="single"/>
        </w:rPr>
        <w:t xml:space="preserve"> </w:t>
      </w:r>
    </w:p>
    <w:p w14:paraId="13ACD196" w14:textId="77777777" w:rsidR="00AB1FD0" w:rsidRDefault="00AB1FD0">
      <w:pPr>
        <w:keepNext/>
        <w:jc w:val="center"/>
        <w:outlineLvl w:val="0"/>
        <w:rPr>
          <w:rStyle w:val="Fontdeparagrafimplicit1"/>
          <w:b/>
          <w:i/>
          <w:u w:val="single"/>
        </w:rPr>
      </w:pPr>
    </w:p>
    <w:p w14:paraId="67F1151F" w14:textId="6285957B" w:rsidR="00AB1FD0" w:rsidRDefault="002044B4">
      <w:pPr>
        <w:jc w:val="center"/>
        <w:rPr>
          <w:rStyle w:val="Fontdeparagrafimplicit1"/>
          <w:b/>
          <w:i/>
        </w:rPr>
      </w:pPr>
      <w:r>
        <w:rPr>
          <w:rStyle w:val="Fontdeparagrafimplicit1"/>
          <w:b/>
          <w:i/>
        </w:rPr>
        <w:t xml:space="preserve">Şedinţa publică din </w:t>
      </w:r>
      <w:r w:rsidR="00CA03E8">
        <w:rPr>
          <w:rStyle w:val="Fontdeparagrafimplicit1"/>
          <w:b/>
          <w:i/>
        </w:rPr>
        <w:t>....</w:t>
      </w:r>
      <w:r>
        <w:rPr>
          <w:rStyle w:val="Fontdeparagrafimplicit1"/>
          <w:b/>
          <w:i/>
        </w:rPr>
        <w:t xml:space="preserve">  </w:t>
      </w:r>
    </w:p>
    <w:p w14:paraId="26C437DB" w14:textId="77777777" w:rsidR="00AB1FD0" w:rsidRDefault="002044B4">
      <w:pPr>
        <w:jc w:val="center"/>
        <w:rPr>
          <w:rStyle w:val="Fontdeparagrafimplicit1"/>
          <w:b/>
          <w:i/>
        </w:rPr>
      </w:pPr>
      <w:r>
        <w:rPr>
          <w:rStyle w:val="Fontdeparagrafimplicit1"/>
          <w:b/>
          <w:i/>
        </w:rPr>
        <w:t xml:space="preserve"> </w:t>
      </w:r>
    </w:p>
    <w:p w14:paraId="509F8E1F" w14:textId="745EDE2A" w:rsidR="00AB1FD0" w:rsidRDefault="002044B4">
      <w:pPr>
        <w:ind w:left="2124" w:firstLine="708"/>
        <w:rPr>
          <w:rStyle w:val="Fontdeparagrafimplicit1"/>
          <w:i/>
        </w:rPr>
      </w:pPr>
      <w:r>
        <w:rPr>
          <w:rStyle w:val="Fontdeparagrafimplicit1"/>
          <w:b/>
          <w:i/>
        </w:rPr>
        <w:t xml:space="preserve">  PREŞEDINTE :</w:t>
      </w:r>
      <w:r w:rsidR="00CA03E8">
        <w:rPr>
          <w:rStyle w:val="Fontdeparagrafimplicit1"/>
          <w:i/>
        </w:rPr>
        <w:t>A0011</w:t>
      </w:r>
      <w:r>
        <w:rPr>
          <w:rStyle w:val="Fontdeparagrafimplicit1"/>
          <w:i/>
        </w:rPr>
        <w:t xml:space="preserve"> </w:t>
      </w:r>
    </w:p>
    <w:p w14:paraId="141C12A2" w14:textId="69DA5AC0" w:rsidR="00AB1FD0" w:rsidRDefault="002044B4">
      <w:pPr>
        <w:ind w:left="2124" w:firstLine="708"/>
        <w:rPr>
          <w:rStyle w:val="Fontdeparagrafimplicit1"/>
          <w:b/>
          <w:i/>
        </w:rPr>
      </w:pPr>
      <w:r>
        <w:rPr>
          <w:rStyle w:val="Fontdeparagrafimplicit1"/>
          <w:b/>
          <w:i/>
        </w:rPr>
        <w:t xml:space="preserve"> JUDECĂTOR : </w:t>
      </w:r>
      <w:r w:rsidR="00CA03E8">
        <w:rPr>
          <w:rStyle w:val="Fontdeparagrafimplicit1"/>
          <w:i/>
        </w:rPr>
        <w:t>....</w:t>
      </w:r>
      <w:r>
        <w:rPr>
          <w:rStyle w:val="Fontdeparagrafimplicit1"/>
          <w:b/>
          <w:i/>
        </w:rPr>
        <w:t xml:space="preserve">    </w:t>
      </w:r>
    </w:p>
    <w:p w14:paraId="14037C63" w14:textId="32430619" w:rsidR="00AB1FD0" w:rsidRDefault="002044B4">
      <w:pPr>
        <w:ind w:left="2124" w:firstLine="708"/>
        <w:rPr>
          <w:rStyle w:val="Fontdeparagrafimplicit1"/>
          <w:b/>
          <w:i/>
        </w:rPr>
      </w:pPr>
      <w:r>
        <w:rPr>
          <w:rStyle w:val="Fontdeparagrafimplicit1"/>
          <w:b/>
          <w:i/>
        </w:rPr>
        <w:t xml:space="preserve"> JUDECĂTOR : </w:t>
      </w:r>
      <w:r w:rsidR="00CA03E8">
        <w:rPr>
          <w:rStyle w:val="Fontdeparagrafimplicit1"/>
          <w:i/>
        </w:rPr>
        <w:t>....</w:t>
      </w:r>
      <w:r>
        <w:rPr>
          <w:rStyle w:val="Fontdeparagrafimplicit1"/>
          <w:i/>
        </w:rPr>
        <w:t xml:space="preserve">     </w:t>
      </w:r>
    </w:p>
    <w:p w14:paraId="64C7A9E5" w14:textId="47D90A8E" w:rsidR="00AB1FD0" w:rsidRDefault="002044B4">
      <w:pPr>
        <w:ind w:left="2124" w:firstLine="708"/>
        <w:rPr>
          <w:rStyle w:val="Fontdeparagrafimplicit1"/>
          <w:b/>
          <w:i/>
        </w:rPr>
      </w:pPr>
      <w:r>
        <w:rPr>
          <w:rStyle w:val="Fontdeparagrafimplicit1"/>
          <w:b/>
          <w:i/>
        </w:rPr>
        <w:t xml:space="preserve">GREFIER : </w:t>
      </w:r>
      <w:r w:rsidR="00CA03E8">
        <w:rPr>
          <w:rStyle w:val="Fontdeparagrafimplicit1"/>
          <w:i/>
        </w:rPr>
        <w:t>....</w:t>
      </w:r>
      <w:r>
        <w:rPr>
          <w:rStyle w:val="Fontdeparagrafimplicit1"/>
          <w:b/>
          <w:i/>
        </w:rPr>
        <w:t xml:space="preserve">    </w:t>
      </w:r>
    </w:p>
    <w:p w14:paraId="5ACD9E6A" w14:textId="77777777" w:rsidR="00AB1FD0" w:rsidRDefault="00AB1FD0">
      <w:pPr>
        <w:ind w:left="2124" w:firstLine="708"/>
        <w:rPr>
          <w:rStyle w:val="Fontdeparagrafimplicit1"/>
        </w:rPr>
      </w:pPr>
    </w:p>
    <w:p w14:paraId="1D433BC0" w14:textId="7043E1F7" w:rsidR="00AB1FD0" w:rsidRDefault="002044B4">
      <w:pPr>
        <w:jc w:val="both"/>
      </w:pPr>
      <w:r>
        <w:tab/>
        <w:t xml:space="preserve">Pe rol fiind soluționarea recursului civil declarat de recurentul </w:t>
      </w:r>
      <w:r w:rsidR="00CA03E8">
        <w:rPr>
          <w:rStyle w:val="Fontdeparagrafimplicit1"/>
          <w:b/>
        </w:rPr>
        <w:t>BIM</w:t>
      </w:r>
      <w:r>
        <w:t xml:space="preserve">, CNP </w:t>
      </w:r>
      <w:r w:rsidR="00CA03E8">
        <w:t>....</w:t>
      </w:r>
      <w:r>
        <w:t xml:space="preserve">, cu domiciliul procesual ales în </w:t>
      </w:r>
      <w:r w:rsidR="00CA03E8">
        <w:t>X</w:t>
      </w:r>
      <w:r>
        <w:t xml:space="preserve">, strada </w:t>
      </w:r>
      <w:r w:rsidR="00CA03E8">
        <w:t>....</w:t>
      </w:r>
      <w:r>
        <w:t>, nr.</w:t>
      </w:r>
      <w:r w:rsidR="00CA03E8">
        <w:t>...</w:t>
      </w:r>
      <w:r>
        <w:t>, ap.</w:t>
      </w:r>
      <w:r w:rsidR="00CA03E8">
        <w:t>...</w:t>
      </w:r>
      <w:r>
        <w:t xml:space="preserve">, judeţul </w:t>
      </w:r>
      <w:r w:rsidR="00CA03E8">
        <w:t>Z</w:t>
      </w:r>
      <w:r>
        <w:t xml:space="preserve">, în contradictoriu cu intimata </w:t>
      </w:r>
      <w:r>
        <w:rPr>
          <w:rStyle w:val="Fontdeparagrafimplicit1"/>
          <w:b/>
        </w:rPr>
        <w:t xml:space="preserve">CASA JUDEŢEANĂ DE PENSII </w:t>
      </w:r>
      <w:r w:rsidR="00CA03E8">
        <w:rPr>
          <w:rStyle w:val="Fontdeparagrafimplicit1"/>
          <w:b/>
        </w:rPr>
        <w:t>Z</w:t>
      </w:r>
      <w:r>
        <w:t xml:space="preserve">, cu sediul în </w:t>
      </w:r>
      <w:r w:rsidR="00CA03E8">
        <w:t>X</w:t>
      </w:r>
      <w:r>
        <w:t xml:space="preserve">, strada </w:t>
      </w:r>
      <w:r w:rsidR="00CA03E8">
        <w:t xml:space="preserve">... </w:t>
      </w:r>
      <w:r>
        <w:t>nr.</w:t>
      </w:r>
      <w:r w:rsidR="00CA03E8">
        <w:t>...</w:t>
      </w:r>
      <w:r>
        <w:t xml:space="preserve">, judeţul </w:t>
      </w:r>
      <w:r w:rsidR="00CA03E8">
        <w:t>Z</w:t>
      </w:r>
      <w:r>
        <w:t xml:space="preserve"> împotriva Încheierii din data de </w:t>
      </w:r>
      <w:r w:rsidR="00CA03E8">
        <w:t>....</w:t>
      </w:r>
      <w:r>
        <w:t xml:space="preserve"> 2024, pronunţată de Tribunalul </w:t>
      </w:r>
      <w:r w:rsidR="00CA03E8">
        <w:t>Z</w:t>
      </w:r>
      <w:r>
        <w:t xml:space="preserve"> în dosar nr </w:t>
      </w:r>
      <w:r w:rsidR="00CA03E8">
        <w:t>...</w:t>
      </w:r>
      <w:r>
        <w:t xml:space="preserve">, având ca obiect recalculare pensie.   </w:t>
      </w:r>
    </w:p>
    <w:p w14:paraId="3757F62A" w14:textId="5E87F557" w:rsidR="00AB1FD0" w:rsidRDefault="002044B4">
      <w:pPr>
        <w:jc w:val="both"/>
      </w:pPr>
      <w:r>
        <w:tab/>
        <w:t xml:space="preserve">La apelul nominal făcut în şedinţa publică de azi se prezintă recurentul </w:t>
      </w:r>
      <w:r w:rsidR="00CA03E8">
        <w:t>BIM</w:t>
      </w:r>
      <w:r>
        <w:t xml:space="preserve"> personal, lipsă fiind apelanta Casa Judeţeană de Pensii </w:t>
      </w:r>
      <w:r w:rsidR="00CA03E8">
        <w:t>Z</w:t>
      </w:r>
      <w:r>
        <w:t xml:space="preserve">.          </w:t>
      </w:r>
    </w:p>
    <w:p w14:paraId="448B72B0" w14:textId="77777777" w:rsidR="00AB1FD0" w:rsidRDefault="002044B4">
      <w:pPr>
        <w:jc w:val="both"/>
      </w:pPr>
      <w:r>
        <w:tab/>
        <w:t>Procedura de citare este legal îndeplinită.</w:t>
      </w:r>
    </w:p>
    <w:p w14:paraId="34BBA414" w14:textId="3AF20743" w:rsidR="00AB1FD0" w:rsidRDefault="002044B4">
      <w:pPr>
        <w:jc w:val="both"/>
      </w:pPr>
      <w:r>
        <w:tab/>
        <w:t xml:space="preserve">S-a făcut referatul cauzei învederându-se instanţei că recursul este scutit de plata taxei de timbru, că la data de </w:t>
      </w:r>
      <w:r w:rsidR="00CA03E8">
        <w:t>....</w:t>
      </w:r>
      <w:r>
        <w:t xml:space="preserve"> 2024 recurentul prin avocat a depus la dosar note scrise, precum şi că în cauză s-a solicitat judecarea în lipsă, după care :  </w:t>
      </w:r>
    </w:p>
    <w:p w14:paraId="1D925A73" w14:textId="31DA186E" w:rsidR="00AB1FD0" w:rsidRDefault="002044B4">
      <w:pPr>
        <w:jc w:val="both"/>
      </w:pPr>
      <w:r>
        <w:tab/>
        <w:t xml:space="preserve">Se prezintă recurentul </w:t>
      </w:r>
      <w:r w:rsidR="00CA03E8">
        <w:t>BIM</w:t>
      </w:r>
      <w:r>
        <w:t xml:space="preserve"> personal, care solicită admiterea recursului astfel cum a fost formulat, casarea încheierii atacate şi trimiterea dosarului la Tribunalul </w:t>
      </w:r>
      <w:r w:rsidR="00CA03E8">
        <w:t>Z</w:t>
      </w:r>
      <w:r>
        <w:t xml:space="preserve"> pentru continuarea judecăţii, fără cheltuieli de judecată.   </w:t>
      </w:r>
    </w:p>
    <w:p w14:paraId="12A4B6B0" w14:textId="77777777" w:rsidR="00AB1FD0" w:rsidRDefault="002044B4">
      <w:pPr>
        <w:jc w:val="both"/>
      </w:pPr>
      <w:r>
        <w:t xml:space="preserve">              </w:t>
      </w:r>
    </w:p>
    <w:p w14:paraId="5401274C" w14:textId="77777777" w:rsidR="00AB1FD0" w:rsidRDefault="002044B4">
      <w:pPr>
        <w:jc w:val="center"/>
        <w:rPr>
          <w:rStyle w:val="Fontdeparagrafimplicit1"/>
          <w:b/>
          <w:i/>
        </w:rPr>
      </w:pPr>
      <w:r>
        <w:rPr>
          <w:rStyle w:val="Fontdeparagrafimplicit1"/>
          <w:b/>
          <w:i/>
        </w:rPr>
        <w:t>CURTEA DE APEL</w:t>
      </w:r>
    </w:p>
    <w:p w14:paraId="4B4D72A3" w14:textId="77777777" w:rsidR="00AB1FD0" w:rsidRDefault="002044B4">
      <w:pPr>
        <w:jc w:val="center"/>
        <w:rPr>
          <w:rStyle w:val="Fontdeparagrafimplicit1"/>
          <w:b/>
          <w:i/>
        </w:rPr>
      </w:pPr>
      <w:r>
        <w:rPr>
          <w:rStyle w:val="Fontdeparagrafimplicit1"/>
          <w:b/>
          <w:i/>
        </w:rPr>
        <w:t xml:space="preserve">D E L I B E R Â N D : </w:t>
      </w:r>
    </w:p>
    <w:p w14:paraId="7533C3DC" w14:textId="77777777" w:rsidR="00AB1FD0" w:rsidRDefault="00AB1FD0">
      <w:pPr>
        <w:jc w:val="center"/>
        <w:rPr>
          <w:rStyle w:val="Fontdeparagrafimplicit1"/>
          <w:b/>
          <w:i/>
        </w:rPr>
      </w:pPr>
    </w:p>
    <w:p w14:paraId="5DEDB74C" w14:textId="77777777" w:rsidR="00AB1FD0" w:rsidRDefault="002044B4">
      <w:pPr>
        <w:jc w:val="both"/>
      </w:pPr>
      <w:r>
        <w:tab/>
        <w:t xml:space="preserve">Asupra recursului civil de faţă, constată următoarele : </w:t>
      </w:r>
    </w:p>
    <w:p w14:paraId="039DB980" w14:textId="3CDB672C" w:rsidR="00AB1FD0" w:rsidRDefault="002044B4">
      <w:pPr>
        <w:jc w:val="both"/>
      </w:pPr>
      <w:r>
        <w:tab/>
      </w:r>
      <w:r>
        <w:rPr>
          <w:rStyle w:val="Fontdeparagrafimplicit1"/>
          <w:b/>
        </w:rPr>
        <w:t xml:space="preserve">Prin Încheierea din </w:t>
      </w:r>
      <w:r w:rsidR="00CA03E8">
        <w:rPr>
          <w:rStyle w:val="Fontdeparagrafimplicit1"/>
          <w:b/>
        </w:rPr>
        <w:t>....</w:t>
      </w:r>
      <w:r>
        <w:rPr>
          <w:rStyle w:val="Fontdeparagrafimplicit1"/>
          <w:b/>
        </w:rPr>
        <w:t xml:space="preserve"> 2024 pronunţată de Tribunalul </w:t>
      </w:r>
      <w:r w:rsidR="00CA03E8">
        <w:rPr>
          <w:rStyle w:val="Fontdeparagrafimplicit1"/>
          <w:b/>
        </w:rPr>
        <w:t>Z</w:t>
      </w:r>
      <w:r>
        <w:t xml:space="preserve">, în temeiul art.2 alin.3 din OUG nr.62/2024 s-a dispus suspendarea judecării cauzei privind pe contestatorul </w:t>
      </w:r>
      <w:r w:rsidR="00CA03E8">
        <w:t>BIM</w:t>
      </w:r>
      <w:r>
        <w:t xml:space="preserve"> în contradictoriu cu intimata Casa Judeţeană de Pensii </w:t>
      </w:r>
      <w:r w:rsidR="00CA03E8">
        <w:t>Z</w:t>
      </w:r>
      <w:r>
        <w:t xml:space="preserve"> având ca obiect recalculare pensie, până la soluţionarea cauzei ce face obiectul dosarului nr.</w:t>
      </w:r>
      <w:r w:rsidR="00CA03E8">
        <w:t>...</w:t>
      </w:r>
      <w:r>
        <w:t xml:space="preserve"> aflat pe rolul Înaltei Curţi de Casaţie şi Justiţie – Completul pentru dezlegarea unor chestiuni de drept şi s-a dispus trimiterea dosarului spre păstrare la arhiva instanţei până la intervenţia părţii interesate. </w:t>
      </w:r>
    </w:p>
    <w:p w14:paraId="54E223A3" w14:textId="71B5CC49" w:rsidR="00AB1FD0" w:rsidRDefault="002044B4">
      <w:pPr>
        <w:ind w:firstLine="708"/>
        <w:jc w:val="both"/>
      </w:pPr>
      <w:r>
        <w:rPr>
          <w:rStyle w:val="Fontdeparagrafimplicit1"/>
          <w:color w:val="000000"/>
        </w:rPr>
        <w:t>Pentru a pronunţa în acest mod, tribunalul a reţinut că î</w:t>
      </w:r>
      <w:r>
        <w:t>n dosarul nr.</w:t>
      </w:r>
      <w:r w:rsidR="00CA03E8">
        <w:t>...</w:t>
      </w:r>
      <w:r>
        <w:t xml:space="preserve">, Înalta Curte de Casaţie şi Justiţie a fost sesizată în condiţiile Ordonanţei de Urgenţă nr.62/2024 cu o solicitare de interpretare a prevederilor ce constituie temeiul de drept al acţiunii de faţă. </w:t>
      </w:r>
    </w:p>
    <w:p w14:paraId="027E10A4" w14:textId="77777777" w:rsidR="00AB1FD0" w:rsidRDefault="002044B4">
      <w:pPr>
        <w:ind w:firstLine="708"/>
        <w:jc w:val="both"/>
      </w:pPr>
      <w:r>
        <w:t>Potrivit art.2 alin.3 din OUG nr.62/2024, cauzele similare, aflate pe rolul instanţelor judecătoreşti, vor fi suspendate până la pronunţarea hotărârii prealabile pentru dezlegarea chestiunii de drept.</w:t>
      </w:r>
    </w:p>
    <w:p w14:paraId="395110B0" w14:textId="5E492AA2" w:rsidR="00AB1FD0" w:rsidRDefault="002044B4">
      <w:pPr>
        <w:ind w:firstLine="708"/>
        <w:jc w:val="both"/>
      </w:pPr>
      <w:r>
        <w:t xml:space="preserve">Având în vedere cele expuse anterior şi raportat la faptul că modul de soluţionare a litigiului de faţă depinde în mod hotărâtor de soluţia ce se va pronunţa în dosarul nr. </w:t>
      </w:r>
      <w:r w:rsidR="00CA03E8">
        <w:t>...</w:t>
      </w:r>
      <w:r>
        <w:t xml:space="preserve">, instanţa, după deliberare, în temeiul art. 2 alin. 3 din OUG nr. 62/2024, a dispus suspendarea judecării cauzei până la soluţionarea cauzei ce face obiectul dosarului nr. </w:t>
      </w:r>
      <w:r w:rsidR="00CA03E8">
        <w:t>...</w:t>
      </w:r>
      <w:r>
        <w:t xml:space="preserve"> aflat pe rolul Înaltei Curţi de Casaţie şi Justiţie - Completul pentru dezlegarea unor chestiuni de drept.</w:t>
      </w:r>
    </w:p>
    <w:p w14:paraId="75F9F0C0" w14:textId="6F6DF063" w:rsidR="00AB1FD0" w:rsidRDefault="002044B4">
      <w:pPr>
        <w:ind w:right="-284" w:firstLine="708"/>
        <w:jc w:val="both"/>
        <w:rPr>
          <w:rStyle w:val="Fontdeparagrafimplicit1"/>
          <w:color w:val="000000"/>
        </w:rPr>
      </w:pPr>
      <w:r>
        <w:rPr>
          <w:rStyle w:val="Fontdeparagrafimplicit1"/>
          <w:b/>
          <w:color w:val="000000"/>
        </w:rPr>
        <w:lastRenderedPageBreak/>
        <w:t xml:space="preserve">Împotriva acestei încheieri a declarat recurs recurentul </w:t>
      </w:r>
      <w:r w:rsidR="00CA03E8">
        <w:rPr>
          <w:rStyle w:val="Fontdeparagrafimplicit1"/>
          <w:b/>
          <w:color w:val="000000"/>
        </w:rPr>
        <w:t>BIM</w:t>
      </w:r>
      <w:r>
        <w:rPr>
          <w:rStyle w:val="Fontdeparagrafimplicit1"/>
          <w:color w:val="000000"/>
        </w:rPr>
        <w:t xml:space="preserve"> solicitând admiterea recursului, casarea în tot a încheierii recurate, aceasta fiind nelegală şi nefondată şi pronunţarea unei hotărâri prin care să se dispună trimiterea cauzei la instanţa de fond în vederea repunerii pe rol şi stabilirea unui nou termen de judecată pentru continuarea judecăţii. </w:t>
      </w:r>
    </w:p>
    <w:p w14:paraId="1095EB2A" w14:textId="1A2D0A36" w:rsidR="00AB1FD0" w:rsidRDefault="002044B4">
      <w:pPr>
        <w:widowControl w:val="0"/>
        <w:ind w:firstLine="740"/>
        <w:jc w:val="both"/>
      </w:pPr>
      <w:r>
        <w:t>În motivarea recursului recurentul a arătat în esenţă că în fapt,</w:t>
      </w:r>
      <w:r>
        <w:rPr>
          <w:rStyle w:val="Fontdeparagrafimplicit1"/>
          <w:b/>
        </w:rPr>
        <w:t xml:space="preserve"> </w:t>
      </w:r>
      <w:r>
        <w:t xml:space="preserve">prin încheierea de suspendare din data de </w:t>
      </w:r>
      <w:r w:rsidR="008B63CA">
        <w:t>...</w:t>
      </w:r>
      <w:r>
        <w:t xml:space="preserve">.09.2024, pronunțată de Tribunalul </w:t>
      </w:r>
      <w:r w:rsidR="00CA03E8">
        <w:t>Z</w:t>
      </w:r>
      <w:r>
        <w:t xml:space="preserve"> în dosar nr. </w:t>
      </w:r>
      <w:r w:rsidR="00CA03E8">
        <w:t>...</w:t>
      </w:r>
      <w:r>
        <w:t xml:space="preserve">, s-a dispus, în temeiul art. 2 alin. 3 din OUG nr. 62/2024, suspendarea judecării cauzei până la soluționarea dosarului nr. </w:t>
      </w:r>
      <w:r w:rsidR="00CA03E8">
        <w:t>...</w:t>
      </w:r>
      <w:r>
        <w:t xml:space="preserve"> aflat pe rolul înaltei Curți de Casație și Justiție - Completul pentru dezlegarea unor chestiuni de drept.</w:t>
      </w:r>
    </w:p>
    <w:p w14:paraId="626B7602" w14:textId="5E748A3B" w:rsidR="00AB1FD0" w:rsidRDefault="002044B4">
      <w:pPr>
        <w:widowControl w:val="0"/>
        <w:ind w:firstLine="740"/>
        <w:jc w:val="both"/>
      </w:pPr>
      <w:r>
        <w:t xml:space="preserve">A apreciat recurentul că încheierea din data de </w:t>
      </w:r>
      <w:r w:rsidR="00CA03E8">
        <w:t xml:space="preserve">... </w:t>
      </w:r>
      <w:r>
        <w:t>2024 a fost pronunțată în mod neîntemeiat, având în vedere următoarele aspecte:</w:t>
      </w:r>
    </w:p>
    <w:p w14:paraId="4F9B1D11" w14:textId="11FC545A" w:rsidR="00AB1FD0" w:rsidRDefault="002044B4">
      <w:pPr>
        <w:pStyle w:val="Corptext1"/>
        <w:spacing w:after="0" w:line="240" w:lineRule="auto"/>
        <w:ind w:firstLine="708"/>
        <w:jc w:val="both"/>
        <w:rPr>
          <w:rStyle w:val="Fontdeparagrafimplicit1"/>
          <w:sz w:val="24"/>
        </w:rPr>
      </w:pPr>
      <w:r>
        <w:rPr>
          <w:rStyle w:val="Fontdeparagrafimplicit1"/>
          <w:color w:val="000000"/>
          <w:sz w:val="24"/>
        </w:rPr>
        <w:t xml:space="preserve">Prima instanță a dispus suspendarea cauzei până la soluționarea dosarului nr. </w:t>
      </w:r>
      <w:r w:rsidR="00CA03E8">
        <w:rPr>
          <w:rStyle w:val="Fontdeparagrafimplicit1"/>
          <w:color w:val="000000"/>
          <w:sz w:val="24"/>
        </w:rPr>
        <w:t>...</w:t>
      </w:r>
      <w:r>
        <w:rPr>
          <w:rStyle w:val="Fontdeparagrafimplicit1"/>
          <w:color w:val="000000"/>
          <w:sz w:val="24"/>
        </w:rPr>
        <w:t xml:space="preserve"> aflat pe rolul înaltei Curți de Casație și Justiție - Completul pentru </w:t>
      </w:r>
      <w:r>
        <w:rPr>
          <w:rStyle w:val="CorptextCaracter"/>
          <w:sz w:val="24"/>
        </w:rPr>
        <w:t xml:space="preserve">dezlegarea unor chestiuni de drept, care urmează să se pronunțe o hotărâre prealabilă, urmare a sesizării Curții de Apel </w:t>
      </w:r>
      <w:r w:rsidR="00CA03E8">
        <w:rPr>
          <w:rStyle w:val="CorptextCaracter"/>
          <w:sz w:val="24"/>
        </w:rPr>
        <w:t>P</w:t>
      </w:r>
      <w:r>
        <w:rPr>
          <w:rStyle w:val="CorptextCaracter"/>
          <w:sz w:val="24"/>
        </w:rPr>
        <w:t>, cu privire la următoarea chestiune de drept :</w:t>
      </w:r>
    </w:p>
    <w:p w14:paraId="0CB6F610" w14:textId="77777777" w:rsidR="00AB1FD0" w:rsidRDefault="002044B4">
      <w:pPr>
        <w:pStyle w:val="Corptext1"/>
        <w:numPr>
          <w:ilvl w:val="0"/>
          <w:numId w:val="1"/>
        </w:numPr>
        <w:tabs>
          <w:tab w:val="left" w:pos="1042"/>
        </w:tabs>
        <w:spacing w:after="0" w:line="240" w:lineRule="auto"/>
        <w:ind w:firstLine="780"/>
        <w:jc w:val="both"/>
        <w:rPr>
          <w:rStyle w:val="Fontdeparagrafimplicit1"/>
          <w:sz w:val="24"/>
        </w:rPr>
      </w:pPr>
      <w:r>
        <w:rPr>
          <w:rStyle w:val="CorptextCaracter"/>
          <w:sz w:val="24"/>
        </w:rPr>
        <w:t>Recalcularea drepturilor de pensie, potrivit art. II din Legea nr. 351/2022, permite acordarea tuturor beneficiilor prevăzute de Legea nr. 263/2010 pentru stagiul realizat în condiții speciale sau este limitată la beneficiul prevăzut de art. 56 alin. 3 lit. d) din Legea nr. 263/2010?</w:t>
      </w:r>
    </w:p>
    <w:p w14:paraId="620A71F7" w14:textId="77777777" w:rsidR="00AB1FD0" w:rsidRDefault="002044B4">
      <w:pPr>
        <w:pStyle w:val="Corptext1"/>
        <w:numPr>
          <w:ilvl w:val="0"/>
          <w:numId w:val="1"/>
        </w:numPr>
        <w:tabs>
          <w:tab w:val="left" w:pos="1033"/>
        </w:tabs>
        <w:spacing w:after="0" w:line="240" w:lineRule="auto"/>
        <w:ind w:firstLine="780"/>
        <w:jc w:val="both"/>
        <w:rPr>
          <w:rStyle w:val="Fontdeparagrafimplicit1"/>
          <w:sz w:val="24"/>
        </w:rPr>
      </w:pPr>
      <w:r>
        <w:rPr>
          <w:rStyle w:val="CorptextCaracter"/>
          <w:sz w:val="24"/>
        </w:rPr>
        <w:t>Introducerea art. 30 alin. 1 lit. i) din Legea nr. 263/2010 deschide posibilitatea recalculării drepturilor de pensie deschise anterior intrării în vigoare a Legii nr. 197/2021, în absența unei norme în acest sens, de genul celei prevăzute în Legea nr. 74/2022, prin aplicarea art. 107 alin. 3 din Legea nr. 263/2010?</w:t>
      </w:r>
    </w:p>
    <w:p w14:paraId="45C30CBD" w14:textId="6F516ACE" w:rsidR="00AB1FD0" w:rsidRDefault="002044B4">
      <w:pPr>
        <w:pStyle w:val="Corptext1"/>
        <w:spacing w:after="0" w:line="240" w:lineRule="auto"/>
        <w:ind w:firstLine="780"/>
        <w:jc w:val="both"/>
        <w:rPr>
          <w:rStyle w:val="Fontdeparagrafimplicit1"/>
          <w:sz w:val="24"/>
        </w:rPr>
      </w:pPr>
      <w:r>
        <w:rPr>
          <w:rStyle w:val="CorptextCaracter"/>
          <w:sz w:val="24"/>
        </w:rPr>
        <w:t xml:space="preserve">Având în vedere chestiunile de drept cu care a fost sesizată Înalta Curte de Casație și Justiție de către Curtea de Apel </w:t>
      </w:r>
      <w:r w:rsidR="00CA03E8">
        <w:rPr>
          <w:rStyle w:val="CorptextCaracter"/>
          <w:sz w:val="24"/>
        </w:rPr>
        <w:t>P</w:t>
      </w:r>
      <w:r>
        <w:rPr>
          <w:rStyle w:val="CorptextCaracter"/>
          <w:sz w:val="24"/>
        </w:rPr>
        <w:t xml:space="preserve">, respectiv posibilitatea recalculării drepturilor de pensie deschise </w:t>
      </w:r>
      <w:r>
        <w:rPr>
          <w:rStyle w:val="CorptextCaracter"/>
          <w:b/>
          <w:sz w:val="24"/>
          <w:u w:val="single"/>
        </w:rPr>
        <w:t>anterior</w:t>
      </w:r>
      <w:r>
        <w:rPr>
          <w:rStyle w:val="CorptextCaracter"/>
          <w:b/>
          <w:sz w:val="24"/>
        </w:rPr>
        <w:t xml:space="preserve"> </w:t>
      </w:r>
      <w:r>
        <w:rPr>
          <w:rStyle w:val="CorptextCaracter"/>
          <w:sz w:val="24"/>
        </w:rPr>
        <w:t xml:space="preserve">intrării în vigoare a Legii nr. 197/2021, a considerat că acestea nu vizează cauza pendinte, drepturile de pensie ale subsemnatului fiind deschise </w:t>
      </w:r>
      <w:r>
        <w:rPr>
          <w:rStyle w:val="CorptextCaracter"/>
          <w:b/>
          <w:sz w:val="24"/>
          <w:u w:val="single"/>
        </w:rPr>
        <w:t>ulterior</w:t>
      </w:r>
      <w:r>
        <w:rPr>
          <w:rStyle w:val="CorptextCaracter"/>
          <w:b/>
          <w:sz w:val="24"/>
        </w:rPr>
        <w:t xml:space="preserve"> </w:t>
      </w:r>
      <w:r>
        <w:rPr>
          <w:rStyle w:val="CorptextCaracter"/>
          <w:sz w:val="24"/>
        </w:rPr>
        <w:t>intrării în vigoare a Legii nr. 197/2021.</w:t>
      </w:r>
    </w:p>
    <w:p w14:paraId="66CC79BC" w14:textId="77777777" w:rsidR="00AB1FD0" w:rsidRDefault="002044B4">
      <w:pPr>
        <w:pStyle w:val="Corptext1"/>
        <w:spacing w:after="0" w:line="240" w:lineRule="auto"/>
        <w:ind w:firstLine="780"/>
        <w:jc w:val="both"/>
        <w:rPr>
          <w:rStyle w:val="Fontdeparagrafimplicit1"/>
          <w:sz w:val="24"/>
        </w:rPr>
      </w:pPr>
      <w:r>
        <w:rPr>
          <w:rStyle w:val="CorptextCaracter"/>
          <w:sz w:val="24"/>
        </w:rPr>
        <w:t>Mai mult, a apreciat recurentul că Înalta Curte de Casație și Justiție a lămurit situația aplicabilă în cauză, prin pronunțarea Deciziei nr.28/03.06.2024 care stabilește, în interpretarea dispozițiilor art. 30 alin. (4.4) din Legea nr. 263/2010, asimilarea perioadei anterioare datei de 01.04.2001, în care salariații au desfășurat activități dintre cele prevăzute de art. 30 alin. (1) lit. i) din aceeași lege, în locurile de muncă încadrate în grupa a II-a de muncă, unui stagiu de cotizare în condiții speciale de muncă, produce efecte și sub aspectul majorării punctajelor lunare cu 50%, conform art. 100 lit. b) din Legea nr. 263/2010, iar nu doar cu privire la determinarea stagiului de cotizare, potrivit art. 56 alin. (1) lit. d) și la reducerea vârstei de pensionare, potrivit art. 56.2 din Legea nr. 263/2010.</w:t>
      </w:r>
    </w:p>
    <w:p w14:paraId="4D6721A6" w14:textId="77777777" w:rsidR="00AB1FD0" w:rsidRDefault="002044B4">
      <w:pPr>
        <w:pStyle w:val="Corptext1"/>
        <w:spacing w:after="0" w:line="240" w:lineRule="auto"/>
        <w:ind w:firstLine="780"/>
        <w:jc w:val="both"/>
        <w:rPr>
          <w:rStyle w:val="Fontdeparagrafimplicit1"/>
          <w:sz w:val="24"/>
        </w:rPr>
      </w:pPr>
      <w:r>
        <w:rPr>
          <w:rStyle w:val="CorptextCaracter"/>
          <w:sz w:val="24"/>
        </w:rPr>
        <w:t>Având în vedere cele arătate mai sus, a susţinut că suspendarea procesului se datorează aplicării în mod greșit a normelor de drept material de către prima instanță, fiind incident motivul de casare prevăzut de art. 488 alin, (l)pct. 8 Cod procedură civilă, impunându-se pronunțarea unei hotărâri de admitere a recursului, astfel cum acesta a fost formulat.</w:t>
      </w:r>
    </w:p>
    <w:p w14:paraId="0882BCEB" w14:textId="0060827F" w:rsidR="00AB1FD0" w:rsidRDefault="00C5101C">
      <w:pPr>
        <w:pStyle w:val="Corptext1"/>
        <w:spacing w:after="0" w:line="240" w:lineRule="auto"/>
        <w:ind w:firstLine="740"/>
        <w:rPr>
          <w:rStyle w:val="CorptextCaracter"/>
          <w:sz w:val="24"/>
        </w:rPr>
      </w:pPr>
      <w:r>
        <w:rPr>
          <w:noProof/>
        </w:rPr>
        <w:pict w14:anchorId="644233CC">
          <v:rect id="Text Box 1" o:spid="_x0000_s1026" style="position:absolute;left:0;text-align:left;margin-left:505.4pt;margin-top:81.25pt;width:19.2pt;height:10.1pt;z-index:251658240;visibility:visible;mso-wrap-style:square;mso-wrap-distance-left:9pt;mso-wrap-distance-top:0;mso-wrap-distance-right:9pt;mso-wrap-distance-bottom:0;mso-position-horizontal-relative:page;v-text-anchor:top" o:allowoverlap="f" filled="f" stroked="f">
            <v:textbox inset="0,0,0,0">
              <w:txbxContent>
                <w:p w14:paraId="235024FF" w14:textId="77777777" w:rsidR="00AB1FD0" w:rsidRDefault="00AB1FD0">
                  <w:pPr>
                    <w:pStyle w:val="Picturecaption"/>
                    <w:jc w:val="right"/>
                    <w:rPr>
                      <w:rStyle w:val="Fontdeparagrafimplicit1"/>
                      <w:sz w:val="16"/>
                    </w:rPr>
                  </w:pPr>
                </w:p>
              </w:txbxContent>
            </v:textbox>
            <w10:wrap anchorx="page"/>
          </v:rect>
        </w:pict>
      </w:r>
      <w:r w:rsidR="002044B4">
        <w:rPr>
          <w:rStyle w:val="CorptextCaracter"/>
          <w:sz w:val="24"/>
        </w:rPr>
        <w:t>În drept a invocat</w:t>
      </w:r>
      <w:r w:rsidR="002044B4">
        <w:rPr>
          <w:rStyle w:val="CorptextCaracter"/>
          <w:b/>
          <w:sz w:val="24"/>
        </w:rPr>
        <w:t xml:space="preserve"> </w:t>
      </w:r>
      <w:r w:rsidR="002044B4">
        <w:rPr>
          <w:rStyle w:val="CorptextCaracter"/>
          <w:sz w:val="24"/>
        </w:rPr>
        <w:t xml:space="preserve">art. 414 și art. 488 alin. (1) pct. 8 Cod procedură civilă. </w:t>
      </w:r>
    </w:p>
    <w:p w14:paraId="1A962E28" w14:textId="77777777" w:rsidR="00AB1FD0" w:rsidRDefault="002044B4">
      <w:pPr>
        <w:pStyle w:val="Corptext1"/>
        <w:spacing w:after="0" w:line="240" w:lineRule="auto"/>
        <w:ind w:firstLine="740"/>
        <w:rPr>
          <w:rStyle w:val="Fontdeparagrafimplicit1"/>
          <w:sz w:val="24"/>
        </w:rPr>
      </w:pPr>
      <w:r>
        <w:rPr>
          <w:rStyle w:val="CorptextCaracter"/>
          <w:b/>
          <w:sz w:val="24"/>
        </w:rPr>
        <w:t>E</w:t>
      </w:r>
      <w:r>
        <w:rPr>
          <w:rStyle w:val="Fontdeparagrafimplicit1"/>
          <w:b/>
          <w:sz w:val="24"/>
        </w:rPr>
        <w:t>xaminând încheierea recurată, prin prisma motivelor de recurs cât şi din oficiu, Curtea reţine următoarele:</w:t>
      </w:r>
    </w:p>
    <w:p w14:paraId="0E758382" w14:textId="328E43F8" w:rsidR="00AB1FD0" w:rsidRDefault="002044B4">
      <w:pPr>
        <w:ind w:firstLine="567"/>
        <w:jc w:val="both"/>
      </w:pPr>
      <w:r>
        <w:rPr>
          <w:rStyle w:val="Fontdeparagrafimplicit1"/>
          <w:b/>
        </w:rPr>
        <w:tab/>
      </w:r>
      <w:r>
        <w:t xml:space="preserve">Obiectul cererii de chemare în judecata este anularea deciziei nr. </w:t>
      </w:r>
      <w:r w:rsidR="00CA03E8">
        <w:t>....</w:t>
      </w:r>
      <w:r>
        <w:t>/</w:t>
      </w:r>
      <w:r w:rsidR="007C3C72">
        <w:t>...</w:t>
      </w:r>
      <w:r>
        <w:t xml:space="preserve">.01.2024 întrucât pârâta nu a valorificat sumele achitate cu titlu de „ sâmbătă, duminică şi sărbători legale” menționate în Adeverința nr. </w:t>
      </w:r>
      <w:r w:rsidR="007C3C72">
        <w:t>...</w:t>
      </w:r>
      <w:r>
        <w:t xml:space="preserve">/09.02.2017 şi respectiv s-a calculat greșit pensia prin raportare la prevederile art. 100 din Legea nr. 263/2010, adică nu s-a acordat majorarea de 50% a punctajelor realizate în perioada asimilată în condiții speciale. </w:t>
      </w:r>
    </w:p>
    <w:p w14:paraId="4D42D6EF" w14:textId="500B7FFC" w:rsidR="00AB1FD0" w:rsidRDefault="002044B4">
      <w:pPr>
        <w:ind w:firstLine="567"/>
        <w:jc w:val="both"/>
      </w:pPr>
      <w:r>
        <w:tab/>
        <w:t xml:space="preserve">Instanța de fond a constatat incidența în cauză a dispozițiilor art. 2 alin. 3 din OUG nr. 62/2024 şi a dispus suspendarea judecării cauzei până la soluționarea dosarului nr. </w:t>
      </w:r>
      <w:r w:rsidR="00CA03E8">
        <w:t>...</w:t>
      </w:r>
      <w:r>
        <w:t xml:space="preserve"> al ICCJ. </w:t>
      </w:r>
    </w:p>
    <w:p w14:paraId="183C7E52" w14:textId="18CCAE2A" w:rsidR="00AB1FD0" w:rsidRDefault="002044B4">
      <w:pPr>
        <w:ind w:firstLine="567"/>
        <w:jc w:val="both"/>
      </w:pPr>
      <w:r>
        <w:t xml:space="preserve"> </w:t>
      </w:r>
      <w:r>
        <w:tab/>
        <w:t xml:space="preserve">Curtea reține că, la data de 25.11.2024 ICCJ s-a pronunțat în dosar nr. </w:t>
      </w:r>
      <w:r w:rsidR="00CA03E8">
        <w:t>...</w:t>
      </w:r>
      <w:r>
        <w:t xml:space="preserve"> şi prin Decizia nr. 89 a dispus că în interpretarea şi aplicarea unitara a dispozițiilor art. 30 alin. 1 din Legea </w:t>
      </w:r>
      <w:r>
        <w:lastRenderedPageBreak/>
        <w:t xml:space="preserve">263/2010, stabilește că drepturile de pensie </w:t>
      </w:r>
      <w:r>
        <w:rPr>
          <w:rStyle w:val="Fontdeparagrafimplicit1"/>
          <w:b/>
        </w:rPr>
        <w:t xml:space="preserve">deschise anterior intrării în vigoare a Legii nr. 197/2021 </w:t>
      </w:r>
      <w:r>
        <w:t>pot fi recalculate în condițiile art. 107 alin. 3 din Legea nr. 263/2010 cu acordarea tuturor beneficiilor specifice valorificării unui stagiu realizat în condiții speciale, cele referitoare la determinarea stagiului de cotizare potrivit art. 56 alin. 1 lit. d şi la majorarea punctajelor lunare, conform art. 100 alin. 1 lit. b din Legea nr. 263/2010.</w:t>
      </w:r>
    </w:p>
    <w:p w14:paraId="63C6CE0D" w14:textId="77777777" w:rsidR="00AB1FD0" w:rsidRDefault="002044B4">
      <w:pPr>
        <w:ind w:firstLine="567"/>
        <w:jc w:val="both"/>
      </w:pPr>
      <w:r>
        <w:tab/>
        <w:t xml:space="preserve">În temeiul art. 521 alin. 3 din Codul de procedură civilă, aceasta decizie este obligatorie. </w:t>
      </w:r>
    </w:p>
    <w:p w14:paraId="5CDBC6C0" w14:textId="0A487CDB" w:rsidR="00AB1FD0" w:rsidRDefault="002044B4">
      <w:pPr>
        <w:ind w:firstLine="567"/>
        <w:jc w:val="both"/>
      </w:pPr>
      <w:r>
        <w:rPr>
          <w:rStyle w:val="Fontdeparagrafimplicit1"/>
          <w:b/>
        </w:rPr>
        <w:tab/>
      </w:r>
      <w:r>
        <w:t xml:space="preserve">În speţa pendinte, drepturile de pensie ale reclamantului – contestator s-au deschis ulterior intrării în vigoare a Legii nr. 197/2021, prin decizia nr. </w:t>
      </w:r>
      <w:r w:rsidR="00CA03E8">
        <w:t>....</w:t>
      </w:r>
      <w:r>
        <w:t>/</w:t>
      </w:r>
      <w:r w:rsidR="00674A0C">
        <w:t>....</w:t>
      </w:r>
      <w:r>
        <w:t xml:space="preserve">.01.2024. </w:t>
      </w:r>
    </w:p>
    <w:p w14:paraId="7664A184" w14:textId="77777777" w:rsidR="00AB1FD0" w:rsidRDefault="002044B4">
      <w:pPr>
        <w:ind w:firstLine="567"/>
        <w:jc w:val="both"/>
      </w:pPr>
      <w:r>
        <w:rPr>
          <w:rStyle w:val="Fontdeparagrafimplicit1"/>
          <w:b/>
        </w:rPr>
        <w:tab/>
      </w:r>
      <w:r>
        <w:t>Prin Decizia nr. 28/03.06.2024 ICCJ a dispus că în  interpretarea dispozițiilor art. 30 alin. (4^4) din Legea nr. 263/2010 privind sistemul unitar de pensii publice, cu modificările și completările ulterioare, asimilarea perioadei anterioare datei de 1 aprilie 2001, în care salariații au desfășurat activități dintre cele prevăzute de art. 30 alin. (1) lit. i) din aceeași lege, în locurile de muncă încadrate în grupa a II-a de muncă, unui stagiu de cotizare în condiții speciale de muncă, produce efecte și sub aspectul majorării punctajelor lunare cu 50%, conform art. 100 lit. b) din Legea nr. 263/2010, iar nu doar cu privire la determinarea stagiului de cotizare, potrivit art. 56 alin. (1) lit. d), și la reducerea vârstei de pensionare, potrivit art. 56^2 din Legea nr. 263/2010.</w:t>
      </w:r>
    </w:p>
    <w:p w14:paraId="0D954921" w14:textId="77777777" w:rsidR="00AB1FD0" w:rsidRDefault="002044B4">
      <w:pPr>
        <w:ind w:firstLine="708"/>
        <w:jc w:val="both"/>
      </w:pPr>
      <w:r>
        <w:t>De asemenea, această decizie este obligatorie, potrivit dispozițiilor art. 521 alin. (3) din Codul de procedură civilă.</w:t>
      </w:r>
    </w:p>
    <w:p w14:paraId="33233A5A" w14:textId="77777777" w:rsidR="00AB1FD0" w:rsidRDefault="002044B4">
      <w:pPr>
        <w:ind w:firstLine="567"/>
        <w:jc w:val="both"/>
      </w:pPr>
      <w:r>
        <w:rPr>
          <w:rStyle w:val="Fontdeparagrafimplicit1"/>
          <w:b/>
        </w:rPr>
        <w:tab/>
      </w:r>
      <w:r>
        <w:t>Astfel, Curtea constata că este incidentă în cauza decizia precitata, suspendarea cauzei nefiind necesară în speţă.</w:t>
      </w:r>
    </w:p>
    <w:p w14:paraId="69824D7C" w14:textId="4B1BDA3D" w:rsidR="00AB1FD0" w:rsidRDefault="002044B4">
      <w:pPr>
        <w:ind w:firstLine="708"/>
        <w:jc w:val="both"/>
      </w:pPr>
      <w:r>
        <w:t xml:space="preserve">Pentru toate aceste considerente, în temeiul art. 496 rap. la art. 498 alin. 2 şi art. 488 pct. 5 Cod procedura civilă va admite ca fondat recursul civil formulat împotriva Încheierii din data de </w:t>
      </w:r>
      <w:r w:rsidR="00CA03E8">
        <w:t>....</w:t>
      </w:r>
      <w:r>
        <w:t xml:space="preserve"> 2024, pronunţată de Tribunalul </w:t>
      </w:r>
      <w:r w:rsidR="00CA03E8">
        <w:t>Z</w:t>
      </w:r>
      <w:r>
        <w:t xml:space="preserve"> pe care o va casa în tot şi va trimite cauza tribunalului  în vederea continuării judecății.  </w:t>
      </w:r>
    </w:p>
    <w:p w14:paraId="46E37021" w14:textId="77777777" w:rsidR="00AB1FD0" w:rsidRDefault="00AB1FD0">
      <w:pPr>
        <w:jc w:val="both"/>
        <w:rPr>
          <w:rStyle w:val="Fontdeparagrafimplicit1"/>
          <w:color w:val="000000"/>
        </w:rPr>
      </w:pPr>
    </w:p>
    <w:p w14:paraId="1E5172EA" w14:textId="77777777" w:rsidR="00AB1FD0" w:rsidRDefault="002044B4">
      <w:pPr>
        <w:ind w:right="-1"/>
        <w:jc w:val="center"/>
        <w:rPr>
          <w:rStyle w:val="Fontdeparagrafimplicit1"/>
        </w:rPr>
      </w:pPr>
      <w:r>
        <w:rPr>
          <w:rStyle w:val="Fontdeparagrafimplicit1"/>
          <w:b/>
        </w:rPr>
        <w:t>PENTRU ACESTE MOTIVE</w:t>
      </w:r>
    </w:p>
    <w:p w14:paraId="35B23514" w14:textId="77777777" w:rsidR="00AB1FD0" w:rsidRDefault="002044B4">
      <w:pPr>
        <w:ind w:right="-1"/>
        <w:jc w:val="center"/>
        <w:rPr>
          <w:rStyle w:val="Fontdeparagrafimplicit1"/>
          <w:b/>
        </w:rPr>
      </w:pPr>
      <w:r>
        <w:rPr>
          <w:rStyle w:val="Fontdeparagrafimplicit1"/>
          <w:b/>
        </w:rPr>
        <w:t>ÎN NUMELE LEGII</w:t>
      </w:r>
    </w:p>
    <w:p w14:paraId="10AB1157" w14:textId="77777777" w:rsidR="00AB1FD0" w:rsidRDefault="002044B4">
      <w:pPr>
        <w:ind w:right="-1"/>
        <w:jc w:val="center"/>
        <w:rPr>
          <w:rStyle w:val="Fontdeparagrafimplicit1"/>
          <w:b/>
        </w:rPr>
      </w:pPr>
      <w:r>
        <w:rPr>
          <w:rStyle w:val="Fontdeparagrafimplicit1"/>
          <w:b/>
        </w:rPr>
        <w:t>D E C I D E   :</w:t>
      </w:r>
    </w:p>
    <w:p w14:paraId="0DC4FE9D" w14:textId="77777777" w:rsidR="00AB1FD0" w:rsidRDefault="002044B4">
      <w:pPr>
        <w:jc w:val="both"/>
      </w:pPr>
      <w:r>
        <w:tab/>
      </w:r>
    </w:p>
    <w:p w14:paraId="596895DD" w14:textId="450BA43B" w:rsidR="00AB1FD0" w:rsidRDefault="002044B4">
      <w:pPr>
        <w:ind w:firstLine="708"/>
        <w:jc w:val="both"/>
        <w:rPr>
          <w:rStyle w:val="Fontdeparagrafimplicit1"/>
          <w:b/>
        </w:rPr>
      </w:pPr>
      <w:r>
        <w:rPr>
          <w:rStyle w:val="Fontdeparagrafimplicit1"/>
          <w:b/>
        </w:rPr>
        <w:t>ADMITE</w:t>
      </w:r>
      <w:r>
        <w:t xml:space="preserve"> ca fondat recursul civil formulat de recurentul </w:t>
      </w:r>
      <w:r w:rsidR="00CA03E8">
        <w:rPr>
          <w:rStyle w:val="Fontdeparagrafimplicit1"/>
          <w:b/>
        </w:rPr>
        <w:t>BIM</w:t>
      </w:r>
      <w:r>
        <w:t xml:space="preserve">, CNP </w:t>
      </w:r>
      <w:r w:rsidR="00CA03E8">
        <w:t>....</w:t>
      </w:r>
      <w:r>
        <w:t xml:space="preserve">, cu domiciliul procesual ales la Cabinet de avocat </w:t>
      </w:r>
      <w:r w:rsidR="00CA03E8">
        <w:t>....</w:t>
      </w:r>
      <w:r>
        <w:t xml:space="preserve">  municipiul </w:t>
      </w:r>
      <w:r w:rsidR="00CA03E8">
        <w:t>X</w:t>
      </w:r>
      <w:r>
        <w:t xml:space="preserve">, strada </w:t>
      </w:r>
      <w:r w:rsidR="00CA03E8">
        <w:t>....</w:t>
      </w:r>
      <w:r>
        <w:t>, nr.</w:t>
      </w:r>
      <w:r w:rsidR="00CA03E8">
        <w:t>...</w:t>
      </w:r>
      <w:r>
        <w:t>, ap.</w:t>
      </w:r>
      <w:r w:rsidR="00CA03E8">
        <w:t>...</w:t>
      </w:r>
      <w:r>
        <w:t xml:space="preserve">, judeţul </w:t>
      </w:r>
      <w:r w:rsidR="00CA03E8">
        <w:t>Z</w:t>
      </w:r>
      <w:r>
        <w:t xml:space="preserve">, în contradictoriu cu intimata </w:t>
      </w:r>
      <w:r>
        <w:rPr>
          <w:rStyle w:val="Fontdeparagrafimplicit1"/>
          <w:b/>
        </w:rPr>
        <w:t xml:space="preserve">CASA JUDEŢEANĂ DE PENSII </w:t>
      </w:r>
      <w:r w:rsidR="00CA03E8">
        <w:rPr>
          <w:rStyle w:val="Fontdeparagrafimplicit1"/>
          <w:b/>
        </w:rPr>
        <w:t>Z</w:t>
      </w:r>
      <w:r>
        <w:t xml:space="preserve">, cu sediul în municipiul </w:t>
      </w:r>
      <w:r w:rsidR="00CA03E8">
        <w:t>X</w:t>
      </w:r>
      <w:r>
        <w:t xml:space="preserve">, strada </w:t>
      </w:r>
      <w:r w:rsidR="00CA03E8">
        <w:t>...</w:t>
      </w:r>
      <w:r>
        <w:t>, nr.</w:t>
      </w:r>
      <w:r w:rsidR="00CA03E8">
        <w:t>....</w:t>
      </w:r>
      <w:r>
        <w:t xml:space="preserve">, judeţul </w:t>
      </w:r>
      <w:r w:rsidR="00CA03E8">
        <w:t>Z</w:t>
      </w:r>
      <w:r>
        <w:t xml:space="preserve">, împotriva Încheierii din data de </w:t>
      </w:r>
      <w:r w:rsidR="00CA03E8">
        <w:t>...</w:t>
      </w:r>
      <w:r>
        <w:t xml:space="preserve"> 2024, pronunţată de Tribunalul </w:t>
      </w:r>
      <w:r w:rsidR="00CA03E8">
        <w:t>Z</w:t>
      </w:r>
      <w:r>
        <w:t xml:space="preserve"> pe care o casează în tot şi trimite cauza tribunalului  în vederea continuării judecăţii.  </w:t>
      </w:r>
    </w:p>
    <w:p w14:paraId="1C4A2E68" w14:textId="77777777" w:rsidR="00AB1FD0" w:rsidRDefault="002044B4">
      <w:pPr>
        <w:jc w:val="both"/>
      </w:pPr>
      <w:r>
        <w:tab/>
        <w:t>DEFINITIVĂ.</w:t>
      </w:r>
    </w:p>
    <w:p w14:paraId="64E30D91" w14:textId="3B205068" w:rsidR="00AB1FD0" w:rsidRDefault="002044B4">
      <w:pPr>
        <w:ind w:firstLine="708"/>
        <w:jc w:val="both"/>
      </w:pPr>
      <w:r>
        <w:t xml:space="preserve">Pronunţată în data de </w:t>
      </w:r>
      <w:r w:rsidR="00CA03E8">
        <w:t>....</w:t>
      </w:r>
      <w:r>
        <w:t xml:space="preserve"> 2024, prin punerea soluţiei la dispoziţia părţilor prin grefa instanţei.</w:t>
      </w:r>
    </w:p>
    <w:p w14:paraId="758C5FF2" w14:textId="77777777" w:rsidR="00AB1FD0" w:rsidRDefault="00AB1FD0"/>
    <w:p w14:paraId="2549B2D0" w14:textId="77777777" w:rsidR="00AB1FD0" w:rsidRDefault="002044B4">
      <w:pPr>
        <w:ind w:right="-1"/>
        <w:jc w:val="both"/>
        <w:rPr>
          <w:rStyle w:val="Fontdeparagrafimplicit1"/>
          <w:b/>
        </w:rPr>
      </w:pPr>
      <w:r>
        <w:rPr>
          <w:rStyle w:val="Fontdeparagrafimplicit1"/>
          <w:b/>
        </w:rPr>
        <w:t xml:space="preserve">       PREŞEDINTE                   JUDECĂTOR              JUDECĂTOR                GREFIER      </w:t>
      </w:r>
    </w:p>
    <w:p w14:paraId="175D9E9F" w14:textId="17EFF6AF" w:rsidR="00AB1FD0" w:rsidRDefault="002044B4">
      <w:pPr>
        <w:ind w:right="-1"/>
        <w:jc w:val="both"/>
      </w:pPr>
      <w:r>
        <w:t xml:space="preserve">              A0011                                            ....                              ....                                 ....</w:t>
      </w:r>
    </w:p>
    <w:p w14:paraId="7D9AF10E" w14:textId="77777777" w:rsidR="00AB1FD0" w:rsidRDefault="002044B4">
      <w:pPr>
        <w:ind w:right="-1"/>
        <w:rPr>
          <w:rStyle w:val="Fontdeparagrafimplicit1"/>
          <w:sz w:val="18"/>
        </w:rPr>
      </w:pPr>
      <w:r>
        <w:rPr>
          <w:rStyle w:val="Fontdeparagrafimplicit1"/>
          <w:sz w:val="18"/>
        </w:rPr>
        <w:t xml:space="preserve">   </w:t>
      </w:r>
    </w:p>
    <w:p w14:paraId="3C1EA83D" w14:textId="77777777" w:rsidR="00AB1FD0" w:rsidRDefault="00AB1FD0">
      <w:pPr>
        <w:ind w:right="-1"/>
        <w:rPr>
          <w:rStyle w:val="Fontdeparagrafimplicit1"/>
        </w:rPr>
      </w:pPr>
    </w:p>
    <w:p w14:paraId="7F28F343" w14:textId="77777777" w:rsidR="00AB1FD0" w:rsidRDefault="00AB1FD0">
      <w:pPr>
        <w:ind w:right="-1"/>
        <w:rPr>
          <w:rStyle w:val="Fontdeparagrafimplicit1"/>
        </w:rPr>
      </w:pPr>
    </w:p>
    <w:p w14:paraId="61096000" w14:textId="77777777" w:rsidR="00AB1FD0" w:rsidRDefault="00AB1FD0">
      <w:pPr>
        <w:ind w:left="4248" w:right="-1" w:firstLine="708"/>
        <w:jc w:val="both"/>
        <w:rPr>
          <w:rStyle w:val="Fontdeparagrafimplicit1"/>
          <w:b/>
        </w:rPr>
      </w:pPr>
    </w:p>
    <w:p w14:paraId="3FB4DA35" w14:textId="4395310B" w:rsidR="00AB1FD0" w:rsidRDefault="002044B4">
      <w:pPr>
        <w:ind w:right="-1"/>
        <w:jc w:val="both"/>
        <w:rPr>
          <w:rStyle w:val="Fontdeparagrafimplicit1"/>
          <w:sz w:val="16"/>
        </w:rPr>
      </w:pPr>
      <w:r>
        <w:rPr>
          <w:rStyle w:val="Fontdeparagrafimplicit1"/>
          <w:sz w:val="16"/>
        </w:rPr>
        <w:t xml:space="preserve">redactat dec. jud. </w:t>
      </w:r>
      <w:r w:rsidR="00CA03E8">
        <w:rPr>
          <w:rStyle w:val="Fontdeparagrafimplicit1"/>
          <w:sz w:val="16"/>
        </w:rPr>
        <w:t>A0011</w:t>
      </w:r>
      <w:r>
        <w:rPr>
          <w:rStyle w:val="Fontdeparagrafimplicit1"/>
          <w:sz w:val="16"/>
        </w:rPr>
        <w:t>/</w:t>
      </w:r>
      <w:r w:rsidR="00CA03E8">
        <w:rPr>
          <w:rStyle w:val="Fontdeparagrafimplicit1"/>
          <w:sz w:val="16"/>
        </w:rPr>
        <w:t>...</w:t>
      </w:r>
    </w:p>
    <w:p w14:paraId="182406E9" w14:textId="696F7B35" w:rsidR="00AB1FD0" w:rsidRDefault="002044B4">
      <w:pPr>
        <w:ind w:right="-1"/>
        <w:jc w:val="both"/>
        <w:rPr>
          <w:rStyle w:val="Fontdeparagrafimplicit1"/>
          <w:sz w:val="16"/>
        </w:rPr>
      </w:pPr>
      <w:r>
        <w:rPr>
          <w:rStyle w:val="Fontdeparagrafimplicit1"/>
          <w:sz w:val="16"/>
        </w:rPr>
        <w:t xml:space="preserve">jud. fond – </w:t>
      </w:r>
      <w:r w:rsidR="00CA03E8">
        <w:rPr>
          <w:rStyle w:val="Fontdeparagrafimplicit1"/>
          <w:sz w:val="16"/>
        </w:rPr>
        <w:t>...</w:t>
      </w:r>
      <w:r>
        <w:rPr>
          <w:rStyle w:val="Fontdeparagrafimplicit1"/>
          <w:sz w:val="16"/>
        </w:rPr>
        <w:t xml:space="preserve"> </w:t>
      </w:r>
    </w:p>
    <w:p w14:paraId="3929E273" w14:textId="7D48AF5C" w:rsidR="00AB1FD0" w:rsidRDefault="002044B4">
      <w:pPr>
        <w:ind w:right="-1"/>
        <w:jc w:val="both"/>
        <w:rPr>
          <w:rStyle w:val="Fontdeparagrafimplicit1"/>
          <w:sz w:val="16"/>
        </w:rPr>
      </w:pPr>
      <w:r>
        <w:rPr>
          <w:rStyle w:val="Fontdeparagrafimplicit1"/>
          <w:sz w:val="16"/>
        </w:rPr>
        <w:t xml:space="preserve">tehnored. </w:t>
      </w:r>
      <w:r w:rsidR="00CA03E8">
        <w:rPr>
          <w:rStyle w:val="Fontdeparagrafimplicit1"/>
          <w:sz w:val="16"/>
        </w:rPr>
        <w:t>...</w:t>
      </w:r>
      <w:r>
        <w:rPr>
          <w:rStyle w:val="Fontdeparagrafimplicit1"/>
          <w:sz w:val="16"/>
        </w:rPr>
        <w:t xml:space="preserve"> 4 ex/</w:t>
      </w:r>
      <w:r w:rsidR="00CA03E8">
        <w:rPr>
          <w:rStyle w:val="Fontdeparagrafimplicit1"/>
          <w:sz w:val="16"/>
        </w:rPr>
        <w:t>...</w:t>
      </w:r>
    </w:p>
    <w:p w14:paraId="16E12C66" w14:textId="77777777" w:rsidR="00AB1FD0" w:rsidRDefault="00AB1FD0">
      <w:pPr>
        <w:jc w:val="both"/>
        <w:rPr>
          <w:rStyle w:val="Fontdeparagrafimplicit1"/>
          <w:i/>
        </w:rPr>
      </w:pPr>
    </w:p>
    <w:p w14:paraId="5770F7A1" w14:textId="77777777" w:rsidR="00AB1FD0" w:rsidRDefault="002044B4">
      <w:pPr>
        <w:jc w:val="both"/>
        <w:rPr>
          <w:rStyle w:val="Fontdeparagrafimplicit1"/>
          <w:sz w:val="16"/>
          <w:u w:val="single"/>
        </w:rPr>
      </w:pPr>
      <w:r>
        <w:rPr>
          <w:rStyle w:val="Fontdeparagrafimplicit1"/>
          <w:sz w:val="16"/>
          <w:u w:val="single"/>
        </w:rPr>
        <w:t xml:space="preserve">emis 2 comunicări </w:t>
      </w:r>
    </w:p>
    <w:p w14:paraId="23D8CCA2" w14:textId="72D03C34" w:rsidR="00AB1FD0" w:rsidRDefault="002044B4">
      <w:pPr>
        <w:numPr>
          <w:ilvl w:val="0"/>
          <w:numId w:val="2"/>
        </w:numPr>
        <w:jc w:val="both"/>
        <w:rPr>
          <w:rStyle w:val="Fontdeparagrafimplicit1"/>
          <w:sz w:val="16"/>
        </w:rPr>
      </w:pPr>
      <w:r>
        <w:rPr>
          <w:rStyle w:val="Fontdeparagrafimplicit1"/>
          <w:b/>
          <w:sz w:val="16"/>
        </w:rPr>
        <w:t>BIM</w:t>
      </w:r>
      <w:r>
        <w:rPr>
          <w:rStyle w:val="Fontdeparagrafimplicit1"/>
          <w:sz w:val="16"/>
        </w:rPr>
        <w:t xml:space="preserve">, cu domiciliul procesual ales la Cabinet de avocat ...  municipiul X, strada ...., nr..., ap..., judeţul Z, </w:t>
      </w:r>
    </w:p>
    <w:p w14:paraId="4F2F20F7" w14:textId="70F180D4" w:rsidR="00AB1FD0" w:rsidRDefault="002044B4">
      <w:pPr>
        <w:numPr>
          <w:ilvl w:val="0"/>
          <w:numId w:val="2"/>
        </w:numPr>
        <w:jc w:val="both"/>
        <w:rPr>
          <w:rStyle w:val="Fontdeparagrafimplicit1"/>
          <w:sz w:val="16"/>
        </w:rPr>
      </w:pPr>
      <w:r>
        <w:rPr>
          <w:rStyle w:val="Fontdeparagrafimplicit1"/>
          <w:b/>
          <w:sz w:val="16"/>
        </w:rPr>
        <w:t xml:space="preserve">CASA JUDEŢEANĂ DE PENSII </w:t>
      </w:r>
      <w:r w:rsidR="00CA03E8">
        <w:rPr>
          <w:rStyle w:val="Fontdeparagrafimplicit1"/>
          <w:b/>
          <w:sz w:val="16"/>
        </w:rPr>
        <w:t>Z</w:t>
      </w:r>
      <w:r>
        <w:rPr>
          <w:rStyle w:val="Fontdeparagrafimplicit1"/>
          <w:sz w:val="16"/>
        </w:rPr>
        <w:t xml:space="preserve">, cu sediul în municipiul </w:t>
      </w:r>
      <w:r w:rsidR="00CA03E8">
        <w:rPr>
          <w:rStyle w:val="Fontdeparagrafimplicit1"/>
          <w:sz w:val="16"/>
        </w:rPr>
        <w:t>X</w:t>
      </w:r>
      <w:r>
        <w:rPr>
          <w:rStyle w:val="Fontdeparagrafimplicit1"/>
          <w:sz w:val="16"/>
        </w:rPr>
        <w:t xml:space="preserve">, strada </w:t>
      </w:r>
      <w:r w:rsidR="00CA03E8">
        <w:rPr>
          <w:rStyle w:val="Fontdeparagrafimplicit1"/>
          <w:sz w:val="16"/>
        </w:rPr>
        <w:t>...</w:t>
      </w:r>
      <w:r>
        <w:rPr>
          <w:rStyle w:val="Fontdeparagrafimplicit1"/>
          <w:sz w:val="16"/>
        </w:rPr>
        <w:t>, nr.</w:t>
      </w:r>
      <w:r w:rsidR="00CA03E8">
        <w:rPr>
          <w:rStyle w:val="Fontdeparagrafimplicit1"/>
          <w:sz w:val="16"/>
        </w:rPr>
        <w:t>..</w:t>
      </w:r>
      <w:r>
        <w:rPr>
          <w:rStyle w:val="Fontdeparagrafimplicit1"/>
          <w:sz w:val="16"/>
        </w:rPr>
        <w:t xml:space="preserve">, judeţul </w:t>
      </w:r>
      <w:r w:rsidR="00CA03E8">
        <w:rPr>
          <w:rStyle w:val="Fontdeparagrafimplicit1"/>
          <w:sz w:val="16"/>
        </w:rPr>
        <w:t>Z</w:t>
      </w:r>
    </w:p>
    <w:p w14:paraId="5E1093D2" w14:textId="77777777" w:rsidR="00AB1FD0" w:rsidRDefault="00AB1FD0">
      <w:pPr>
        <w:jc w:val="center"/>
        <w:rPr>
          <w:rStyle w:val="Fontdeparagrafimplicit1"/>
          <w:b/>
          <w:i/>
          <w:color w:val="000000"/>
        </w:rPr>
      </w:pPr>
    </w:p>
    <w:p w14:paraId="3D03D54D" w14:textId="77777777" w:rsidR="00AB1FD0" w:rsidRDefault="00AB1FD0">
      <w:pPr>
        <w:jc w:val="both"/>
        <w:rPr>
          <w:rStyle w:val="Fontdeparagrafimplicit1"/>
        </w:rPr>
      </w:pPr>
    </w:p>
    <w:p w14:paraId="571AC808" w14:textId="77777777" w:rsidR="00AB1FD0" w:rsidRDefault="002044B4">
      <w:pPr>
        <w:jc w:val="both"/>
      </w:pPr>
      <w:r>
        <w:lastRenderedPageBreak/>
        <w:tab/>
        <w:t xml:space="preserve">   </w:t>
      </w:r>
    </w:p>
    <w:p w14:paraId="3978CBAD" w14:textId="77777777" w:rsidR="00AB1FD0" w:rsidRDefault="00AB1FD0">
      <w:pPr>
        <w:jc w:val="both"/>
      </w:pPr>
    </w:p>
    <w:p w14:paraId="6A2A6D7C" w14:textId="77777777" w:rsidR="00AB1FD0" w:rsidRDefault="00AB1FD0"/>
    <w:sectPr w:rsidR="00AB1FD0">
      <w:footerReference w:type="default" r:id="rId7"/>
      <w:footerReference w:type="first" r:id="rId8"/>
      <w:pgSz w:w="11906" w:h="16838"/>
      <w:pgMar w:top="1134" w:right="1021" w:bottom="1021" w:left="1701" w:header="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8709" w14:textId="77777777" w:rsidR="00C5101C" w:rsidRDefault="00C5101C">
      <w:r>
        <w:separator/>
      </w:r>
    </w:p>
  </w:endnote>
  <w:endnote w:type="continuationSeparator" w:id="0">
    <w:p w14:paraId="0A18C416" w14:textId="77777777" w:rsidR="00C5101C" w:rsidRDefault="00C5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24826" w14:textId="77777777" w:rsidR="00AB1FD0" w:rsidRDefault="002044B4">
    <w:pPr>
      <w:pStyle w:val="Subsol1"/>
      <w:jc w:val="center"/>
    </w:pPr>
    <w:r>
      <w:fldChar w:fldCharType="begin"/>
    </w:r>
    <w:r>
      <w:instrText>PAGE   \* MERGEFORMAT</w:instrText>
    </w:r>
    <w:r>
      <w:fldChar w:fldCharType="separate"/>
    </w:r>
    <w:r>
      <w:t>#</w:t>
    </w:r>
    <w:r>
      <w:fldChar w:fldCharType="end"/>
    </w:r>
  </w:p>
  <w:p w14:paraId="71169DC3" w14:textId="77777777" w:rsidR="00AB1FD0" w:rsidRDefault="00AB1FD0">
    <w:pPr>
      <w:pStyle w:val="Subsol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2A280" w14:textId="77777777" w:rsidR="00AB1FD0" w:rsidRDefault="002044B4">
    <w:pPr>
      <w:pStyle w:val="Subsol1"/>
      <w:jc w:val="center"/>
    </w:pPr>
    <w:r>
      <w:fldChar w:fldCharType="begin"/>
    </w:r>
    <w:r>
      <w:instrText>PAGE   \* MERGEFORMAT</w:instrText>
    </w:r>
    <w:r>
      <w:fldChar w:fldCharType="separate"/>
    </w:r>
    <w:r>
      <w:t>#</w:t>
    </w:r>
    <w:r>
      <w:fldChar w:fldCharType="end"/>
    </w:r>
  </w:p>
  <w:p w14:paraId="51F0EA5B" w14:textId="77777777" w:rsidR="00AB1FD0" w:rsidRDefault="00AB1FD0">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330EE" w14:textId="77777777" w:rsidR="00C5101C" w:rsidRDefault="00C5101C">
      <w:r>
        <w:separator/>
      </w:r>
    </w:p>
  </w:footnote>
  <w:footnote w:type="continuationSeparator" w:id="0">
    <w:p w14:paraId="427E155F" w14:textId="77777777" w:rsidR="00C5101C" w:rsidRDefault="00C51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D66EA"/>
    <w:multiLevelType w:val="multilevel"/>
    <w:tmpl w:val="EBBAF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54C79D9"/>
    <w:multiLevelType w:val="multilevel"/>
    <w:tmpl w:val="8848AD4A"/>
    <w:lvl w:ilvl="0">
      <w:start w:val="1"/>
      <w:numFmt w:val="decimal"/>
      <w:lvlText w:val="%1."/>
      <w:lvlJc w:val="left"/>
      <w:rPr>
        <w:rFonts w:ascii="Times New Roman" w:hAnsi="Times New Roman"/>
        <w:b w:val="0"/>
        <w:i w:val="0"/>
        <w:strike w:val="0"/>
        <w:color w:val="000000"/>
        <w:sz w:val="24"/>
        <w:u w:val="none"/>
        <w:shd w:val="clear" w:color="auto" w:fill="auto"/>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93367512">
    <w:abstractNumId w:val="1"/>
  </w:num>
  <w:num w:numId="2" w16cid:durableId="407922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docVars>
    <w:docVar w:name="url" w:val="https://caora.just.ro/ecris_cdms/document_upload.aspx?id_document=3500000001069823&amp;id_departament=2&amp;id_sesiune=807124&amp;id_user=181&amp;id_institutie=35&amp;actiune=modifica"/>
  </w:docVars>
  <w:rsids>
    <w:rsidRoot w:val="00AB1FD0"/>
    <w:rsid w:val="002044B4"/>
    <w:rsid w:val="00674A0C"/>
    <w:rsid w:val="007C3C72"/>
    <w:rsid w:val="007E6C68"/>
    <w:rsid w:val="00830328"/>
    <w:rsid w:val="008B63CA"/>
    <w:rsid w:val="008E42FD"/>
    <w:rsid w:val="00AB1FD0"/>
    <w:rsid w:val="00B30F95"/>
    <w:rsid w:val="00C5101C"/>
    <w:rsid w:val="00CA0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98DE50"/>
  <w15:docId w15:val="{45EC0C50-7462-4371-996D-E850C8AC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Picturecaption">
    <w:name w:val="Picture caption"/>
    <w:basedOn w:val="Normal"/>
    <w:link w:val="Picturecaption0"/>
    <w:pPr>
      <w:widowControl w:val="0"/>
    </w:pPr>
    <w:rPr>
      <w:rFonts w:ascii="Arial" w:hAnsi="Arial"/>
      <w:b/>
      <w:sz w:val="22"/>
    </w:rPr>
  </w:style>
  <w:style w:type="paragraph" w:customStyle="1" w:styleId="Corptext1">
    <w:name w:val="Corp text1"/>
    <w:basedOn w:val="Normal"/>
    <w:link w:val="CorptextCaracter"/>
    <w:qFormat/>
    <w:pPr>
      <w:widowControl w:val="0"/>
      <w:spacing w:after="120" w:line="283" w:lineRule="auto"/>
      <w:ind w:firstLine="400"/>
    </w:pPr>
    <w:rPr>
      <w:sz w:val="20"/>
    </w:rPr>
  </w:style>
  <w:style w:type="paragraph" w:customStyle="1" w:styleId="Antet1">
    <w:name w:val="Antet1"/>
    <w:basedOn w:val="Normal"/>
    <w:link w:val="AntetCaracter"/>
    <w:pPr>
      <w:tabs>
        <w:tab w:val="center" w:pos="4536"/>
        <w:tab w:val="right" w:pos="9072"/>
      </w:tabs>
    </w:pPr>
  </w:style>
  <w:style w:type="paragraph" w:customStyle="1" w:styleId="Subsol1">
    <w:name w:val="Subsol1"/>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Picturecaption0">
    <w:name w:val="Picture caption_"/>
    <w:link w:val="Picturecaption"/>
    <w:rPr>
      <w:rFonts w:ascii="Arial" w:hAnsi="Arial"/>
      <w:b/>
      <w:sz w:val="22"/>
    </w:rPr>
  </w:style>
  <w:style w:type="character" w:customStyle="1" w:styleId="CorptextCaracter">
    <w:name w:val="Corp text Caracter"/>
    <w:link w:val="Corptext1"/>
    <w:rPr>
      <w:sz w:val="20"/>
    </w:rPr>
  </w:style>
  <w:style w:type="character" w:customStyle="1" w:styleId="CorptextCaracter1">
    <w:name w:val="Corp text Caracter1"/>
    <w:rPr>
      <w:sz w:val="24"/>
    </w:rPr>
  </w:style>
  <w:style w:type="character" w:customStyle="1" w:styleId="AntetCaracter">
    <w:name w:val="Antet Caracter"/>
    <w:link w:val="Antet1"/>
  </w:style>
  <w:style w:type="character" w:customStyle="1" w:styleId="SubsolCaracter">
    <w:name w:val="Subsol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1583</Words>
  <Characters>9026</Characters>
  <Application>Microsoft Office Word</Application>
  <DocSecurity>0</DocSecurity>
  <Lines>75</Lines>
  <Paragraphs>21</Paragraphs>
  <ScaleCrop>false</ScaleCrop>
  <Manager/>
  <Company/>
  <LinksUpToDate>false</LinksUpToDate>
  <CharactersWithSpaces>10588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4</cp:revision>
  <cp:lastPrinted>2024-12-17T10:26:00Z</cp:lastPrinted>
  <dcterms:created xsi:type="dcterms:W3CDTF">2026-09-03T13:02:00Z</dcterms:created>
  <dcterms:modified xsi:type="dcterms:W3CDTF">2026-09-11T10:23:00Z</dcterms:modified>
  <cp:category/>
  <dc:identifier/>
  <cp:contentStatus/>
  <dc:language/>
  <cp:version/>
</cp:coreProperties>
</file>