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5.0 -->
  <w:body>
    <w:p w:rsidR="004E73E2" w14:paraId="47D862B4" w14:textId="286EAA2D">
      <w:pPr>
        <w:jc w:val="both"/>
        <w:rPr>
          <w:rStyle w:val="Fontdeparagrafimplicit"/>
          <w:b/>
        </w:rPr>
      </w:pPr>
      <w:r>
        <w:rPr>
          <w:rStyle w:val="Fontdeparagrafimplicit"/>
          <w:b/>
        </w:rPr>
        <w:t>DOSAR NR.</w:t>
      </w:r>
      <w:r w:rsidR="004E4770">
        <w:rPr>
          <w:rStyle w:val="Fontdeparagrafimplicit"/>
          <w:b/>
        </w:rPr>
        <w:t xml:space="preserve">1 </w:t>
      </w:r>
    </w:p>
    <w:p w:rsidR="004E73E2" w14:paraId="534F680F" w14:textId="77777777">
      <w:pPr>
        <w:jc w:val="both"/>
        <w:rPr>
          <w:rStyle w:val="Fontdeparagrafimplicit"/>
          <w:b/>
        </w:rPr>
      </w:pPr>
    </w:p>
    <w:p w:rsidR="004E73E2" w14:paraId="2857EB08" w14:textId="77777777">
      <w:pPr>
        <w:jc w:val="center"/>
        <w:rPr>
          <w:rStyle w:val="Fontdeparagrafimplicit"/>
          <w:b/>
        </w:rPr>
      </w:pPr>
      <w:r>
        <w:rPr>
          <w:rStyle w:val="Fontdeparagrafimplicit"/>
          <w:b/>
        </w:rPr>
        <w:t xml:space="preserve">R O M Â N I A </w:t>
      </w:r>
    </w:p>
    <w:p w:rsidR="004E73E2" w14:paraId="4FE054BE" w14:textId="3C3F4F1D">
      <w:pPr>
        <w:jc w:val="center"/>
        <w:rPr>
          <w:rStyle w:val="Fontdeparagrafimplicit"/>
          <w:b/>
        </w:rPr>
      </w:pPr>
      <w:r>
        <w:rPr>
          <w:rStyle w:val="Fontdeparagrafimplicit"/>
          <w:b/>
        </w:rPr>
        <w:t xml:space="preserve">CURTEA DE APEL </w:t>
      </w:r>
      <w:r w:rsidR="004E4770">
        <w:rPr>
          <w:rStyle w:val="Fontdeparagrafimplicit"/>
          <w:b/>
        </w:rPr>
        <w:t xml:space="preserve"> </w:t>
      </w:r>
      <w:r>
        <w:rPr>
          <w:rStyle w:val="Fontdeparagrafimplicit"/>
          <w:b/>
        </w:rPr>
        <w:t xml:space="preserve"> </w:t>
      </w:r>
    </w:p>
    <w:p w:rsidR="004E73E2" w14:paraId="6C1FD7C2" w14:textId="76590D60">
      <w:pPr>
        <w:jc w:val="center"/>
        <w:rPr>
          <w:rStyle w:val="Fontdeparagrafimplicit"/>
          <w:b/>
        </w:rPr>
      </w:pPr>
      <w:r>
        <w:rPr>
          <w:rStyle w:val="Fontdeparagrafimplicit"/>
          <w:b/>
        </w:rPr>
        <w:t xml:space="preserve">SECŢIA </w:t>
      </w:r>
      <w:r w:rsidR="004E4770">
        <w:rPr>
          <w:rStyle w:val="Fontdeparagrafimplicit"/>
          <w:b/>
        </w:rPr>
        <w:t xml:space="preserve"> </w:t>
      </w:r>
      <w:r>
        <w:rPr>
          <w:rStyle w:val="Fontdeparagrafimplicit"/>
          <w:b/>
        </w:rPr>
        <w:t xml:space="preserve"> </w:t>
      </w:r>
    </w:p>
    <w:p w:rsidR="004E73E2" w14:paraId="1CA52C68" w14:textId="1DC2F44C">
      <w:pPr>
        <w:jc w:val="center"/>
        <w:rPr>
          <w:rStyle w:val="Fontdeparagrafimplicit"/>
          <w:b/>
          <w:i/>
        </w:rPr>
      </w:pPr>
      <w:r>
        <w:rPr>
          <w:rStyle w:val="Fontdeparagrafimplicit"/>
          <w:b/>
          <w:i/>
        </w:rPr>
        <w:t xml:space="preserve">Sentinţa civilă nr. </w:t>
      </w:r>
      <w:r w:rsidR="004E4770">
        <w:rPr>
          <w:rStyle w:val="Fontdeparagrafimplicit"/>
          <w:b/>
          <w:i/>
        </w:rPr>
        <w:t>18</w:t>
      </w:r>
    </w:p>
    <w:p w:rsidR="004E73E2" w14:paraId="07A5603C" w14:textId="5E368F40">
      <w:pPr>
        <w:jc w:val="center"/>
        <w:rPr>
          <w:rStyle w:val="Fontdeparagrafimplicit"/>
          <w:b/>
        </w:rPr>
      </w:pPr>
      <w:r>
        <w:rPr>
          <w:rStyle w:val="Fontdeparagrafimplicit"/>
          <w:b/>
        </w:rPr>
        <w:t xml:space="preserve">Şedinţa publică din  </w:t>
      </w:r>
      <w:r w:rsidR="004E4770">
        <w:rPr>
          <w:rStyle w:val="Fontdeparagrafimplicit"/>
          <w:b/>
        </w:rPr>
        <w:t xml:space="preserve"> </w:t>
      </w:r>
      <w:r>
        <w:rPr>
          <w:rStyle w:val="Fontdeparagrafimplicit"/>
          <w:b/>
        </w:rPr>
        <w:t xml:space="preserve"> </w:t>
      </w:r>
    </w:p>
    <w:p w:rsidR="004E73E2" w14:paraId="6E699817" w14:textId="77777777">
      <w:pPr>
        <w:jc w:val="center"/>
        <w:rPr>
          <w:rStyle w:val="Fontdeparagrafimplicit"/>
          <w:b/>
        </w:rPr>
      </w:pPr>
      <w:r>
        <w:rPr>
          <w:rStyle w:val="Fontdeparagrafimplicit"/>
          <w:b/>
        </w:rPr>
        <w:t>Curtea constituită din:</w:t>
      </w:r>
    </w:p>
    <w:p w:rsidR="004E73E2" w14:paraId="63FC9055" w14:textId="36ADDD16">
      <w:pPr>
        <w:jc w:val="center"/>
        <w:rPr>
          <w:rStyle w:val="Fontdeparagrafimplicit"/>
          <w:b/>
        </w:rPr>
      </w:pPr>
      <w:r>
        <w:rPr>
          <w:rStyle w:val="Fontdeparagrafimplicit"/>
          <w:b/>
        </w:rPr>
        <w:t xml:space="preserve">PREŞEDINTE: </w:t>
      </w:r>
      <w:r w:rsidR="004E4770">
        <w:rPr>
          <w:rStyle w:val="Fontdeparagrafimplicit"/>
          <w:b/>
        </w:rPr>
        <w:t>A0008</w:t>
      </w:r>
    </w:p>
    <w:p w:rsidR="004E73E2" w14:paraId="6B39EEF5" w14:textId="01C6A37B">
      <w:pPr>
        <w:jc w:val="center"/>
        <w:rPr>
          <w:rStyle w:val="Fontdeparagrafimplicit"/>
          <w:b/>
        </w:rPr>
      </w:pPr>
      <w:r>
        <w:rPr>
          <w:rStyle w:val="Fontdeparagrafimplicit"/>
          <w:b/>
        </w:rPr>
        <w:t xml:space="preserve">GREFIER: </w:t>
      </w:r>
      <w:r w:rsidR="004E4770">
        <w:rPr>
          <w:rStyle w:val="Fontdeparagrafimplicit"/>
          <w:b/>
        </w:rPr>
        <w:t xml:space="preserve"> </w:t>
      </w:r>
    </w:p>
    <w:p w:rsidR="004E73E2" w14:paraId="2891244B" w14:textId="77777777">
      <w:pPr>
        <w:jc w:val="both"/>
        <w:rPr>
          <w:rStyle w:val="Fontdeparagrafimplicit"/>
          <w:b/>
          <w:i/>
        </w:rPr>
      </w:pPr>
      <w:r>
        <w:rPr>
          <w:rStyle w:val="Fontdeparagrafimplicit"/>
          <w:b/>
          <w:i/>
        </w:rPr>
        <w:t xml:space="preserve"> </w:t>
      </w:r>
    </w:p>
    <w:p w:rsidR="004E73E2" w14:paraId="632A0B50" w14:textId="77777777">
      <w:pPr>
        <w:jc w:val="both"/>
        <w:rPr>
          <w:rStyle w:val="Fontdeparagrafimplicit"/>
          <w:b/>
          <w:i/>
        </w:rPr>
      </w:pPr>
    </w:p>
    <w:p w:rsidR="004E73E2" w14:paraId="5F00F37F" w14:textId="37FD64E5">
      <w:pPr>
        <w:ind w:firstLine="720"/>
        <w:jc w:val="both"/>
      </w:pPr>
      <w:r>
        <w:t xml:space="preserve">Pe rol se află acţiunea în contencios administrativ formulată de reclamanta ASOCIAŢIA </w:t>
      </w:r>
      <w:r w:rsidR="004E4770">
        <w:t xml:space="preserve">2 </w:t>
      </w:r>
      <w:r>
        <w:t>, în contradictoriu cu pârâţii MINISTERUL CULTURII ŞI IDENTITĂŢII NAŢIONALE şi MINISTRUL CULTURII ŞI IDENTITĂŢII NAŢIONALE, având ca obiect „suspendare executare act administrativ”.</w:t>
      </w:r>
    </w:p>
    <w:p w:rsidR="004E73E2" w14:paraId="428A3D82" w14:textId="6A1C35DA">
      <w:pPr>
        <w:ind w:firstLine="720"/>
        <w:jc w:val="both"/>
      </w:pPr>
      <w:r>
        <w:t xml:space="preserve">La apelul nominal făcut în şedinţă publică, răspund reclamanta, prin vicepreşedinte, </w:t>
      </w:r>
      <w:r w:rsidR="004E4770">
        <w:t xml:space="preserve">        </w:t>
      </w:r>
      <w:r>
        <w:t xml:space="preserve">, în baza delegaţiei de la fila 67 dosar şi pârâţii, prin avocat </w:t>
      </w:r>
      <w:r w:rsidR="004E4770">
        <w:t xml:space="preserve">          </w:t>
      </w:r>
      <w:r>
        <w:t>, în baza împuternicirii avocaţiale aflată la fila 101 dosar.</w:t>
      </w:r>
    </w:p>
    <w:p w:rsidR="004E73E2" w14:paraId="4C666D0E" w14:textId="77777777">
      <w:pPr>
        <w:ind w:firstLine="720"/>
        <w:jc w:val="both"/>
      </w:pPr>
      <w:r>
        <w:t xml:space="preserve">Procedura de citare este legal îndeplinită.  </w:t>
      </w:r>
    </w:p>
    <w:p w:rsidR="004E73E2" w14:paraId="1072A135" w14:textId="77777777">
      <w:pPr>
        <w:ind w:firstLine="720"/>
        <w:jc w:val="both"/>
      </w:pPr>
      <w:r>
        <w:t>S-a făcut referatul cauzei de către grefierul de şedinţă, după care:</w:t>
      </w:r>
    </w:p>
    <w:p w:rsidR="004E73E2" w14:paraId="189F300B" w14:textId="77777777">
      <w:pPr>
        <w:jc w:val="both"/>
      </w:pPr>
      <w:r>
        <w:tab/>
        <w:t>Apărătorul pârâţilor solicită instanţei de judecată, din perspectiva dispoziţiilor art. 13 din Legea contenciosului administrativ şi ţinând cont de art. 8 coroborat cu art. 1, apreciază că ar urma să pună în vedere părţii reclamante să se depună la dosar actul administrativ a cărui suspendare o solicită, pentru că a verificat înscrisurile anexate cererii de chemare în judecată şi nu a identificat un astfel de act.</w:t>
      </w:r>
    </w:p>
    <w:p w:rsidR="004E73E2" w14:paraId="2E02DBE8" w14:textId="6855C593">
      <w:pPr>
        <w:jc w:val="both"/>
      </w:pPr>
      <w:r>
        <w:tab/>
        <w:t xml:space="preserve">Reprezentantul reclamantei precizează că actul administrativ este actul cu nr. </w:t>
      </w:r>
      <w:r w:rsidR="004E4770">
        <w:t xml:space="preserve">3 </w:t>
      </w:r>
      <w:r>
        <w:t xml:space="preserve"> pe care pârâţii l-au depus la termenul precedent de judecată.</w:t>
      </w:r>
    </w:p>
    <w:p w:rsidR="004E73E2" w14:paraId="3EBB18D1" w14:textId="77777777">
      <w:pPr>
        <w:ind w:firstLine="720"/>
        <w:jc w:val="both"/>
      </w:pPr>
      <w:r>
        <w:t>Apărătorul pârâţilor precizează că înscrisul indicat de către reprezentantul reclamantei nu este un act administrativ, ci este o simplă adresă.</w:t>
      </w:r>
    </w:p>
    <w:p w:rsidR="004E73E2" w14:paraId="2AB3D2FC" w14:textId="0132E604">
      <w:pPr>
        <w:ind w:firstLine="720"/>
        <w:jc w:val="both"/>
      </w:pPr>
      <w:r>
        <w:t xml:space="preserve">Interpelat fiind de către instanţa de judecată dacă este vorba despre adresa Ministerului Culturii şi Identităţii Naţionale către Ministerul Afacerilor Externe înregistrată la instituţia din urmă cu nr. </w:t>
      </w:r>
      <w:r w:rsidR="004E4770">
        <w:t xml:space="preserve">4 </w:t>
      </w:r>
      <w:r>
        <w:t>, reprezentantul reclamantei precizează că despre acel act este vorba.</w:t>
      </w:r>
    </w:p>
    <w:p w:rsidR="004E73E2" w14:paraId="4FB1C4D8" w14:textId="77777777">
      <w:pPr>
        <w:ind w:firstLine="720"/>
        <w:jc w:val="both"/>
      </w:pPr>
      <w:r>
        <w:t>La cererea instanţei de judecată de a preciza dacă cererea sa mai are obiect, apărătorul pârâţilor precizează că rugămintea sa este să se dispună a se consemna faptul că se atacă o adresă, o corespondenţă care s-a purtat între cele două ministere, respectiv între Ministerul Culturii şi Identităţii Naţionale şi Ministerul Afacerilor Externe.</w:t>
      </w:r>
    </w:p>
    <w:p w:rsidR="004E73E2" w14:paraId="71D96E41" w14:textId="77777777">
      <w:pPr>
        <w:ind w:firstLine="720"/>
        <w:jc w:val="both"/>
      </w:pPr>
      <w:r>
        <w:t>Curtea acordă lămuriri apărătorului pârâţilor în sensul că s-a consemnat exact ceea ce a spus reprezentantul reclamantului.</w:t>
      </w:r>
    </w:p>
    <w:p w:rsidR="004E73E2" w14:paraId="3D67A102" w14:textId="77777777">
      <w:pPr>
        <w:ind w:firstLine="720"/>
        <w:jc w:val="both"/>
      </w:pPr>
      <w:r>
        <w:t>Instanţa pune în discuţia părţilor, potrivit dispoziţiilor art. 248 alin. (1) şi (2) din Codul de procedură civilă, excepţiile invocate în cauză şi stabileşte ordinea de soluţionare a acestora, respectiv: excepţia lipsei calităţii procesuale active a reclamantei, excepţia lipsei de interes a reclamantei, excepţia inadmisibilităţii acţiunii, excepţia lipsei de obiect a acţiunii şi excepţia lipsei calităţii procesuale pasive a ministrului culturii şi identităţii naţionale.</w:t>
      </w:r>
    </w:p>
    <w:p w:rsidR="004E73E2" w14:paraId="4B98AB0F" w14:textId="5C578209">
      <w:pPr>
        <w:ind w:firstLine="720"/>
        <w:jc w:val="both"/>
      </w:pPr>
      <w:r>
        <w:t xml:space="preserve">Apărătorul pârâţilor, în ceea ce priveşte excepţia lipsei calităţii procesuale active a reclamantei, precizează că, aşa cum s-a putut observa, reclamanta a depus la dosar actele sale constitutive din care reiese foarte clar scopul pentru care asociaţia s-a constituit, scopul principal fiind acela al iniţierii unor acţiuni prin care consideră că pot să protejeze patrimoniul arhitectural al municipiului </w:t>
      </w:r>
      <w:r w:rsidR="004E4770">
        <w:t xml:space="preserve">           </w:t>
      </w:r>
      <w:r>
        <w:t xml:space="preserve">. Prin urmare, ca să poată avea calitate procesuală activă, legitimare procesuală activă într-o cauză în care se contestă o adresă, o corespondenţă a Ministerului Culturii către Ministerul Afacerilor Externe, apreciază că reclamanta ar fi trebuit să facă dovada că îndeplineşte condiţiile prevăzute de art. 1 din Legea contenciosului administrativ, şi anume, să facă dovada că au un drept vătămat de către pârâţi printr-un act administrativ de autoritate sau printr-un refuz nejustificat de soluţionare a unei cereri </w:t>
      </w:r>
      <w:r>
        <w:t xml:space="preserve">întemeiate pe o dispoziţie legală care, de asemenea, făcea referire la un drept recunoscut lor de lege şi vătămat de către părţile pârâte. Ori, câtă vreme instanţa nu are la dosar un asemenea act din care să rezulte că partea reclamantă a fost vătămată de pârâţi în drepturile sale recunoscute de lege, este limpede că nu sunt îndeplinite condiţiile prevăzute de art. 36 din Codul de procedură civilă care defineşte cu certitudine, fără nici un fel de echivoc, ce trebuie să îndeplinească partea reclamantă ca să poată să stea în justiţie, în nume propriu, şi anume să facă dovada că există identitate între ea şi dreptul afirmat în justiţie. Ori, câtă vreme ea nu poate să facă decât acţiuni prin care protejează patrimoniul arhitectural al </w:t>
      </w:r>
      <w:r w:rsidR="004E4770">
        <w:t xml:space="preserve">           </w:t>
      </w:r>
      <w:r>
        <w:t>ului, apreciază că nu se poate să fie lăsată să conteste nici măcar un act administrativ care angajează competenţa acestei instanţe, şi mai ales o adresă. Să vină o asociaţie care nu justifică nici un fel de calitate să conteste o corespondenţă a unor ministere, instituţii centrale de specialitate, apreciază că ne aflăm în prezenţa unui abuz de drept procedural şi procesual. Pentru aceste considerente, precum şi pentru cele invocate prin întâmpinare, solicită admiterea excepţiei şi să se constate că partea reclamantă nu are calitate procesuală activă şi să se respingă acţiunea cu această motivare.</w:t>
      </w:r>
    </w:p>
    <w:p w:rsidR="004E73E2" w14:paraId="3AE7366A" w14:textId="24ABA025">
      <w:pPr>
        <w:ind w:firstLine="720"/>
        <w:jc w:val="both"/>
      </w:pPr>
      <w:r>
        <w:t xml:space="preserve">În ceea ce priveşte excepţia lipsei de interes, aşa cum s-a afirmat, este cunoscut din doctrină, din codul de procedură civilă, că pentru a justifica un interes legitim de a se adresa instanţei partea reclamantă trebuie arătat, de asemenea, că prin actul administrativ de autoritate care angajează competenţa unei instanţe de contencios administrativ, în condiţiile foarte tehnice prevăzute de Legea contenciosului administrativ, ţi s-a vătămat un interes ivit, născut, actual, material şi direct care să privească drepturile şi obligaţiile asociaţiei acesteia constituite, cum s-a arătat, pentru protejarea patrimoniului arhitectural al </w:t>
      </w:r>
      <w:r w:rsidR="004E4770">
        <w:t xml:space="preserve">            </w:t>
      </w:r>
      <w:r>
        <w:t xml:space="preserve">. Inclusiv acest scop, din punctul său de vedere, este unul care excede legii, pentru că asemenea atribuţii are în România numai Ministerul Culturii care iniţiază acţiuni de protejare a patrimoniului arhitectural al </w:t>
      </w:r>
      <w:r w:rsidR="004E4770">
        <w:t xml:space="preserve">            </w:t>
      </w:r>
      <w:r>
        <w:t xml:space="preserve">, împreună şi cu primăriile </w:t>
      </w:r>
      <w:r w:rsidR="004E4770">
        <w:t xml:space="preserve"> </w:t>
      </w:r>
      <w:r>
        <w:t xml:space="preserve"> şi Primăria </w:t>
      </w:r>
      <w:r w:rsidR="004E4770">
        <w:t xml:space="preserve"> </w:t>
      </w:r>
      <w:r>
        <w:t>. Prin urmare, câtă vreme, din actele constitutive, nu rezultă că această parte reclamantă are vreun interes legitim de a ataca o corespondenţă a Ministerului Culturii, corespondenţă care este concepută ca urmare a susţinerii unei strategii de apărare într-un dosar în care statul român a angajat avocaţi care cunosc dosarul, apreciază că nici această condiţie esenţială pentru promovarea acţiunii nu este îndeplinită, motiv pentru care solicită admiterea excepţiei şi respingerea acţiunii şi cu această motivare.</w:t>
      </w:r>
    </w:p>
    <w:p w:rsidR="004E73E2" w14:paraId="531F63C9" w14:textId="56728ABC">
      <w:pPr>
        <w:ind w:firstLine="720"/>
        <w:jc w:val="both"/>
      </w:pPr>
      <w:r>
        <w:t xml:space="preserve">Reprezentantul reclamantei, referitor la excepţiile lipsei calităţii procesuale active a reclamantei şi lipsei de interes a reclamantei, arată că statutul asociaţiei nu se limitează la </w:t>
      </w:r>
      <w:r w:rsidR="004E4770">
        <w:t xml:space="preserve">           </w:t>
      </w:r>
      <w:r>
        <w:t xml:space="preserve">. Astfel, în scop scrie dezvoltarea urbanistică a </w:t>
      </w:r>
      <w:r w:rsidR="004E4770">
        <w:t xml:space="preserve">           </w:t>
      </w:r>
      <w:r>
        <w:t xml:space="preserve">ului şi a localităţilor din România, în obiective se menţionează: „(2) păstrarea patrimoniului arhitectural-urbanistic şi istoric al </w:t>
      </w:r>
      <w:r w:rsidR="004E4770">
        <w:t xml:space="preserve">           </w:t>
      </w:r>
      <w:r>
        <w:t xml:space="preserve">ului şi al localităţilor din România”, şi în acţiuni se prevede: „(7) atacarea în instanţă a deciziilor ilegale ale autorităţilor locale şi centrale în probleme ce ţin de domeniile arhitecturii şi urbanismului, al protecţiei monumentelor (…)”, deci asociaţia nu este limitată numai la municipiul </w:t>
      </w:r>
      <w:r w:rsidR="004E4770">
        <w:t xml:space="preserve">           </w:t>
      </w:r>
      <w:r>
        <w:t xml:space="preserve">. Menţionează că sunt două temeiuri care privesc calitatea procesuală activă şi interesul. În primul rând, Legea contenciosului administrativ asimilează în categoria persoanei vătămate şi organismele sociale interesate în chestiuni ce ţin de domeniul lor de activitate şi aşa cum s-a arătat, este cazul în speţă. Există o aparentă contradicţie între definiţia persoanei vătămate din art. 2 alin. 1 şi art. 8 alin. 1^1  invocat în întâmpinare ca spune că persoanele fizice şi persoanele juridice nu pot invoca un interes public decât în subsidiarul unui interes privat, însă între aceste două prevederi din aceeaşi lege prevalează, în mod evident, prevederea cu caracter special, aceea care se referă la organismele sociale interesate, şi ele fiind de două tipuri, în esenţă, cele care se ocupă de vătămarea unui interes public, cum este asociaţia, şi sindicatele, care sunt o altă chestiune. În fine, al doilea temei este reprezentat de legislaţia specială cu privire la protecţia mediului care, pe de o parte, conferă ONG-urilor de mediu calitate procesuală şi interes în litigii de mediu, şi, pe de altă parte, circumscriu chestiunea protejării patrimoniului în chestiunea mai largă a protecţiei mediului. Din cauza timpului foarte scurt nu a putut aduce o decizie a Înaltei Curţi de Casaţie şi Justiţie care se pronunţă asupra acestei chestiuni, dar toate definiţiile mediului din OUG 195/2005 până la cele mai operaţionale din HG nr. 445/2009 şi cele care privesc acordul şi avizul de mediu se </w:t>
      </w:r>
      <w:r>
        <w:t xml:space="preserve">referă inclusiv la valori viitoare care fac parte din chestiunea mai largă a mediului. În fine, ca practică judiciară, din cauza timpului scurt, nu a putut veni cu putere de lucru judecat, există cel puţin 150 de litigii în care, pe chestiuni de protejarea patrimoniului instanţele au acordat calitate procesuală şi interes ASOCIAŢIEI </w:t>
      </w:r>
      <w:r w:rsidR="004E4770">
        <w:t xml:space="preserve">2 </w:t>
      </w:r>
      <w:r>
        <w:t xml:space="preserve">, ar fi fost putere de lucru judecat dacă ar fi probat, dintre acestea fiind 6 sau 7 în care reclamanta, singură sau cu alte ONG-uri, au atacat acte care vizau </w:t>
      </w:r>
      <w:r w:rsidR="00296C4E">
        <w:t xml:space="preserve"> </w:t>
      </w:r>
      <w:r>
        <w:t xml:space="preserve">, respectiv Plan Urbanistic Zonal, Plan Urbanistic General şi certificatul de descărcare arheologică pentru masivul </w:t>
      </w:r>
      <w:r w:rsidR="00C71F66">
        <w:t>................</w:t>
      </w:r>
      <w:r>
        <w:t>.</w:t>
      </w:r>
    </w:p>
    <w:p w:rsidR="004E73E2" w14:paraId="764409B5" w14:textId="50BAC814">
      <w:pPr>
        <w:ind w:firstLine="720"/>
        <w:jc w:val="both"/>
      </w:pPr>
      <w:r>
        <w:t xml:space="preserve">Apărătorul pârâţilor, în replică la susţinerile reprezentantului reclamantei, precizează că s-a spus că reclamanta nu are calitate procesuală activă şi nici interes să promoveze prezenta cerere, dat fiind faptul că reclamanta are, potrivit statutului şi actelor constitutive prerogative în a se referi, a se raporta, poate prin lucrări, prin acţiuni private, la patrimoniul care este protejat doar de către Ministerul Culturii prin intermediul Legii nr. 422/2001 privind protejarea monumentelor istorice, pe de o parte. Pe de altă parte, s-a spus că nu se pot referi la </w:t>
      </w:r>
      <w:r w:rsidR="00296C4E">
        <w:t xml:space="preserve">     </w:t>
      </w:r>
      <w:r>
        <w:t xml:space="preserve"> pentru că reclamanta nu poate avea acţiuni decât în ceea ce priveşte raza municipiului </w:t>
      </w:r>
      <w:r w:rsidR="004E4770">
        <w:t xml:space="preserve">           </w:t>
      </w:r>
      <w:r>
        <w:t>. Nu au o raţiune naţională pentru care s-au constituit.</w:t>
      </w:r>
    </w:p>
    <w:p w:rsidR="004E73E2" w14:paraId="2B354FFA" w14:textId="5A2283C2">
      <w:pPr>
        <w:ind w:firstLine="720"/>
        <w:jc w:val="both"/>
        <w:rPr>
          <w:rStyle w:val="Fontdeparagrafimplicit"/>
          <w:i/>
        </w:rPr>
      </w:pPr>
      <w:r>
        <w:rPr>
          <w:rStyle w:val="Fontdeparagrafimplicit"/>
          <w:b/>
          <w:i/>
          <w:u w:val="single"/>
        </w:rPr>
        <w:t>Instanţa respinge ca neîntemeiate cele două excepţii, respectiv excepţia lipsei calităţii procesuale active a reclamantei şi excepţia lipsei de interes a reclamantei</w:t>
      </w:r>
      <w:r>
        <w:rPr>
          <w:rStyle w:val="Fontdeparagrafimplicit"/>
          <w:i/>
        </w:rPr>
        <w:t xml:space="preserve">, întrucât, potrivit obiectivelor Statutului asociaţiei cu nr. </w:t>
      </w:r>
      <w:r w:rsidR="00296C4E">
        <w:rPr>
          <w:rStyle w:val="Fontdeparagrafimplicit"/>
          <w:i/>
        </w:rPr>
        <w:t xml:space="preserve">       </w:t>
      </w:r>
      <w:r>
        <w:rPr>
          <w:rStyle w:val="Fontdeparagrafimplicit"/>
          <w:i/>
        </w:rPr>
        <w:t xml:space="preserve">/19.12.2007, atestat la acea dată de către avocatul </w:t>
      </w:r>
      <w:r w:rsidR="00296C4E">
        <w:rPr>
          <w:rStyle w:val="Fontdeparagrafimplicit"/>
          <w:i/>
        </w:rPr>
        <w:t xml:space="preserve">      </w:t>
      </w:r>
      <w:r>
        <w:rPr>
          <w:rStyle w:val="Fontdeparagrafimplicit"/>
          <w:i/>
        </w:rPr>
        <w:t xml:space="preserve">, potrivit art. 2 alin. (1) şi (2) din acest statut, referitor la scopul, obiectivele şi activităţile asociaţiei, rezultă că ASOCIAŢIA </w:t>
      </w:r>
      <w:r w:rsidR="004E4770">
        <w:rPr>
          <w:rStyle w:val="Fontdeparagrafimplicit"/>
          <w:i/>
        </w:rPr>
        <w:t xml:space="preserve">2 </w:t>
      </w:r>
      <w:r>
        <w:rPr>
          <w:rStyle w:val="Fontdeparagrafimplicit"/>
          <w:i/>
        </w:rPr>
        <w:t xml:space="preserve"> are drept obiective: </w:t>
      </w:r>
    </w:p>
    <w:p w:rsidR="004E73E2" w14:paraId="374A00F6" w14:textId="2FC10560">
      <w:pPr>
        <w:ind w:firstLine="720"/>
        <w:jc w:val="both"/>
        <w:rPr>
          <w:rStyle w:val="Fontdeparagrafimplicit"/>
          <w:i/>
        </w:rPr>
      </w:pPr>
      <w:r>
        <w:rPr>
          <w:rStyle w:val="Fontdeparagrafimplicit"/>
          <w:i/>
        </w:rPr>
        <w:t xml:space="preserve">„(1) dezvoltarea durabilă şi armonioasă a </w:t>
      </w:r>
      <w:r w:rsidR="004E4770">
        <w:rPr>
          <w:rStyle w:val="Fontdeparagrafimplicit"/>
          <w:i/>
        </w:rPr>
        <w:t xml:space="preserve">           </w:t>
      </w:r>
      <w:r w:rsidR="00296C4E">
        <w:rPr>
          <w:rStyle w:val="Fontdeparagrafimplicit"/>
          <w:i/>
        </w:rPr>
        <w:t xml:space="preserve"> </w:t>
      </w:r>
      <w:r>
        <w:rPr>
          <w:rStyle w:val="Fontdeparagrafimplicit"/>
          <w:i/>
        </w:rPr>
        <w:t xml:space="preserve"> şi a localităţilor din România</w:t>
      </w:r>
    </w:p>
    <w:p w:rsidR="004E73E2" w14:paraId="2D13C0B9" w14:textId="6520C45F">
      <w:pPr>
        <w:ind w:firstLine="720"/>
        <w:jc w:val="both"/>
        <w:rPr>
          <w:rStyle w:val="Fontdeparagrafimplicit"/>
          <w:i/>
        </w:rPr>
      </w:pPr>
      <w:r>
        <w:rPr>
          <w:rStyle w:val="Fontdeparagrafimplicit"/>
          <w:i/>
        </w:rPr>
        <w:t xml:space="preserve">  (2) păstrarea patrimoniului arhitectural-urbanistic şi istoric al </w:t>
      </w:r>
      <w:r w:rsidR="004E4770">
        <w:rPr>
          <w:rStyle w:val="Fontdeparagrafimplicit"/>
          <w:i/>
        </w:rPr>
        <w:t xml:space="preserve">           </w:t>
      </w:r>
      <w:r>
        <w:rPr>
          <w:rStyle w:val="Fontdeparagrafimplicit"/>
          <w:i/>
        </w:rPr>
        <w:t>ului şi al localităţilor din România”.</w:t>
      </w:r>
    </w:p>
    <w:p w:rsidR="004E73E2" w14:paraId="69D54D80" w14:textId="77777777">
      <w:pPr>
        <w:ind w:firstLine="720"/>
        <w:jc w:val="both"/>
        <w:rPr>
          <w:rStyle w:val="Fontdeparagrafimplicit"/>
          <w:i/>
        </w:rPr>
      </w:pPr>
      <w:r>
        <w:rPr>
          <w:rStyle w:val="Fontdeparagrafimplicit"/>
          <w:i/>
        </w:rPr>
        <w:t xml:space="preserve">Pe de o parte, potrivit dispoziţiilor art. 1 alin. (2) din Legea nr. 554/2004: „[s]e poate adresa instanţei de contencios administrativ şi persoana vătămată într-un drept al său sau într-un interes legitim printr-un act administrativ cu caracter individual, adresat altui subiect de drept.”. </w:t>
      </w:r>
    </w:p>
    <w:p w:rsidR="004E73E2" w14:paraId="370B0E9A" w14:textId="77777777">
      <w:pPr>
        <w:ind w:firstLine="720"/>
        <w:jc w:val="both"/>
        <w:rPr>
          <w:rStyle w:val="Fontdeparagrafimplicit"/>
          <w:i/>
        </w:rPr>
      </w:pPr>
      <w:r>
        <w:rPr>
          <w:rStyle w:val="Fontdeparagrafimplicit"/>
          <w:i/>
        </w:rPr>
        <w:t xml:space="preserve">Pe de altă parte, art. 2 alin. (1) lit. a) din Legea nr. 554/2004: „persoană vătămată - orice persoană titulară a unui drept ori a unui interes legitim, vătămată de o autoritate publică printr-un act administrativ sau prin nesoluţionarea în termenul legal a unei cereri; în sensul prezentei legi, sunt asimilate persoanei vătămate şi grupul de persoane fizice, fără personalitate juridică, titular al unor drepturi subiective sau interese legitime private, precum şi organismele sociale care invocă vătămarea prin actul administrativ atacat fie a unui interes legitim public, fie a drepturilor şi intereselor legitime ale unor persoane fizice determinate”. </w:t>
      </w:r>
    </w:p>
    <w:p w:rsidR="004E73E2" w14:paraId="3E3C0163" w14:textId="71B91E43">
      <w:pPr>
        <w:ind w:firstLine="720"/>
        <w:jc w:val="both"/>
        <w:rPr>
          <w:rStyle w:val="Fontdeparagrafimplicit"/>
          <w:i/>
        </w:rPr>
      </w:pPr>
      <w:r>
        <w:rPr>
          <w:rStyle w:val="Fontdeparagrafimplicit"/>
          <w:i/>
        </w:rPr>
        <w:t xml:space="preserve">Organismele social interesate la care s-a făcut referire anterior, definite potrivit dispoziţiilor art. 2 alin. (1) lit. s) din Legea nr. 554/2004 sunt de mai multe tipuri: „structuri neguvernamentale, sindicate, asociaţii, (…)”, deci ASOCIAŢIA </w:t>
      </w:r>
      <w:r w:rsidR="004E4770">
        <w:rPr>
          <w:rStyle w:val="Fontdeparagrafimplicit"/>
          <w:i/>
        </w:rPr>
        <w:t xml:space="preserve">2 </w:t>
      </w:r>
      <w:r>
        <w:rPr>
          <w:rStyle w:val="Fontdeparagrafimplicit"/>
          <w:i/>
        </w:rPr>
        <w:t xml:space="preserve"> intră în domeniul de aplicare subiectiv al acestui text legal. De altfel, este o persoană de drept privat şi drepturile, libertăţile şi interesele sale legitime sunt în strânsă legătură cu obiectul de activitate al acestei asociaţii. De altfel, decurge şi din prevederile art. 102 alin. (2) din Constituţia României fundamentul implicării organismelor sociale interesate în actul de guvernare şi administrativ sau în controlul acestuia. Prin urmare, pentru aceste motive se resping cele două excepţii invocate.</w:t>
      </w:r>
    </w:p>
    <w:p w:rsidR="004E73E2" w14:paraId="1F0E0BD5" w14:textId="4F0597DD">
      <w:pPr>
        <w:ind w:firstLine="720"/>
        <w:jc w:val="both"/>
      </w:pPr>
      <w:r>
        <w:t xml:space="preserve">Cu privire la excepţia inadmisibilităţii acţiunii, apărătorul pârâţilor menţionează că, aşa cum s-a motivat şi prin întâmpinarea depusă la dosar, atâta vreme cât la dosar nu s-a depus de către partea reclamantă un act administrativ de autoritate, aşa cum s-a spus şi este definit de Legea contenciosului administrativ care să producă efecte juridice şi, câtă vreme avem la dosar doar o adresă, o corespondenţă interministerială, apreciază că instanţa de contencios administrativ nu se poate pronunţa asupra legalităţii unei adrese, pentru că are o competenţă stabilită de către legiuitor foarte clară, şi anume aceea de a verifica legalitatea actelor administrative de autoritate cu caracter individual sau general sau de a constata un refuz nejustificat al unei autorităţi de a soluţiona o cerere. Prin urmare, câtă vreme la dosar nu avem un act administrativ de autoritate, apreciază că nici măcar nu se poate vorbi despre un </w:t>
      </w:r>
      <w:r>
        <w:t xml:space="preserve">cadru procesual corect stabilit pentru că lipseşte din cauză obiectul acţiunii, neexistând act administrativ. Elementele esenţiale ale cererii de chemare în judecată sunt: părţi, obiect, cauză. Nu există obiectul în această cauză. Există doar o adresă interministerială. Din această perspectivă, instanţa urmează să constate că cererea este inadmisibilă, pentru că nu există obiectul cauzei, nu există actul administrativ de autoritate care angajează competenţa instanţei de a verifica legalitatea emiterii acestui act: dacă actul a emanat de la instituţia competentă, dacă a fost emis pentru organizarea executării în concret a legii, dacă a întrunit condiţiile de oportunitate, dacă a întrunit condiţiile de legalitate, dacă are menţionate elementele de autenticitate pe acest act. Ori, în ipoteza în care în dosar nu există decât o corespondenţă interministerială care nu naşte efecte juridice, nu modifică efecte juridice, nu stinge efecte juridice, aşa cum s-a învederat, în opinia sa, această cerere nu poate decât să fie respinsă ca inadmisibilă din perspectiva Legii contenciosului administrativ. Ceea ce reclamanta a afirmat în mod greşit este că ministerul nu a emis nicio decizie opozabilă comitetului patrimonial mondial al UNESCO, având ca obiect suspendarea procedurii de includere a sitului </w:t>
      </w:r>
      <w:r w:rsidR="00296C4E">
        <w:t xml:space="preserve">           </w:t>
      </w:r>
      <w:r>
        <w:t xml:space="preserve"> în lista UNESCO. Nu s-a schimbat cu nimic, prin această corespondenţă, statutul protejat de statul român. În mod constant, dinainte de regimul instalat după decembrie 1989, nu s-a schimbat cu nimic acest statut, prin această corespondenţă. Situl rămâne în continuare protejat şi în continuare în atenţia statului român. Corespondenţa de faţă a fost emisă de minister în cadrul strategiei de apărare a statului român care este concepută de avocaţii aleşi de statul român pentru a-şi apăra drepturile şi interesele legate de </w:t>
      </w:r>
      <w:r w:rsidR="00296C4E">
        <w:t xml:space="preserve">           </w:t>
      </w:r>
      <w:r>
        <w:t xml:space="preserve"> în faţa Tribunalului Arbitral. Pentru ca acest dosar să poată fi soluţionat în favoarea României, s-a emis o corespondenţă menită să ţină pasul cu dosarul care se judecă în faţa Tribunalului Arbitral. A li se permite unor asociaţii, care îşi depăşesc atribuţiile  pentru care au fost recunoscute şi înscrise în registrul instanţelor privind asociaţiile şi fundaţiile, să intervină în strategia de apărare a statului român care este concepută în raport cu toţi factorii care trebuie să ducă la protejarea, în continuare, a sitului, i se pare că se vorbeşte despre o enormitate, pentru că aici avem de a face cu tehnicităţi care, pe de o parte, vizează regimul protejat al sitului în România care este cert, este stabilit, şi a fost dovedit în faţa Tribunalului Arbitral, pe de o parte. Pe de altă parte, avem de a face cu imixtiunea unor asociaţii care nu cunosc speţa. Or, să vină aceste asociaţii şi să pretindă că pârâţii au emis un act administrativ de autoritate când acesta nu există, care vine să stopeze includerea sitului în patrimoniul UNESCO, apreciază că nu se poate admite aşa ceva de către o instanţă. Mai ales atâta vreme cât aceste asociaţii nu pot să-şi urmărească sau să-şi atingă scopurile substituindu-se autorităţilor îndrituite doar de legiuitor să facă astfel de protejare a patrimoniului cultural naţional. Situl este protejat din punctul de vedere al Legii nr. 422/2001, protejat din punctul de vedere al legilor statului român. Arată că există o strategie de apărare pe care o promovează şi o susţine şi care strategie de apărare nu poate fi, în nici un caz, şi nu trebuie să li se permită unor asociaţii care nu cunosc dosarul să zădărnicească apărarea statului român. Reclamanta se bazează pe simple percepţii, simple curente de opinie pe care încearcă să le promoveze, împietând asupra unui act de apărare asupra căruia statul român chiar se străduieşte. Este o cauză extrem de importantă şi care, o asemenea acţiune admisă, poate crea probleme majore în actul de apărare pe care pârâţii îl susţin şi îl promovează. Solicită admiterea excepţiei inadmisibilităţii promovată în raport cu condiţiile pur tehnice ale Legii contenciosului administrativ, urmând a se reţine că în cauză nu există un act administrativ de autoritate unilateral şi, cu atât mai puţin, unul cu caracter general, să se reţină că situl este protejat, că nu există la dosar nicio probă adusă de către reclamantă din care să reiasă că printr-o corespondenţă se afectează protejarea sitului. Solicită să se reţină, de asemenea, că aşa cum s-a arătat şi s-a probat, există pe rolul Tribunalului Arbitral un dosar care se judecă potrivit procedurilor de acolo pe care asociaţia reclamantă nu le cunoaşte, că există o strategie de apărare concepută în raport cu exigenţele de acolo şi că nu îşi pot permite ca nişte asociaţii care se substituie şi vin pe lângă ministere şi de la care îşi extrag divizibilitatea, să vină şi să zădărnicească apărarea statului român. Apreciază că este o acţiune revoltătoare pentru că nu se poate imputa unui stat care se străduieşte să înlăture pretenţii aberante. Reclamanta nu are nicio probă din care să reiasă că apărarea statului român este viciată de această adresă. Prin urmare, atâta timp cât nu au act administrativ de autoritate, </w:t>
      </w:r>
      <w:r>
        <w:t>nu au nici un fel de calitate de a se referi la apărarea statului român promovată în raport cu litigiul arbitral, apreciază că instanţa trebuie să constate lipsa tuturor acestor elemente esenţiale care îi angajează competenţa.</w:t>
      </w:r>
    </w:p>
    <w:p w:rsidR="004E73E2" w14:paraId="78E8AE30" w14:textId="77777777">
      <w:pPr>
        <w:ind w:firstLine="720"/>
        <w:jc w:val="both"/>
      </w:pPr>
      <w:r>
        <w:t xml:space="preserve">Instanţa de judecată interpelează apărătorul pârâţilor care este miza amânării includerii în Lista UNESCO a sitului in cauză, din moment ce a susţinut anterior că nu aduce nicio protecţie sporită includerea în această listă, din moment ce situl este protejat deja de legea română. </w:t>
      </w:r>
    </w:p>
    <w:p w:rsidR="004E73E2" w14:paraId="116F500A" w14:textId="77777777">
      <w:pPr>
        <w:ind w:firstLine="720"/>
        <w:jc w:val="both"/>
      </w:pPr>
      <w:r>
        <w:t xml:space="preserve">Reprezentantul pârâţilor precizează că nu poate da relaţii din dosarul arbitral pentru că nu este avocat angajat în acel dosar şi aceasta ţine de strategia apărării din dosarul arbitral. </w:t>
      </w:r>
    </w:p>
    <w:p w:rsidR="004E73E2" w14:paraId="765E58FC" w14:textId="012A709C">
      <w:pPr>
        <w:ind w:firstLine="720"/>
        <w:jc w:val="both"/>
      </w:pPr>
      <w:r>
        <w:t xml:space="preserve">Apărătorul pârâţilor arată că legătura dintre dosarul arbitral şi amânarea includerii în listă se analizează, studiază şi probează în acel dosar de către avocaţii aleşi, angajaţi de către minister pentru a reprezenta interesele statului român. Atâta vreme cât părţile din prezentul litigiu nu cunosc cum anume se desfăşoară litigiul arbitral, nu se poate face atâta ecou pe marginea unei corespondenţe care, din punctul de vedere al asociaţiei reclamante, ar zădărnici protejarea sitului </w:t>
      </w:r>
      <w:r w:rsidR="00296C4E">
        <w:t xml:space="preserve">           </w:t>
      </w:r>
      <w:r>
        <w:t xml:space="preserve">. Rolul patrimoniului UNESCO are rolul de a face cunoscut în toată lumea importanţa culturală a </w:t>
      </w:r>
      <w:r w:rsidR="00296C4E">
        <w:t xml:space="preserve">           </w:t>
      </w:r>
      <w:r>
        <w:t xml:space="preserve">. </w:t>
      </w:r>
    </w:p>
    <w:p w:rsidR="004E73E2" w14:paraId="1C88B515" w14:textId="799F6359">
      <w:pPr>
        <w:jc w:val="both"/>
      </w:pPr>
      <w:r>
        <w:tab/>
        <w:t xml:space="preserve">Interpelat fiind de către instanţa de judecată de ce este necesar să se amâne includerea în patrimoniul UNESCO, apărătorul pârâţilor precizează că avocaţii care reprezintă pe pârâţi au conceput o strategie de apărare în raport cu procedurile din faţa Tribunalului Arbitral. Mai mult nu se poate referi, pentru că nu este mandatată în acest sens. Dânşii spun că trebuie să probeze în faţa Tribunalului Arbitral faptul că toate acţiunile statului român care au vizat şi au şi realizat protejarea sitului au fost făcute în conformitate strictă cu dispoziţiile legii naţionale. Partea reclamantă impută pârâţilor faptul că toţi paşii pe care pârâţii îi fac în sensul protejării vin să le zădărnicească lor interesele comerciale. În timpul litigiului care se desfăşoară, s-a apreciat în cadrul strategiei de apărare că urmează ca pârâţii să facă dovezi clare că nu încearcă să zădărnicească interesele lor comerciale şi că doar aplică, conform legii, dispoziţiile care vizează protejarea sitului. Iar, aşa cum s-a arătat, includerea, astăzi sau mai târziu în patrimoniul UNESCO nu înseamnă că </w:t>
      </w:r>
      <w:r w:rsidR="00296C4E">
        <w:t xml:space="preserve">           </w:t>
      </w:r>
      <w:r>
        <w:t xml:space="preserve"> nu mai este protejată. Înseamnă, dimpotrivă, că </w:t>
      </w:r>
      <w:r w:rsidR="00296C4E">
        <w:t xml:space="preserve">           </w:t>
      </w:r>
      <w:r>
        <w:t xml:space="preserve"> trebuie să rămână protejată. Pârâţii se apără în faţa unui adversar care impută neseriozitatea în acţiunile lor. Pe de o parte, susţin că li s-a acordat licenţă de exploatare, ceea ce nu este adevărat, nu li s-a dat nici un fel de aviz, iar pe de altă parte, susţin că, în continuare, se fac acte care să le zădărnicească lor exploatarea. Atunci, dacă Tribunalul Arbitral vede că, aşa cum spune reclamanta, pârâţii emit măsuri care să le anuleze lor interesele comerciale, un asemenea ecou nu-i poate ajuta pe pârâţi în apărare. De aceea se solicită a se constata că situl este protejat conform legii şi că această corespondenţă nu afectează cu nimic protecţia acestui sit. </w:t>
      </w:r>
    </w:p>
    <w:p w:rsidR="004E73E2" w14:paraId="4397B215" w14:textId="77777777">
      <w:pPr>
        <w:ind w:firstLine="720"/>
        <w:jc w:val="both"/>
      </w:pPr>
      <w:r>
        <w:t>La cererea instanţei de judecată de a menţiona care au fost rezultatele demersurilor pe care le-a făcut MINISTERUL CULTURII ŞI IDENTITĂŢII NAŢIONALE către MINISTERUL AFACERILOR EXTERNE, dacă MINISTERUL AFACERILOR EXTERNE a emis vreun act în acest sens, apărătorul pârâţilor precizează că nu are mandat să răspundă pe un asemenea subiect, mandatul său limitându-se la a apăra pârâţii în această cauză, strict în legătură cu corespondenţa pe care o contestă asociaţia reclamantă.</w:t>
      </w:r>
    </w:p>
    <w:p w:rsidR="004E73E2" w14:paraId="2D97A619" w14:textId="72129268">
      <w:pPr>
        <w:ind w:firstLine="720"/>
        <w:jc w:val="both"/>
      </w:pPr>
      <w:r>
        <w:t xml:space="preserve">Reprezentantul reclamantei, cu titlu prealabil, depune la dosar concluzii scrise, pentru situaţia în care instanţa de judecată se va pronunţa în şedinţă publică. Pe acest aspect, se va referi la o decizie a Înaltei Curţi de Casaţie şi Justiţie pe o chestiune similară, argumentul pe care îl invocă fiind la pagina 7 a deciziei. În primul rând, cu privire la ultima întrebare pe care instanţa de judecată a pus-o către reprezentanta ministerului, arată că instanţa a dispus ca ministerul să depună la dosarul cauzei acel act pe care l-au formulat care să ducă la suspendarea procedurii de clasare în lista UNESCO, pârâţii l-au depus deci, în cadrul acestui litigiu, nu trebuie decât să rezumăm că singurul act emis de Ministerul Culturii în această chestiune este acela pe care l-au depus şi pe care reclamanta l-a indicat. Dacă ar exista un alt act al pârâţilor, aceştia ar trebui să-l depună ca fiind actul administrativ care produce, cu adevărat, efecte juridice în această chestiune. Chestiunea pe care o spune partea adversă este ca instanţa de judecată să decidă dacă actul în cauză este sau nu este act administrativ. Adică </w:t>
      </w:r>
      <w:r>
        <w:t xml:space="preserve">dacă este un act administrativ sau o operaţiune administrativă. Sunt două argumente pentru care se susţine că actul în cauză este un act administrativ. În primul rând, reclamanta susţine că acesta este actul statului român pe care Ministerul de Externe nu a făcut decât să-l trimită Comitetului Mondial UNESCO. Argumentele pentru acest fapt sunt două. În primul rând, conţinutul său, Ministerul Culturii solicitând transmiterea către Secretariatul General al acestui act, se referă la solicitarea statului român, pe care el deja o formulează, subînţelegându-se că statul român, prin ministrul culturii, cel care a făcut oficiul de a începe procedura de înscriere în lista UNESCO, se adresează Comitetului Patrimoniului Mondial. În cuprinsul actului, se spune: „reiteram solicitarea fermă de amânare a luării unei decizii în acest sens”. Ministerul Culturii este cel care, în numele statului român, face această solicitare. În al doilea rând, există declaraţia publică a ambasadorului statului român la UNESCO, </w:t>
      </w:r>
      <w:r w:rsidR="00296C4E">
        <w:t xml:space="preserve">           </w:t>
      </w:r>
      <w:r>
        <w:t>, care spune că: „(…) Instrucţiunea pe care am primit-o de la Ministerul Culturii, prin intermediul Ministerului de Externe, a fost, pe de o parte, stoparea evaluării la nivelul (…)”, deci ambasadorul la UNESCO afirma că ministrul culturii a transmis, prin intermediul Ministerului de Externe, că se transmite Comitetului Mondial UNESCO stoparea procedurii. Şi Ministerul de Externe şi delegaţia permanentă a României la UNESCO nu au făcut decât să transmită o solicitare pe care statul român a făcut-o prin ministrul culturii. În subsidiar, ideal ar fi fost, însă timpul nu permite, să existe acel act al Ministerului de Externe sau al delegatului să se vadă ce scrie în el. dar, în ipoteza în care instanţa de judecată va considera că nu acesta, ci un alt act este actul final care produce efecte juridice, face trimitere la o decizie a ÎCCJ care se pronunţă pe o chestiune similară. În respectiva decizie, ÎCCJ face o clarificare, arătând că pentru situaţia în care există un act final şi un act anterior, când acel act anterior este operaţiune şi când actul acela anterior este act administrativ, astfel: dacă actul anterior avizează favorabil o soluţie deja formulată, atunci este operaţiune, adică cineva a formulat-o, i-a dat conţinut juridic şi autoritatea a avizat, dacă, însă, actul anterior formulează, el însuşi, soluţia, cum ne aflăm în cazul de faţă, adică ministerul culturii nu a cerut găsirea unei soluţii, ci a spus: „reiteram solicitarea fermă de amânare a luării unei decizii în acest sens”. Deci, când soluţia juridică este deja formulată, acel act reprezintă act administrativ, situaţia la care se referă decizia ÎCCJ fiind situaţia unui aviz al Ministerului Culturii faţă de o autorizaţie şi avizul faţă de 3 soluţii pe care studiul istoric le propunea, decidea pentru una dintre aceste soluţii. Situaţia este absolut similară, actul ulterior, cel care a fost actul final, nu a făcut decât să redea soluţia juridică pe care actul anterior a formulat-o deja. Pentru aceste motive solicită respingerea excepţiei inadmisibilităţii şi să se reţină faptul că actul în cauză este act administrativ. Pe chestiunea cum produce actul efecte şi cum ar produce efecte o eventuală soluţie de suspendare a executării, arată că se va referi la excepţia lipsei de obiect.</w:t>
      </w:r>
    </w:p>
    <w:p w:rsidR="004E73E2" w14:paraId="2DCBD816" w14:textId="77777777">
      <w:pPr>
        <w:ind w:firstLine="720"/>
        <w:jc w:val="both"/>
      </w:pPr>
      <w:r>
        <w:t xml:space="preserve">Apărătorul pârâţilor, faţă de afirmaţiile reprezentantului reclamantei, apreciază că nu este voie să se îndepărteze de obiectul cauzei pe care instanţa de judecată o are de soluţionat, aşa cum a fost conceput de partea reclamantă şi că, totodată, trebuie respectat principiul disponibilităţii părţilor. Obiectul acestei cereri de chemare în judecată îl constituie suspendarea efectelor acestei corespondenţe pe care a făcut-o Ministerul Culturii cu Ministerul de Externe pentru a fi protejată şi pentru a fi materializată strategia de apărare a statului român, un proces deosebit de important, care strategie este concepută de avocaţi aleşi şi care strategie se concepe în raport cu legislaţia pe care nici una dintre părţile prezente nu o cunoaşte. Dacă se lipsesc de mandat avocaţii care au spus că o asemenea procedură vine să împieteze asupra litigiului, înseamnă că pârâţii sunt împiedicaţi să se apere. În adresa în speţă, Ministerul Culturii s-a adresat Ministerului Afacerilor Externe cu rugămintea ca, în considerarea faptului că există pe rol un dosar arbitral în care sunt părţi investitorii, pe de o parte, şi România, pe de altă parte, să se transmită Secretariatului Convenţiei Patrimoniului Mondial din cadrul UNESCO solicitarea statului român de a amâna decizia, nu de a o suspenda aşa cum afirmă, fără nici un fel de temei şi drept partea reclamantă. Se creează un curent fals de opinie. Mai jos, în adresă, se arată că s-a adresat solicitarea fermă pentru că trebuie să aibă grijă pentru că există pe rol un litigiu şi că apărarea sitului poate să fie grevată de un astfel de litigiu care s-ar putea naşte din continuarea unei proceduri care suportă amânare. Deci există o strategie de amânare care nu poate fi amânată printr-o asemenea </w:t>
      </w:r>
      <w:r>
        <w:t>acţiune. Există legi speciale. Trebuie făcută o paralelă între dispoziţiile pe care şi codul de procedură civilă român le cuprinde. Atunci când avem două litigii care pot să aibă legătură unele cu celelalte, ca să nu naştem contradicţii, ca să nu se zădărnicească şansele de câştigare a unuia dintre ele, instanţa de judecată suspendă un dosar pentru a vedea dacă există sau nu un drept într-un alt dosar, sau instanţa prorogă soluţionarea unei chestiuni incidente până când se vede dacă există sau nu un drept într-un alt dosar. Aceasta se petrece şi în legislaţia noastră procesuală.</w:t>
      </w:r>
    </w:p>
    <w:p w:rsidR="004E73E2" w14:paraId="002D9704" w14:textId="77777777">
      <w:pPr>
        <w:ind w:firstLine="720"/>
        <w:jc w:val="both"/>
      </w:pPr>
      <w:r>
        <w:t>Reprezentantul reclamantei apreciază că se pun într-una concluzii pe fondul cauzei, când se discută o excepţie a inadmisibilităţii acţiunii.</w:t>
      </w:r>
    </w:p>
    <w:p w:rsidR="004E73E2" w14:paraId="700731D1" w14:textId="77777777">
      <w:pPr>
        <w:ind w:firstLine="720"/>
        <w:jc w:val="both"/>
      </w:pPr>
      <w:r>
        <w:t>Curtea reţine cauza în pronunţare asupra excepţiei inadmisibilităţii acţiunii, arătând că, dacă este cazul părţile vor fi citate pentru un termen de judecată scurt pentru soluţionarea, în continuare, a cauzei.</w:t>
      </w:r>
    </w:p>
    <w:p w:rsidR="004E73E2" w14:paraId="5F0F1610" w14:textId="77777777">
      <w:pPr>
        <w:ind w:firstLine="720"/>
        <w:jc w:val="both"/>
      </w:pPr>
      <w:r>
        <w:t>Apărătorul pârâţilor solicită amânarea pronunţării în speţă pentru a depune la dosar şi note scrise.</w:t>
      </w:r>
    </w:p>
    <w:p w:rsidR="004E73E2" w14:paraId="60CE44B1" w14:textId="77777777">
      <w:pPr>
        <w:ind w:firstLine="720"/>
        <w:jc w:val="both"/>
      </w:pPr>
      <w:r>
        <w:t>Curtea acordă posibilitatea părţilor de a depune concluzii scrise într-un termen de 2 ore.</w:t>
      </w:r>
    </w:p>
    <w:p w:rsidR="004E73E2" w14:paraId="642E352E" w14:textId="77777777">
      <w:pPr>
        <w:ind w:firstLine="720"/>
        <w:jc w:val="both"/>
      </w:pPr>
      <w:r>
        <w:t>Apărătorul pârâţilor precizează că nu are posibilitatea de a redacta concluziile scrise în 2 ore.</w:t>
      </w:r>
    </w:p>
    <w:p w:rsidR="004E73E2" w14:paraId="5BBB21B7" w14:textId="77777777">
      <w:pPr>
        <w:ind w:firstLine="720"/>
        <w:jc w:val="both"/>
      </w:pPr>
      <w:r>
        <w:t>Curtea reţine cauza în pronunţare asupra excepţiei inadmisibilităţii acţiunii.</w:t>
      </w:r>
    </w:p>
    <w:p w:rsidR="004E73E2" w14:paraId="35095AEC" w14:textId="77777777">
      <w:pPr>
        <w:ind w:firstLine="720"/>
        <w:jc w:val="both"/>
      </w:pPr>
    </w:p>
    <w:p w:rsidR="004E73E2" w14:paraId="42F1E9B9" w14:textId="77777777">
      <w:pPr>
        <w:jc w:val="center"/>
        <w:rPr>
          <w:rStyle w:val="Fontdeparagrafimplicit"/>
          <w:b/>
        </w:rPr>
      </w:pPr>
      <w:r>
        <w:rPr>
          <w:rStyle w:val="Fontdeparagrafimplicit"/>
          <w:b/>
        </w:rPr>
        <w:t>Curtea,</w:t>
      </w:r>
    </w:p>
    <w:p w:rsidR="004E73E2" w14:paraId="55A03DD1" w14:textId="77777777">
      <w:pPr>
        <w:rPr>
          <w:rStyle w:val="Fontdeparagrafimplicit"/>
          <w:b/>
        </w:rPr>
      </w:pPr>
    </w:p>
    <w:p w:rsidR="004E73E2" w14:paraId="7F704C12" w14:textId="77777777">
      <w:pPr>
        <w:ind w:firstLine="705"/>
        <w:jc w:val="both"/>
      </w:pPr>
      <w:r>
        <w:t>Deliberând asupra cauzei de faţă, constată următoarele:</w:t>
      </w:r>
    </w:p>
    <w:p w:rsidR="004E73E2" w14:paraId="122343E1" w14:textId="77777777">
      <w:pPr>
        <w:numPr>
          <w:ilvl w:val="0"/>
          <w:numId w:val="1"/>
        </w:numPr>
        <w:jc w:val="both"/>
        <w:rPr>
          <w:rStyle w:val="Fontdeparagrafimplicit"/>
        </w:rPr>
      </w:pPr>
      <w:r>
        <w:rPr>
          <w:rStyle w:val="Fontdeparagrafimplicit"/>
          <w:b/>
        </w:rPr>
        <w:t>Obiectul cererii de chemare în judecată</w:t>
      </w:r>
    </w:p>
    <w:p w:rsidR="004E73E2" w14:paraId="6DEFD398" w14:textId="5A8337C8">
      <w:pPr>
        <w:widowControl w:val="0"/>
        <w:tabs>
          <w:tab w:val="left" w:pos="8280"/>
        </w:tabs>
        <w:ind w:firstLine="720"/>
        <w:jc w:val="both"/>
      </w:pPr>
      <w:r>
        <w:t xml:space="preserve">Reclamanta Asociaţia </w:t>
      </w:r>
      <w:r w:rsidR="004E4770">
        <w:t xml:space="preserve">2 </w:t>
      </w:r>
      <w:r>
        <w:t xml:space="preserve">, înregistrată în Registrul Special al Asociaţiilor şi Fundaţiilor sub nr. </w:t>
      </w:r>
      <w:r w:rsidR="00296C4E">
        <w:t xml:space="preserve">       </w:t>
      </w:r>
      <w:r>
        <w:t xml:space="preserve">, pe baza Certificatului de inregistrare nr. </w:t>
      </w:r>
      <w:r w:rsidR="00296C4E">
        <w:t xml:space="preserve"> </w:t>
      </w:r>
      <w:r>
        <w:t xml:space="preserve"> emis de Judecătoria </w:t>
      </w:r>
      <w:r w:rsidR="00296C4E">
        <w:t xml:space="preserve">           </w:t>
      </w:r>
      <w:r>
        <w:t xml:space="preserve">, în contradictoriu cu Ministrul Culturii şi Identităţii Naţionale, a formulat, în temeiul art. 14 al Legii 554/2004 privind contenciosul administrativ, cerere de suspendare a executării actului administrativ – </w:t>
      </w:r>
      <w:r>
        <w:rPr>
          <w:rStyle w:val="Fontdeparagrafimplicit"/>
          <w:i/>
        </w:rPr>
        <w:t xml:space="preserve">decizia Ministrului Culturii, prin care solicita Comitetului Patrimoniului Mondial al UNESCO suspendarea procedurii de includere a sitului </w:t>
      </w:r>
      <w:r w:rsidR="00296C4E">
        <w:rPr>
          <w:rStyle w:val="Fontdeparagrafimplicit"/>
          <w:i/>
        </w:rPr>
        <w:t xml:space="preserve">           </w:t>
      </w:r>
      <w:r>
        <w:rPr>
          <w:rStyle w:val="Fontdeparagrafimplicit"/>
          <w:i/>
        </w:rPr>
        <w:t xml:space="preserve"> în lista UNESCO a patrimoniului cultural şi natural mondial</w:t>
      </w:r>
      <w:r>
        <w:t>, până la pronunţarea instanţei de fond in acţiunea de anulare a deciziei.</w:t>
      </w:r>
    </w:p>
    <w:p w:rsidR="004E73E2" w14:paraId="24956BA7" w14:textId="7378B3DC">
      <w:pPr>
        <w:widowControl w:val="0"/>
        <w:tabs>
          <w:tab w:val="left" w:pos="8280"/>
        </w:tabs>
        <w:ind w:firstLine="720"/>
        <w:jc w:val="both"/>
      </w:pPr>
      <w:r>
        <w:t xml:space="preserve">În esenţă, s-a arătat că, prin adresa din data de </w:t>
      </w:r>
      <w:r w:rsidR="00296C4E">
        <w:t xml:space="preserve">      </w:t>
      </w:r>
      <w:r>
        <w:t xml:space="preserve">, în temeiul prevederilor art. 25 alin. (2) din Legea nr. 422/2001 privind protejarea monumentelor istorice, Ministrul Culturii a solicitat Comitetului Patrimoniului Mondial al UNESCO includerea sitului </w:t>
      </w:r>
      <w:r w:rsidR="00296C4E">
        <w:t xml:space="preserve">           </w:t>
      </w:r>
      <w:r>
        <w:t xml:space="preserve"> în lista UNESCO a patrimoniului mondial, înaintând Comitetului dosarul ştiinţific Documentaţie de nominalizare a peisajului cultural </w:t>
      </w:r>
      <w:r w:rsidR="004304B2">
        <w:t xml:space="preserve">           </w:t>
      </w:r>
      <w:r>
        <w:t xml:space="preserve"> </w:t>
      </w:r>
      <w:r w:rsidR="00296C4E">
        <w:t xml:space="preserve">           </w:t>
      </w:r>
      <w:r>
        <w:t xml:space="preserve"> pentru înscriere în Lista Patrimoniului Mondial.</w:t>
      </w:r>
    </w:p>
    <w:p w:rsidR="004E73E2" w14:paraId="134F9BD8" w14:textId="05EE7926">
      <w:pPr>
        <w:widowControl w:val="0"/>
        <w:tabs>
          <w:tab w:val="left" w:pos="8280"/>
        </w:tabs>
        <w:ind w:firstLine="720"/>
        <w:jc w:val="both"/>
      </w:pPr>
      <w:r>
        <w:t xml:space="preserve">Conform procedurii Comitetului Patrimoniului Mondial al UNESCO, propunerea a fost analizata de Consiliul Internaţional al Monumentelor şi Siturilor (ICOMOS), care a formulat un raport de evaluare favorabil, recomandând ICOMOS recomanda ca peisajul </w:t>
      </w:r>
      <w:r w:rsidR="004304B2">
        <w:t xml:space="preserve">           </w:t>
      </w:r>
      <w:r>
        <w:t xml:space="preserve"> </w:t>
      </w:r>
      <w:r w:rsidR="00296C4E">
        <w:t xml:space="preserve">           </w:t>
      </w:r>
      <w:r>
        <w:t xml:space="preserve">, România sa fie inscris in Lista Patrimoniului Mondial, in baza criteriilor (ii) si (iv) si in acelaşi timp sa fie înscrisa in Lista Patrimoniului Mondial in Pericol. Proiectul de rezoluţie privind includerea sitului </w:t>
      </w:r>
      <w:r w:rsidR="00296C4E">
        <w:t xml:space="preserve">           </w:t>
      </w:r>
      <w:r>
        <w:t xml:space="preserve"> în lista UNESCO a fost inclus în documentele preliminarii ale celei de-a </w:t>
      </w:r>
      <w:r w:rsidR="00C71F66">
        <w:t xml:space="preserve">          </w:t>
      </w:r>
      <w:r>
        <w:t xml:space="preserve">-a sesiuni a Comitetului Patrimoniului Mondial al UNESCO, care va avea loc în perioada </w:t>
      </w:r>
      <w:r w:rsidR="00C71F66">
        <w:t xml:space="preserve">        </w:t>
      </w:r>
      <w:r>
        <w:t xml:space="preserve"> </w:t>
      </w:r>
      <w:r w:rsidR="00296C4E">
        <w:t xml:space="preserve"> </w:t>
      </w:r>
      <w:r>
        <w:t xml:space="preserve"> în </w:t>
      </w:r>
      <w:r w:rsidR="00296C4E">
        <w:t xml:space="preserve"> </w:t>
      </w:r>
      <w:r>
        <w:t>.</w:t>
      </w:r>
    </w:p>
    <w:p w:rsidR="004E73E2" w14:paraId="701A6D74" w14:textId="77777777">
      <w:pPr>
        <w:widowControl w:val="0"/>
        <w:tabs>
          <w:tab w:val="left" w:pos="8280"/>
        </w:tabs>
        <w:ind w:firstLine="720"/>
        <w:jc w:val="both"/>
      </w:pPr>
      <w:r>
        <w:t>Prin decizia pentru care solicită suspendarea executării in prezenta cauza, Ministrul Culturii a solicitat Comitetului Patrimoniului Mondial al UNESCO suspendarea procedurii de includere a sitului in lista UNESCO. Acest fapt rezulta din declaraţia publica a ambasadorului României la UNESCO.</w:t>
      </w:r>
    </w:p>
    <w:p w:rsidR="004E73E2" w14:paraId="40E5FFFD" w14:textId="77777777">
      <w:pPr>
        <w:widowControl w:val="0"/>
        <w:tabs>
          <w:tab w:val="left" w:pos="8280"/>
        </w:tabs>
        <w:ind w:firstLine="720"/>
        <w:jc w:val="both"/>
      </w:pPr>
      <w:r>
        <w:t>S-a precizat că sunt îndeplinite condiţiile privind suspendarea acestui act administrativ.</w:t>
      </w:r>
    </w:p>
    <w:p w:rsidR="004E73E2" w14:paraId="529A68B2" w14:textId="77777777">
      <w:pPr>
        <w:widowControl w:val="0"/>
        <w:tabs>
          <w:tab w:val="left" w:pos="8280"/>
        </w:tabs>
        <w:ind w:firstLine="720"/>
        <w:jc w:val="both"/>
      </w:pPr>
      <w:r>
        <w:t xml:space="preserve">Astfel, cu privire la condiţia cazului bine justificat, s-a arătat că actul reprezintă o modificare a solicitării iniţiale a Statului Roman, făcuta la propunerea Comisiei Naţionale a </w:t>
      </w:r>
      <w:r>
        <w:t>Monumentelor Istorice. Modificarea ar fi trebuit sa urmeze aceeaşi procedura cu cea iniţiala, pentru a reflecta întocmai voinţa juridica a Statului. Comisia Naţionala a Monumentelor Istorice, singurul organism legal competent in modificarea propunerii, nu a propus modificarea, nefiind nici măcar consultata</w:t>
      </w:r>
    </w:p>
    <w:p w:rsidR="004E73E2" w14:paraId="08AF6210" w14:textId="77777777">
      <w:pPr>
        <w:widowControl w:val="0"/>
        <w:tabs>
          <w:tab w:val="left" w:pos="8280"/>
        </w:tabs>
        <w:ind w:firstLine="720"/>
        <w:jc w:val="both"/>
      </w:pPr>
      <w:r>
        <w:t>Actul in cauza reprezintă o modificare a solicitării iniţiale a Statului Roman adresate Comitetului Patrimoniului Mondial al UNESCO.</w:t>
      </w:r>
    </w:p>
    <w:p w:rsidR="004E73E2" w14:paraId="4B51BAC8" w14:textId="77777777">
      <w:pPr>
        <w:widowControl w:val="0"/>
        <w:tabs>
          <w:tab w:val="left" w:pos="8280"/>
        </w:tabs>
        <w:ind w:firstLine="720"/>
        <w:jc w:val="both"/>
      </w:pPr>
      <w:r>
        <w:t>Emiterea actului fără consultarea Comisiei Naţionale a Monumentelor Istorice, in contradicţie cu propunerea făcuta de aceasta si fără o fundamentare din punctul de vedere al protejării patrimoniului reprezintă exces de putere.</w:t>
      </w:r>
    </w:p>
    <w:p w:rsidR="004E73E2" w14:paraId="197762A0" w14:textId="77777777">
      <w:pPr>
        <w:widowControl w:val="0"/>
        <w:tabs>
          <w:tab w:val="left" w:pos="8280"/>
        </w:tabs>
        <w:ind w:firstLine="720"/>
        <w:jc w:val="both"/>
      </w:pPr>
      <w:r>
        <w:t>Actul a fost emis cu încălcarea Convenţiei privind patrimoniul mondial, transpusa prin Decretul 187/1990.</w:t>
      </w:r>
    </w:p>
    <w:p w:rsidR="004E73E2" w14:paraId="140F510B" w14:textId="77777777">
      <w:pPr>
        <w:widowControl w:val="0"/>
        <w:tabs>
          <w:tab w:val="left" w:pos="8280"/>
        </w:tabs>
        <w:ind w:firstLine="720"/>
        <w:jc w:val="both"/>
      </w:pPr>
      <w:r>
        <w:t>Prejudiciul iminent este dovedit de includerea sitului in Lista Patrimoniului Mondial in Pericol.</w:t>
      </w:r>
    </w:p>
    <w:p w:rsidR="004E73E2" w14:paraId="2AA4E053" w14:textId="77777777">
      <w:pPr>
        <w:widowControl w:val="0"/>
        <w:tabs>
          <w:tab w:val="left" w:pos="8280"/>
        </w:tabs>
        <w:ind w:firstLine="720"/>
        <w:jc w:val="both"/>
      </w:pPr>
      <w:r>
        <w:t>Comitetul stabileşte, actualizează şi difuzează de fiecare data când împrejurările fac acest lucru necesar, sub numele de "lista a patrimoniului mondial în pericol", o lista de bunuri care figurează pe lista patrimoniului mondial, pentru care s-a cerut asistenţa în cadrul prezentei convenţii şi pentru salvgardarea cărora sunt necesare lucrări mari. Aceasta lista va cuprinde o estimare a costului lucrărilor. Nu pot figura pe aceasta lista decât bunuri ale patrimoniului cultural şi natural care sunt ameninţate de pericole grave şi precise ca: ameninţarea de dispariţie datorata unei degradări avansate, proiectele de mari lucrări publice sau private, o dezvoltare rapida urbana şi turistica, distrugeri cauzate de modificări ale utilizării sau ale proprietăţii, transformări profunde datorate unei cauze necunoscute, abandonări din diferite motive, conflicte armate începute sau ameninţând sa izbucnească, calamităţi şi cataclisme, mari incendii, mişcări seismice, alunecări de teren, erupţii vulcanice, modificări ale nivelului apelor, inundaţii, curenţi violenţi de maree. Comitetul poate, în orice moment, în caz de urgenta, sa procedeze la o noua înscriere pe lista patrimoniului mondial în pericol şi sa difuzeze imediat aceasta înscriere.</w:t>
      </w:r>
    </w:p>
    <w:p w:rsidR="004E73E2" w14:paraId="123E9504" w14:textId="7A830C50">
      <w:pPr>
        <w:widowControl w:val="0"/>
        <w:tabs>
          <w:tab w:val="left" w:pos="8280"/>
        </w:tabs>
        <w:ind w:firstLine="720"/>
        <w:jc w:val="both"/>
      </w:pPr>
      <w:r>
        <w:t xml:space="preserve">Comunitatea şi patrimoniul din </w:t>
      </w:r>
      <w:r w:rsidR="00296C4E">
        <w:t xml:space="preserve">           </w:t>
      </w:r>
      <w:r>
        <w:t xml:space="preserve"> sunt prejudiciate de şansa accesării tuturor măsurilor prevăzute în recomandarea experţilor ICOMOS, incluzând aici eventuale fonduri care ar putea fi alocate din Fondul Patrimoniului mondial, prevăzut de art. 15 din Convenţie si descris operaţional pe site-ul Comitetului Patrimoniului Mondial.</w:t>
      </w:r>
    </w:p>
    <w:p w:rsidR="004E73E2" w14:paraId="05E76B29" w14:textId="77777777">
      <w:pPr>
        <w:widowControl w:val="0"/>
        <w:tabs>
          <w:tab w:val="left" w:pos="8280"/>
        </w:tabs>
        <w:ind w:firstLine="720"/>
        <w:jc w:val="both"/>
      </w:pPr>
      <w:r>
        <w:t>Suspendarea includerii sitului nu este prevăzuta in procedura de includere in Lista Patrimoniului Mondial, o reiterare a cererii de includere urmând sa parcurgă toţi paşii procedurali, de câţiva ani.</w:t>
      </w:r>
    </w:p>
    <w:p w:rsidR="004E73E2" w14:paraId="1A06B9EC" w14:textId="005FE249">
      <w:pPr>
        <w:widowControl w:val="0"/>
        <w:tabs>
          <w:tab w:val="left" w:pos="8280"/>
        </w:tabs>
        <w:ind w:firstLine="720"/>
        <w:jc w:val="both"/>
      </w:pPr>
      <w:r>
        <w:t xml:space="preserve">Reiterarea nominalizării (in situaţia in care va exista din nou voinţa politica de a o solicita) ar urma să parcurgă toţi paşii procedurali prevăzuţi de Convenţie, inclusiv evaluarea de sit şi reactualizarea dosarului de nominalizare, o procedură care atrage în sine întârzieri greu de cuantificat, de cel puţin 2 ani de la momentul reiterării cererii - perioada necesară trecerii solicitării prin şedinţele anuale ale Comitetului Patrimoniului Mondial. Cu titlu de exemplu, România a solicitat în anul </w:t>
      </w:r>
      <w:r w:rsidR="00296C4E">
        <w:t xml:space="preserve"> </w:t>
      </w:r>
      <w:r>
        <w:t xml:space="preserve"> retragerea nominalizării sitului Ansamblul Monumental de la </w:t>
      </w:r>
      <w:r w:rsidR="00C71F66">
        <w:t xml:space="preserve">       </w:t>
      </w:r>
      <w:r>
        <w:t xml:space="preserve"> şi a redepus nominalizarea la </w:t>
      </w:r>
      <w:r w:rsidR="00296C4E">
        <w:t xml:space="preserve">   </w:t>
      </w:r>
      <w:r>
        <w:t xml:space="preserve">. Comitetul UNESCO nu va lua în dezbatere acest sit la cea de </w:t>
      </w:r>
      <w:r w:rsidR="00296C4E">
        <w:t xml:space="preserve"> </w:t>
      </w:r>
      <w:r>
        <w:t xml:space="preserve">-a întrunire de la </w:t>
      </w:r>
      <w:r w:rsidR="00296C4E">
        <w:t xml:space="preserve">      </w:t>
      </w:r>
      <w:r>
        <w:t xml:space="preserve">, situl nefigurând pe ordinea de zi a acestei întruniri. Prin urmare şansa de a fi supus dezbaterii va reapărea numai începând cu anul </w:t>
      </w:r>
      <w:r w:rsidR="00296C4E">
        <w:t xml:space="preserve"> </w:t>
      </w:r>
      <w:r>
        <w:t>.</w:t>
      </w:r>
    </w:p>
    <w:p w:rsidR="004E73E2" w14:paraId="0F1744CA" w14:textId="47832D6C">
      <w:pPr>
        <w:widowControl w:val="0"/>
        <w:tabs>
          <w:tab w:val="left" w:pos="8280"/>
        </w:tabs>
        <w:ind w:firstLine="720"/>
        <w:jc w:val="both"/>
      </w:pPr>
      <w:r>
        <w:t xml:space="preserve">În probaţiune, s-au ataşat: proces verbal al şedinţei Comisiei Naţionale a Monumentelor Istorice din </w:t>
      </w:r>
      <w:r w:rsidR="00296C4E">
        <w:t xml:space="preserve"> </w:t>
      </w:r>
      <w:r>
        <w:t xml:space="preserve">, adresa Ministerului Culturii din </w:t>
      </w:r>
      <w:r w:rsidR="00296C4E">
        <w:t xml:space="preserve"> </w:t>
      </w:r>
      <w:r>
        <w:t xml:space="preserve"> către Comitetul Patrimoniului Mondial, nota Ministerului Culturii din </w:t>
      </w:r>
      <w:r w:rsidR="00296C4E">
        <w:t xml:space="preserve">    </w:t>
      </w:r>
      <w:r>
        <w:t xml:space="preserve">, care continue decizia Comisiei Naţionale a Monumentelor Istorice din </w:t>
      </w:r>
      <w:r w:rsidR="00296C4E">
        <w:t xml:space="preserve">        </w:t>
      </w:r>
      <w:r>
        <w:t xml:space="preserve">, adresa Ministerului Culturii din </w:t>
      </w:r>
      <w:r w:rsidR="00296C4E">
        <w:t xml:space="preserve">       </w:t>
      </w:r>
      <w:r>
        <w:t xml:space="preserve"> către Comitetul Patrimoniului Mondial, raportul ICOMOS de evaluare a sitului </w:t>
      </w:r>
      <w:r w:rsidR="00296C4E">
        <w:t xml:space="preserve">           </w:t>
      </w:r>
      <w:r>
        <w:t xml:space="preserve">, Proiectul de rezoluţie privind includerea </w:t>
      </w:r>
      <w:r w:rsidR="00296C4E">
        <w:t xml:space="preserve">           </w:t>
      </w:r>
      <w:r>
        <w:t xml:space="preserve"> in lista UNESCO, </w:t>
      </w:r>
      <w:r w:rsidR="00296C4E">
        <w:t xml:space="preserve"> </w:t>
      </w:r>
      <w:r>
        <w:t xml:space="preserve">, </w:t>
      </w:r>
      <w:r w:rsidR="00296C4E">
        <w:t xml:space="preserve"> </w:t>
      </w:r>
      <w:r>
        <w:t xml:space="preserve">, Ambasadorul la UNESCO, despre surpriza stopării procedurii în cazul </w:t>
      </w:r>
      <w:r w:rsidR="00296C4E">
        <w:t xml:space="preserve">           </w:t>
      </w:r>
      <w:r>
        <w:t>: Primise deja recomandarea de înscriere în Patrimoniul Mondial, Programul celei de-a 42-a sesiuni a Comitetului Patrimoniului Mondial al UNESCO, Plângerea prealabila, Certificatul de înscriere in Registrul special al asociaţiilor si fundaţiilor, statutul si actul constitutiv a subscrisei.</w:t>
      </w:r>
    </w:p>
    <w:p w:rsidR="004E73E2" w14:paraId="0AB6B9C0" w14:textId="77777777">
      <w:pPr>
        <w:widowControl w:val="0"/>
        <w:tabs>
          <w:tab w:val="left" w:pos="8280"/>
        </w:tabs>
        <w:ind w:firstLine="720"/>
        <w:jc w:val="both"/>
      </w:pPr>
      <w:r>
        <w:t>În drept, au fost invocate dispoziţiile art.14 din Legea nr.554/2004.</w:t>
      </w:r>
    </w:p>
    <w:p w:rsidR="004E73E2" w14:paraId="1F00AF5A" w14:textId="77777777">
      <w:pPr>
        <w:numPr>
          <w:ilvl w:val="0"/>
          <w:numId w:val="2"/>
        </w:numPr>
        <w:jc w:val="both"/>
        <w:rPr>
          <w:rStyle w:val="Fontdeparagrafimplicit"/>
          <w:b/>
        </w:rPr>
      </w:pPr>
      <w:r>
        <w:rPr>
          <w:rStyle w:val="Fontdeparagrafimplicit"/>
          <w:b/>
        </w:rPr>
        <w:t>Poziţia procesuală a pârâţilor</w:t>
      </w:r>
    </w:p>
    <w:p w:rsidR="004E73E2" w14:paraId="7853D6CD" w14:textId="1E3B0476">
      <w:pPr>
        <w:tabs>
          <w:tab w:val="left" w:pos="8280"/>
        </w:tabs>
        <w:ind w:firstLine="720"/>
        <w:jc w:val="both"/>
      </w:pPr>
      <w:r>
        <w:t xml:space="preserve">2.1. Prin întâmpinare, </w:t>
      </w:r>
      <w:r>
        <w:rPr>
          <w:rStyle w:val="Fontdeparagrafimplicit"/>
          <w:u w:val="single"/>
        </w:rPr>
        <w:t xml:space="preserve">pârâtul  </w:t>
      </w:r>
      <w:r w:rsidR="00296C4E">
        <w:rPr>
          <w:rStyle w:val="Fontdeparagrafimplicit"/>
          <w:u w:val="single"/>
        </w:rPr>
        <w:t xml:space="preserve">           </w:t>
      </w:r>
      <w:r>
        <w:rPr>
          <w:rStyle w:val="Fontdeparagrafimplicit"/>
          <w:u w:val="single"/>
        </w:rPr>
        <w:t>, Ministrul Culturii şi Identităţii Naţionale</w:t>
      </w:r>
      <w:r>
        <w:t xml:space="preserve"> a invocat excepţia lipsei calităţii procesuale pasive, excepţia lipsei de interes, excepţia lipsei calităţii procesuale active, a inadmisibilităţii cererii de suspendare a executării actului administrativ atacat, excepţia lipsei obiectului cererii, iar pe fondul cauzei, să se respingă cererea ca vădit nefondată.</w:t>
      </w:r>
    </w:p>
    <w:p w:rsidR="004E73E2" w14:paraId="43645EC6" w14:textId="77777777">
      <w:pPr>
        <w:tabs>
          <w:tab w:val="left" w:pos="533"/>
        </w:tabs>
        <w:ind w:firstLine="720"/>
        <w:jc w:val="both"/>
      </w:pPr>
      <w:r>
        <w:t>În ceea ce priveşte excepţia lipsei calităţii procesuale pasive a ministrului culturii şi identităţii naţionale, s-a arătat că, în domeniul protejării monumentelor istorice, apărarea ordinii de drept şi protejarea monumentelor istorice sunt competenţe ale Ministerului Culturii şi Identităţii Naţionale, ca organ de specialitate al administraţiei publice centrale, în subordinea Guvernului, care elaborează şi asigură aplicarea strategiei şi politicilor în domeniul culturii, şi nu ale ministrului culturii şi identităţii naţionale, el neavând calitate procesual pasivă în acest litigiu, ci doar de reprezentant al instituţiei publice, potrivit Hotărârii de Guvern nr. 90/2010 privind organizarea şi funcţionarea Ministerului Culturii şi Identităţii Naţionale, cu modificările şi completările ulterioare. Potrivit art. 1 alin. (1) din Legea nr. 554/2004:</w:t>
      </w:r>
    </w:p>
    <w:p w:rsidR="004E73E2" w14:paraId="7C94A5C5" w14:textId="77777777">
      <w:pPr>
        <w:tabs>
          <w:tab w:val="left" w:pos="533"/>
        </w:tabs>
        <w:ind w:firstLine="720"/>
        <w:jc w:val="both"/>
      </w:pPr>
      <w:r>
        <w:t>„(1) Orice persoană care se consideră vătămată într-un drept al său ori într-un interes legitim, de către o autoritate publică, printr-un act administrativ sau prin nesoluţionarea în termenul legal a unei cereri, se poate adresa instanţei de contencios administrativ competente, pentru anularea actului, recunoaşterea dreptului pretins sau a interesului legitim şi repararea pagubei ce i-a fost cauzată. Interesul legitim poate fi atât privat, cât şi public."</w:t>
      </w:r>
    </w:p>
    <w:p w:rsidR="004E73E2" w14:paraId="6DA88095" w14:textId="77777777">
      <w:pPr>
        <w:tabs>
          <w:tab w:val="left" w:pos="533"/>
        </w:tabs>
        <w:ind w:firstLine="720"/>
        <w:jc w:val="both"/>
      </w:pPr>
      <w:r>
        <w:t>Potrivit textelor de lege arătate, persoana care poate fi chemată în judecată este autoritatea publică, aceasta putând fi obligată de instanţa de contencios administrativ să emită un act administrativ, să elibereze un alt înscris sau să efectueze o anumită operaţiune administrativă.</w:t>
      </w:r>
    </w:p>
    <w:p w:rsidR="004E73E2" w14:paraId="7459C472" w14:textId="77777777">
      <w:pPr>
        <w:tabs>
          <w:tab w:val="left" w:pos="533"/>
        </w:tabs>
        <w:ind w:firstLine="720"/>
        <w:jc w:val="both"/>
      </w:pPr>
      <w:r>
        <w:t>Prin urmare, Legea nr. 554/2004 nu prevede posibilitatea de a chema în judecată, odată cu autoritatea publică şi pe conducătorul acesteia.</w:t>
      </w:r>
    </w:p>
    <w:p w:rsidR="004E73E2" w14:paraId="32D22E0B" w14:textId="6E8CBAE5">
      <w:pPr>
        <w:tabs>
          <w:tab w:val="left" w:pos="533"/>
        </w:tabs>
        <w:ind w:firstLine="720"/>
        <w:jc w:val="both"/>
      </w:pPr>
      <w:r>
        <w:t xml:space="preserve">Referitor la excepţia lipsei calităţii procesuale active şi a lipsei de interes, s-a arătat că, din actele asociaţiei anexate rezultă că reclamanta îşi propune implicarea în problemele urbanistice ale </w:t>
      </w:r>
      <w:r w:rsidR="004E4770">
        <w:t xml:space="preserve">           </w:t>
      </w:r>
      <w:r>
        <w:t xml:space="preserve">ului urmărind în special păstrarea patrimoniului arhitectural al acestuia. Astfel fiind, cererea de faţă este promovată de către o persoană căreia îi lipseşte legitimarea procesuală activă întrucât nu ne face dovada că reclamanta s-a constituit în scopul apărării sitului </w:t>
      </w:r>
      <w:r w:rsidR="00296C4E">
        <w:t xml:space="preserve">           </w:t>
      </w:r>
      <w:r>
        <w:t>, iar în raport cu art. 1 din legea contenciosului administrativ acesteia îi revine obligaţia de a proba care este dreptul său recunoscut de lege vătămat prin actul administrativ al subsemnatului. Lipsesc aşadar condiţiile esenţiale ale cererii de chemare în judecată: dreptul reclamantei afirmat în justiţie care nu se regăseşte în patrimoniul acesteia; actul administrativ vătămător; cauza pentru care reclamanta s-a adresat justiţiei, inexistenţa cauzei determinată de inexistenţa primelor două elemente.</w:t>
      </w:r>
    </w:p>
    <w:p w:rsidR="004E73E2" w14:paraId="443D33BD" w14:textId="77777777">
      <w:pPr>
        <w:tabs>
          <w:tab w:val="left" w:pos="533"/>
        </w:tabs>
        <w:ind w:firstLine="720"/>
        <w:jc w:val="both"/>
      </w:pPr>
      <w:r>
        <w:t>Ceea ce susţine reclamanta nu se poate subsuma exclusiv interesului legitim public, astfel cum acesta este definit la art. 2 alin. (1) lit. r) din Legea nr.554/2004, respectiv „interesul care vizează ordinea de drept şi democraţia constituţională, garantarea drepturilor, libertăţilor şi îndatoririlor fundamentale ale cetăţenilor, satisfacerea nevoilor comunitare, realizarea competenţei autorităţilor publice".</w:t>
      </w:r>
    </w:p>
    <w:p w:rsidR="004E73E2" w14:paraId="7AF6A808" w14:textId="65B205EB">
      <w:pPr>
        <w:tabs>
          <w:tab w:val="left" w:pos="533"/>
        </w:tabs>
        <w:ind w:firstLine="720"/>
        <w:jc w:val="both"/>
      </w:pPr>
      <w:r>
        <w:t xml:space="preserve">Conform art. 8 alin. (1/1) din Legea nr. 554/2004, „Persoanele fizice şi persoanele juridice de drept privat pot formula capete de cerere prin care invocă apărarea unui interes legitim public numai în subsidiar, în măsura în care vătămarea interesului legitim public decurge logic din încălcarea dreptului subiectiv sau a interesului legitim privat." Or, după denumirea asociaţiei se poate conchide că aceasta nu se poate referi la altceva în afară de patrimoniul arhitectural al </w:t>
      </w:r>
      <w:r w:rsidR="004E4770">
        <w:t xml:space="preserve">           </w:t>
      </w:r>
      <w:r>
        <w:t>ului.</w:t>
      </w:r>
    </w:p>
    <w:p w:rsidR="004E73E2" w14:paraId="63993AF5" w14:textId="77777777">
      <w:pPr>
        <w:tabs>
          <w:tab w:val="left" w:pos="533"/>
        </w:tabs>
        <w:ind w:firstLine="720"/>
        <w:jc w:val="both"/>
      </w:pPr>
      <w:r>
        <w:t xml:space="preserve">Prin urmare, reclamanta în calitatea sa de persoană drept privat nu poate acţiona ca atare în contenciosul administrativ subiectiv decât dacă şi sub condiţia în care dovedeşte că este titulara unor drepturi subiective sau interese legitime private şi, ca atare, nu poate formula o acţiune în contencios obiectiv, respectiv de a cere anularea unei "decizii" pornind de la premisa lezării unui interes legitim public, decât dacă şi sub condiţia în care probează că </w:t>
      </w:r>
      <w:r>
        <w:t>vătămarea interesului legitim public exhibat decurge logic din încălcarea dreptului său subiectiv sau a interesului legitim privat, protejat legal prin dispoziţiile art. 8.</w:t>
      </w:r>
    </w:p>
    <w:p w:rsidR="004E73E2" w14:paraId="0877B32E" w14:textId="77777777">
      <w:pPr>
        <w:tabs>
          <w:tab w:val="left" w:pos="533"/>
        </w:tabs>
        <w:ind w:firstLine="720"/>
        <w:jc w:val="both"/>
      </w:pPr>
      <w:r>
        <w:t>Folosul practic urmărit prin declanşarea procedurii judiciare trebuie să aparţină celui care recurge la acţiune, nefiindu-i îngăduit unei persoane (cu excepţia situaţiilor expres reglementate, când se recunoaşte legitimare procesuală activă altor persoane decât titularului dreptului) să apere interesul altei persoane, ori interesul colectiv. Apărarea interesului colectiv este o atribuţie recunoscută doar unor organe ale statului sau unor organisme de specialitate.</w:t>
      </w:r>
    </w:p>
    <w:p w:rsidR="004E73E2" w14:paraId="7321ADF2" w14:textId="77777777">
      <w:pPr>
        <w:tabs>
          <w:tab w:val="left" w:pos="533"/>
        </w:tabs>
        <w:ind w:firstLine="720"/>
        <w:jc w:val="both"/>
      </w:pPr>
      <w:r>
        <w:t>Interesul este actual dacă, în situaţia în care o persoană nu ar recurge la acţiunea în justiţie la momentul respectiv, s-ar expune prin această pasivitate unui prejudiciu. Un interes eventual nu poate fi luat în considerare.</w:t>
      </w:r>
    </w:p>
    <w:p w:rsidR="004E73E2" w14:paraId="6E1B0CA1" w14:textId="77777777">
      <w:pPr>
        <w:tabs>
          <w:tab w:val="left" w:pos="533"/>
        </w:tabs>
        <w:ind w:firstLine="720"/>
        <w:jc w:val="both"/>
      </w:pPr>
      <w:r>
        <w:t>Totodată, legiuitorul nu permite promovarea acţiunilor în contencios administrativ pentru apărarea unui interes legitim public, decât în subsidiar, în măsura în care vătămarea interesului legitim public decurge logic din încălcarea dreptului subiectiv sau a interesului legitim privat.</w:t>
      </w:r>
    </w:p>
    <w:p w:rsidR="004E73E2" w14:paraId="1EC07619" w14:textId="774DE071">
      <w:pPr>
        <w:tabs>
          <w:tab w:val="left" w:pos="533"/>
        </w:tabs>
        <w:ind w:firstLine="720"/>
        <w:jc w:val="both"/>
      </w:pPr>
      <w:r>
        <w:t xml:space="preserve">Cu privire la inadmisibilitatea acţiunii, s-a arătat că Ministrul Culturii şi Identităţii Naţionale nu a solicitat şi nu a emis vreo decizie opozabilă Comitetului Patrimoniului Mondial al UNESCO având ca obiect suspendarea procedurii de includere a sitului </w:t>
      </w:r>
      <w:r w:rsidR="00296C4E">
        <w:t xml:space="preserve">           </w:t>
      </w:r>
      <w:r>
        <w:t xml:space="preserve"> în lista UNESCO.</w:t>
      </w:r>
    </w:p>
    <w:p w:rsidR="004E73E2" w14:paraId="587F6F6D" w14:textId="24B570D5">
      <w:pPr>
        <w:tabs>
          <w:tab w:val="left" w:pos="533"/>
        </w:tabs>
        <w:ind w:firstLine="720"/>
        <w:jc w:val="both"/>
      </w:pPr>
      <w:r>
        <w:t xml:space="preserve">Se poate presupune că reclamanta se referă la o simplă adresa interministerială înaintată Ministerului Afacerilor Externe, în scopul principal de a aduce la cunoştinţă existenţa unei cauze arbitrale în dosarul arbitrai nr. </w:t>
      </w:r>
      <w:r w:rsidR="00296C4E">
        <w:t xml:space="preserve"> </w:t>
      </w:r>
      <w:r>
        <w:t xml:space="preserve"> nr. </w:t>
      </w:r>
      <w:r w:rsidR="00296C4E">
        <w:t xml:space="preserve"> </w:t>
      </w:r>
      <w:r>
        <w:t>/</w:t>
      </w:r>
      <w:r w:rsidR="00296C4E">
        <w:t xml:space="preserve"> </w:t>
      </w:r>
      <w:r>
        <w:t xml:space="preserve"> în care părţi sunt investitorii </w:t>
      </w:r>
      <w:r w:rsidR="00296C4E">
        <w:t xml:space="preserve"> </w:t>
      </w:r>
      <w:r>
        <w:t xml:space="preserve">. şi </w:t>
      </w:r>
      <w:r w:rsidR="00296C4E">
        <w:t xml:space="preserve"> </w:t>
      </w:r>
      <w:r>
        <w:t xml:space="preserve"> (</w:t>
      </w:r>
      <w:r w:rsidR="00296C4E">
        <w:t xml:space="preserve"> </w:t>
      </w:r>
      <w:r>
        <w:t>) şi Statul Român.</w:t>
      </w:r>
    </w:p>
    <w:p w:rsidR="004E73E2" w14:paraId="2BE29A57" w14:textId="77777777">
      <w:pPr>
        <w:tabs>
          <w:tab w:val="left" w:pos="533"/>
        </w:tabs>
        <w:ind w:firstLine="720"/>
        <w:jc w:val="both"/>
      </w:pPr>
      <w:r>
        <w:t>Adresa sus menţionată a ministrului culturii şi identităţii naţionale nu este un act administrativ în considerarea prevederilor art. 2 alin. 1 pct. c) din Legea nr. 554/2004 a contenciosului administrativ. Un act administrativ este actul unilateral cu caracter individual sau normativ emis de o autoritate publică, în regim de putere publică, în vederea organizării executării legii sau a executării în concret a legii, care dă naştere, modifică sau stinge raporturi juridice.</w:t>
      </w:r>
    </w:p>
    <w:p w:rsidR="004E73E2" w14:paraId="2F47CB1B" w14:textId="77777777">
      <w:pPr>
        <w:tabs>
          <w:tab w:val="left" w:pos="533"/>
        </w:tabs>
        <w:ind w:firstLine="720"/>
        <w:jc w:val="both"/>
      </w:pPr>
      <w:r>
        <w:t>Pretenţiile reclamantului au în vedere suspendarea efectelor juridice ale unei adrese iniţiate de către Ministerul Culturii şi Identităţii Naţionale având ca destinatar Ministerul Afacerilor Externe. în raport de conţinutul respectivei adrese, este evidentă împrejurarea că, în fapt, prin aceasta nu se solicită direct Comitetului Patrimoniului Mondial UNESCO amânarea adoptării vreunei decizii ci, se solicită unei alte autorităţi, iniţierea de demersuri care să aibă ca finalitate: formularea unei cereri de a fi amânată o decizie de către Comitetul Patrimoniului Mondial facilitarea organizării unei întrevederi între reprezentanţi ai două entităţi.</w:t>
      </w:r>
    </w:p>
    <w:p w:rsidR="004E73E2" w14:paraId="704799EE" w14:textId="77777777">
      <w:pPr>
        <w:tabs>
          <w:tab w:val="left" w:pos="533"/>
        </w:tabs>
        <w:ind w:firstLine="720"/>
        <w:jc w:val="both"/>
      </w:pPr>
      <w:r>
        <w:t>Din perspectiva dispoziţiilor Legii contenciosului administrativ nr. 554/2004, cu modificările şi completările ulterioare, sunt relevante prevederile care stabilesc sfera actelor juridice supuse cenzurii instanţei de contencios administrativ.</w:t>
      </w:r>
    </w:p>
    <w:p w:rsidR="004E73E2" w14:paraId="05E93879" w14:textId="77777777">
      <w:pPr>
        <w:tabs>
          <w:tab w:val="left" w:pos="533"/>
        </w:tabs>
        <w:ind w:firstLine="720"/>
        <w:jc w:val="both"/>
      </w:pPr>
      <w:r>
        <w:t>Din conţinutul noţiunii de act administrativ (art. 2 alin. (1) lit. c) din Legea nr.554/2004) rezultă că, pentru a avea această calitate, actele emise de autorităţile publice trebuie să fie susceptibile de a da naştere, a modifica sau a stinge raporturi juridice, deci să fie prin ele însele capabile să producă efecte juridice directe.</w:t>
      </w:r>
    </w:p>
    <w:p w:rsidR="004E73E2" w14:paraId="5F283AEB" w14:textId="77777777">
      <w:pPr>
        <w:tabs>
          <w:tab w:val="left" w:pos="533"/>
        </w:tabs>
        <w:ind w:firstLine="720"/>
        <w:jc w:val="both"/>
      </w:pPr>
      <w:r>
        <w:t>Or, corespondenţa dintre Ministerul Culturii şi Identităţii Naţionale şi Ministerul Afacerilor Externe nu îndeplineşte condiţiile prevăzute, expres si limitativ, de dispoziţiile legale sus menţionate, pentru a putea fi calificată ca act administrativ.</w:t>
      </w:r>
    </w:p>
    <w:p w:rsidR="004E73E2" w14:paraId="256935B8" w14:textId="77777777">
      <w:pPr>
        <w:tabs>
          <w:tab w:val="left" w:pos="533"/>
        </w:tabs>
        <w:ind w:firstLine="720"/>
        <w:jc w:val="both"/>
      </w:pPr>
      <w:r>
        <w:t>Astfel, corespondenţa respectivă nu dă naştere, nu modifică şi nu stinge raporturi juridice, fapt ce atrage inadmisibilitatea acţiunii de sesizare a instanţei de contencios administrativ cu o cerere de anulare şi, implicit, cu o cerere de suspendare a acesteia, în analizarea caracterului de act administrativ a corespondenţei dintre Ministerul Culturii şi Identităţii Naţionale şi Ministerul Afacerilor Externe apreciem că este relevantă jurisprudenţa înaltei Curţi de Casaţie şi Justiţie - secţia Contencios Administrativ şi Fiscal (Decizia nr. 3794/2014; Decizia 7608/2013;Decizia 328/2015; Decizia nr. 2278/2006) accesibilă pe portalul www.scj.ro.</w:t>
      </w:r>
    </w:p>
    <w:p w:rsidR="004E73E2" w14:paraId="503EA058" w14:textId="77777777">
      <w:pPr>
        <w:tabs>
          <w:tab w:val="left" w:pos="533"/>
        </w:tabs>
        <w:ind w:firstLine="720"/>
        <w:jc w:val="both"/>
      </w:pPr>
      <w:r>
        <w:t>În ceea ce priveşte strict corespondenţa dintre Ministerul Culturii şi Identităţii Naţionale şi Ministerul Afacerilor Externe (fără a califica juridic din perspectiva Legii nr. 554/2004 alte documente care nu fac obiectul prezentei cauze) aceasta este reprezentată de o adresă care a precedat redactarea altor înscrisuri destinate Comitetului Patrimoniului Mondial UNESCO.</w:t>
      </w:r>
    </w:p>
    <w:p w:rsidR="004E73E2" w14:paraId="0D9A3B45" w14:textId="31EA545F">
      <w:pPr>
        <w:tabs>
          <w:tab w:val="left" w:pos="533"/>
        </w:tabs>
        <w:ind w:firstLine="720"/>
        <w:jc w:val="both"/>
      </w:pPr>
      <w:r>
        <w:t xml:space="preserve">În ipoteza în care instanţa apreciază că, efectele corespondenţei dintre Ministerul Culturii şi Identităţii Naţionale şi Ministerul Afacerilor Externe pot fi cele indicate de reclamant (suspendarea procedurii de includere a sitului </w:t>
      </w:r>
      <w:r w:rsidR="00296C4E">
        <w:t xml:space="preserve">           </w:t>
      </w:r>
      <w:r>
        <w:t xml:space="preserve"> în lista UNESCO a patrimoniului cultural şi natural mondial), urmează să se constate caracterul de act premergător al corespondenţei a cărei executare se solicită a fi suspendată.</w:t>
      </w:r>
    </w:p>
    <w:p w:rsidR="004E73E2" w14:paraId="70E07DBC" w14:textId="77777777">
      <w:pPr>
        <w:tabs>
          <w:tab w:val="left" w:pos="533"/>
        </w:tabs>
        <w:ind w:firstLine="720"/>
        <w:jc w:val="both"/>
      </w:pPr>
      <w:r>
        <w:t xml:space="preserve">În acest sens, faptul că legiuitorul nu reglementează posibilitatea atacării actului premergător separat de actul administrativ în considerarea căruia s-a emis. </w:t>
      </w:r>
    </w:p>
    <w:p w:rsidR="004E73E2" w14:paraId="6F4493EC" w14:textId="77777777">
      <w:pPr>
        <w:tabs>
          <w:tab w:val="left" w:pos="533"/>
        </w:tabs>
        <w:ind w:firstLine="720"/>
        <w:jc w:val="both"/>
      </w:pPr>
      <w:r>
        <w:t>Actele preparatorii, indiferent de caracterul lor, nu au calitatea de acte administrative, conform Legii nr. 554/2004 şi, ca urmare, nu pot fi atacate separat de actele administrative pe care le fundamentează. Pe cale de consecinţă, acţiunea în anularea deciziei care nu a fost dată apare ca inadmisibilă în contencios administrativ.</w:t>
      </w:r>
    </w:p>
    <w:p w:rsidR="004E73E2" w14:paraId="34EBC40A" w14:textId="77777777">
      <w:pPr>
        <w:tabs>
          <w:tab w:val="left" w:pos="533"/>
        </w:tabs>
        <w:ind w:firstLine="720"/>
        <w:jc w:val="both"/>
      </w:pPr>
      <w:r>
        <w:t>Având in vedere faptul că un act care nu se circumscrie noţiunii de act administrativ in sensul art.2 alin.(1) lit.c) din Legea nr.554/2004 nu poate face obiectul cererii de suspendare întemeiate pe art. 14 din Legea nr. 554/2004 se impune respingerea cererii de suspendare ca inadmisibilă.</w:t>
      </w:r>
    </w:p>
    <w:p w:rsidR="004E73E2" w14:paraId="53CC7E7C" w14:textId="384A4697">
      <w:pPr>
        <w:tabs>
          <w:tab w:val="left" w:pos="533"/>
        </w:tabs>
        <w:ind w:firstLine="720"/>
        <w:jc w:val="both"/>
      </w:pPr>
      <w:r>
        <w:t xml:space="preserve">Înscrierea în Lista Patrimoniu Mondial a unui obiectiv aduce după sine o recunoaştere pe plan internaţional a valorii universale excepţionale a bunului în cauză. Această înscriere nu impune un nou regim juridic naţional sau internaţional bunului respectiv. Includerea potenţială a Peisajului cultural </w:t>
      </w:r>
      <w:r w:rsidR="004304B2">
        <w:t xml:space="preserve">           </w:t>
      </w:r>
      <w:r>
        <w:t xml:space="preserve"> </w:t>
      </w:r>
      <w:r w:rsidR="00296C4E">
        <w:t xml:space="preserve">           </w:t>
      </w:r>
      <w:r>
        <w:t xml:space="preserve"> în Lista Patrimoniu Mobil nu impune restricţii suplimentare faţă de cele deja stabilite prin legislaţia naţională.</w:t>
      </w:r>
    </w:p>
    <w:p w:rsidR="004E73E2" w14:paraId="671D467E" w14:textId="47E4EB0B">
      <w:pPr>
        <w:tabs>
          <w:tab w:val="left" w:pos="533"/>
        </w:tabs>
        <w:ind w:firstLine="720"/>
        <w:jc w:val="both"/>
      </w:pPr>
      <w:r>
        <w:t xml:space="preserve">Adresa Ministerului Culturii şi Identităţii Naţionale este o solicitare de amânare a analizării cererii de înscriere în Lista Patrimoniului Mondial la UNESCO, şi nu o retragere sau o stopare a cererii de includere a sitului </w:t>
      </w:r>
      <w:r w:rsidR="00296C4E">
        <w:t xml:space="preserve">           </w:t>
      </w:r>
      <w:r>
        <w:t xml:space="preserve"> în Listă.</w:t>
      </w:r>
    </w:p>
    <w:p w:rsidR="004E73E2" w14:paraId="69263BBE" w14:textId="6773447F">
      <w:pPr>
        <w:tabs>
          <w:tab w:val="left" w:pos="533"/>
        </w:tabs>
        <w:ind w:firstLine="720"/>
        <w:jc w:val="both"/>
      </w:pPr>
      <w:r>
        <w:t xml:space="preserve">Această amânare a fost solicitată în condiţiile în care în prezent la nivel internaţional există o cauză arbitrală între Statul Român şi </w:t>
      </w:r>
      <w:r w:rsidR="00296C4E">
        <w:t xml:space="preserve"> </w:t>
      </w:r>
      <w:r>
        <w:t xml:space="preserve">. şi </w:t>
      </w:r>
      <w:r w:rsidR="00296C4E">
        <w:t xml:space="preserve"> </w:t>
      </w:r>
      <w:r>
        <w:t xml:space="preserve"> (</w:t>
      </w:r>
      <w:r w:rsidR="00296C4E">
        <w:t xml:space="preserve"> </w:t>
      </w:r>
      <w:r>
        <w:t xml:space="preserve">). Situl </w:t>
      </w:r>
      <w:r w:rsidR="00296C4E">
        <w:t xml:space="preserve">           </w:t>
      </w:r>
      <w:r>
        <w:t xml:space="preserve"> este şi rămâne înscris în Lista Tentativă/lndicativă a României la UNESCO. Adresa Ministerului Culturii şi Identităţii Naţionale nu reprezintă şi nu produce niciun efect asupra Listei Indicative a României care conţine acele situri şi monumente istorice pe care România doreşte să le înscrie în Lista Patr  imoniu Mondial, în concluzie, adresa Ministerului Culturii şi Identităţii Naţionale nu stopează procesul de analiză viitoare realizat de către UNESCO în vederea înscrierii sitului </w:t>
      </w:r>
      <w:r w:rsidR="00296C4E">
        <w:t xml:space="preserve">           </w:t>
      </w:r>
      <w:r>
        <w:t xml:space="preserve"> în Lista Patrimoniului Mondial, ci doar îl amână, fără consecinţe juridice şi patrimoniale ale statutului de protecţie prezent al sitului, astfel cum acest statut este prevăzut în legislaţia internă de protejare a monumentelor istorice ( Legea nr. 422/2001).</w:t>
      </w:r>
    </w:p>
    <w:p w:rsidR="004E73E2" w14:paraId="7ACEDE68" w14:textId="77777777">
      <w:pPr>
        <w:tabs>
          <w:tab w:val="left" w:pos="533"/>
        </w:tabs>
        <w:ind w:firstLine="720"/>
        <w:jc w:val="both"/>
      </w:pPr>
      <w:r>
        <w:t>Cu privire la excepţia lipsei obiectului, în ipoteza în care, contrar celor expuse anterior, instanţa de judecată califică, din perspectiva Legii nr.554/2004, corespondenţa dintre Ministerul Culturii şi Identităţii Naţionale şi Ministerul Afacerilor Externe ca fiind act administrativ, prezintă relevanţă împrejurarea că, la acest moment, toate efectele juridice ale corespondenţei dintre Ministerul Culturii şi Identităţii Naţionale şi Ministerul Afacerilor Externe au fost epuizate.</w:t>
      </w:r>
    </w:p>
    <w:p w:rsidR="004E73E2" w14:paraId="6D373BAE" w14:textId="77777777">
      <w:pPr>
        <w:tabs>
          <w:tab w:val="left" w:pos="533"/>
        </w:tabs>
        <w:ind w:firstLine="720"/>
        <w:jc w:val="both"/>
      </w:pPr>
      <w:r>
        <w:t>Astfel, ulterior momentului în care s-a iniţiat corespondenţa de către Ministerul Culturii şi Identităţii Naţionale, alte autorităţi ale statului s-au adresat Comitetului Patrimoniului Mondial UNESCO, astfel încât demersul iniţiat de Ministerul Culturii şi Identităţii Naţionale a fost epuizat din perspectiva procedurilor solicitate a fi derulate.</w:t>
      </w:r>
    </w:p>
    <w:p w:rsidR="004E73E2" w14:paraId="7AF984CF" w14:textId="77777777">
      <w:pPr>
        <w:tabs>
          <w:tab w:val="left" w:pos="533"/>
        </w:tabs>
        <w:ind w:firstLine="720"/>
        <w:jc w:val="both"/>
      </w:pPr>
      <w:r>
        <w:t>În aceste condiţii, o ipotetică dispoziţie de suspendare a executării "corespondenţei" este lipsită de finalitate, toate demersurile fiind finalizate.</w:t>
      </w:r>
    </w:p>
    <w:p w:rsidR="004E73E2" w14:paraId="5168EA1E" w14:textId="77777777">
      <w:pPr>
        <w:tabs>
          <w:tab w:val="left" w:pos="533"/>
        </w:tabs>
        <w:ind w:firstLine="720"/>
        <w:jc w:val="both"/>
      </w:pPr>
      <w:r>
        <w:t>Dintr-o altă perspectivă, pretenţia reclamantei de a fi suspendate efectele juridice ale corespondenţei dintre Ministerul Culturii şi Identităţii Naţionale şi Ministerul Afacerilor Externe se impune a fi analizată prin raportare la conţinutul corespondenţei respective. Astfel, aceasta cuprinde două componente:</w:t>
      </w:r>
    </w:p>
    <w:p w:rsidR="004E73E2" w14:paraId="40EA508C" w14:textId="77777777">
      <w:pPr>
        <w:tabs>
          <w:tab w:val="left" w:pos="533"/>
        </w:tabs>
        <w:ind w:firstLine="720"/>
        <w:jc w:val="both"/>
      </w:pPr>
      <w:r>
        <w:t>o solicitare de amânare a unei decizii în privinţa unui demers anterior.</w:t>
      </w:r>
    </w:p>
    <w:p w:rsidR="004E73E2" w14:paraId="7820E7EB" w14:textId="77777777">
      <w:pPr>
        <w:tabs>
          <w:tab w:val="left" w:pos="533"/>
        </w:tabs>
        <w:ind w:firstLine="720"/>
        <w:jc w:val="both"/>
      </w:pPr>
      <w:r>
        <w:t>o solicitare de a se asigura o întrevedere.</w:t>
      </w:r>
    </w:p>
    <w:p w:rsidR="004E73E2" w14:paraId="216E1324" w14:textId="77777777">
      <w:pPr>
        <w:tabs>
          <w:tab w:val="left" w:pos="533"/>
        </w:tabs>
        <w:ind w:firstLine="720"/>
        <w:jc w:val="both"/>
      </w:pPr>
      <w:r>
        <w:t>Sub un prim aspect, solicitarea de amânare a luării deciziei arată clar că decizia aparţine unui terţ (Comitetul Patrimoniului Mondial). Această prerogativă (dreptul de amâna decizia) nu aparţine Ministerului Culturii şi Identităţii Naţionale, ci stă în puterea Comitetului Patrimoniului Mondial.</w:t>
      </w:r>
    </w:p>
    <w:p w:rsidR="004E73E2" w14:paraId="16E10DCB" w14:textId="77777777">
      <w:pPr>
        <w:tabs>
          <w:tab w:val="left" w:pos="533"/>
        </w:tabs>
        <w:ind w:firstLine="720"/>
        <w:jc w:val="both"/>
      </w:pPr>
      <w:r>
        <w:t>În al doilea rând, prin corespondenţa dintre Ministerul Culturii şi Identităţii Naţionale şi Ministerul Afacerilor Externe nu s-a iniţiat un demers nou şi/sau nu s-a renunţat la un demers anterior.</w:t>
      </w:r>
    </w:p>
    <w:p w:rsidR="004E73E2" w14:paraId="52DAE3AF" w14:textId="16BD2136">
      <w:pPr>
        <w:tabs>
          <w:tab w:val="left" w:pos="533"/>
        </w:tabs>
        <w:ind w:firstLine="720"/>
        <w:jc w:val="both"/>
      </w:pPr>
      <w:r>
        <w:t xml:space="preserve">Aşa după cum arată conţinutul adresei Ministerul Culturii şi Identităţii Naţionale, finalitatea acesteia avea în vedere întocmirea unei cereri prin care, în cadrul unui demers iniţiat anterior lunii mai </w:t>
      </w:r>
      <w:r w:rsidR="00296C4E">
        <w:t xml:space="preserve"> </w:t>
      </w:r>
      <w:r>
        <w:t xml:space="preserve"> (data adresei) şi care urmează a fi finalizat ulterior lunii mai </w:t>
      </w:r>
      <w:r w:rsidR="00296C4E">
        <w:t xml:space="preserve"> </w:t>
      </w:r>
      <w:r>
        <w:t>, să fie formulată o cerere de amânare.</w:t>
      </w:r>
    </w:p>
    <w:p w:rsidR="004E73E2" w14:paraId="325DA098" w14:textId="77777777">
      <w:pPr>
        <w:tabs>
          <w:tab w:val="left" w:pos="533"/>
        </w:tabs>
        <w:ind w:firstLine="720"/>
        <w:jc w:val="both"/>
      </w:pPr>
      <w:r>
        <w:t>Pe de altă parte, corespondenţa face trimitere la "amânarea" luării unei decizii de către Comitetul Patrimoniului Mondial potrivit competenţelor conferite prin Convenţia privind protecţia patrimoniului mondial, cultural şi natural din 16 noiembrie 1972 la Paris, acceptată de România prin Decretul nr. 187/1990.</w:t>
      </w:r>
    </w:p>
    <w:p w:rsidR="004E73E2" w14:paraId="4CE6AFE6" w14:textId="77777777">
      <w:pPr>
        <w:tabs>
          <w:tab w:val="left" w:pos="533"/>
        </w:tabs>
        <w:ind w:firstLine="720"/>
        <w:jc w:val="both"/>
      </w:pPr>
      <w:r>
        <w:t>Astfel, competenţa exclusivă de a se pronunţa asupra temeiniciei / legalităţii cererilor adresate de Delegaţia permanentă a României pe lângă UNESCO - subiect de drept distinct de Ministerul Culturii şi Identităţii Naţionale şi Ministerul Afacerilor Externe aparţine Comitetului Patrimoniului Mondial.</w:t>
      </w:r>
    </w:p>
    <w:p w:rsidR="004E73E2" w14:paraId="48F6EBBD" w14:textId="77777777">
      <w:pPr>
        <w:tabs>
          <w:tab w:val="left" w:pos="533"/>
        </w:tabs>
        <w:ind w:firstLine="720"/>
        <w:jc w:val="both"/>
      </w:pPr>
      <w:r>
        <w:t>Din acest punct de vedere, pretenţiile reclamantei de a solicita unei instanţe de judecată pentru a fi pronunţată o hotărâre judecătorească inopozabilă Comitetului Patrimoniului Mondial par, de asemenea, inadmisibile, instanţa naţională nefiind competentă să analizeze legalitatea/temeinicia unei cereri de amânare formulată de statul român, în ceea ce priveşte solicitarea de a se asigura o întrevedere, cuprinsă în corespondenţa dintre Ministerul Culturii şi Identităţii Naţionale şi Ministerul Afacerilor Externe, pretenţia reclamantei de suspendare a efectelor juridice ale actului nu îndeplineşte nicio condiţie din cele prevăzute de lege (Legea nr. 554/2004, Cod procedură civilă) pentru a fi învestită instanţa de judecată (inclusiv cea de contencios administrativ).</w:t>
      </w:r>
    </w:p>
    <w:p w:rsidR="004E73E2" w14:paraId="43BE7BB0" w14:textId="21FDF981">
      <w:pPr>
        <w:tabs>
          <w:tab w:val="left" w:pos="533"/>
        </w:tabs>
        <w:ind w:firstLine="720"/>
        <w:jc w:val="both"/>
      </w:pPr>
      <w:r>
        <w:t xml:space="preserve">Mai mult, întâlnirea a cărei facilitare s-a solicitat a se realiza s-a desfăşurat în luna iunie </w:t>
      </w:r>
      <w:r w:rsidR="00296C4E">
        <w:t xml:space="preserve"> </w:t>
      </w:r>
      <w:r>
        <w:t xml:space="preserve"> astfel încât, din acest punct de vedere, suspendarea efectelor juridice ale adresei Ministerului Culturii şi Identităţii Naţionale este lipsită de obiect.</w:t>
      </w:r>
    </w:p>
    <w:p w:rsidR="004E73E2" w14:paraId="7D9BFA75" w14:textId="77777777">
      <w:pPr>
        <w:tabs>
          <w:tab w:val="left" w:pos="533"/>
        </w:tabs>
        <w:ind w:firstLine="720"/>
        <w:jc w:val="both"/>
      </w:pPr>
      <w:r>
        <w:t>Potrivit dispoziţiilor Legii nr. 554/2004, suspendarea executării actului administrativ se poate dispune numai în situaţia îndeplinirii cumulative a celor două condiţii prevăzute de art. 14 alin. (1) din actul normativ:</w:t>
      </w:r>
    </w:p>
    <w:p w:rsidR="004E73E2" w14:paraId="63E44D71" w14:textId="77777777">
      <w:pPr>
        <w:numPr>
          <w:ilvl w:val="0"/>
          <w:numId w:val="3"/>
        </w:numPr>
        <w:tabs>
          <w:tab w:val="left" w:pos="533"/>
        </w:tabs>
        <w:contextualSpacing/>
        <w:jc w:val="both"/>
      </w:pPr>
      <w:r>
        <w:t>existenţa unui caz bine justificat şi</w:t>
      </w:r>
    </w:p>
    <w:p w:rsidR="004E73E2" w14:paraId="487BDA77" w14:textId="77777777">
      <w:pPr>
        <w:numPr>
          <w:ilvl w:val="0"/>
          <w:numId w:val="3"/>
        </w:numPr>
        <w:tabs>
          <w:tab w:val="left" w:pos="533"/>
        </w:tabs>
        <w:contextualSpacing/>
        <w:jc w:val="both"/>
      </w:pPr>
      <w:r>
        <w:t>necesitatea evitării unei pagube iminente ireparabile sau dificil de reparat.</w:t>
      </w:r>
    </w:p>
    <w:p w:rsidR="004E73E2" w14:paraId="5278EF15" w14:textId="77777777">
      <w:pPr>
        <w:tabs>
          <w:tab w:val="left" w:pos="533"/>
        </w:tabs>
        <w:ind w:firstLine="720"/>
        <w:jc w:val="both"/>
      </w:pPr>
      <w:r>
        <w:t>Cu privire la condiţia cazului bine justificat, jurisprudenţa a statuat că pentru constatarea îndeplinirii acestei condiţii, instanţa trebuie să-şi limiteze verificarea doar la acele împrejurări vădite de fapt şi/sau de drept care au capacitatea să producă o îndoială serioasă asupra prezumţiei de legalitate de care se bucură un act administrativ, în prezenta cauză, nu există astfel de premise.</w:t>
      </w:r>
    </w:p>
    <w:p w:rsidR="004E73E2" w14:paraId="0478C908" w14:textId="77777777">
      <w:pPr>
        <w:tabs>
          <w:tab w:val="left" w:pos="533"/>
        </w:tabs>
        <w:ind w:firstLine="720"/>
        <w:jc w:val="both"/>
      </w:pPr>
      <w:r>
        <w:t>Mai mult, aşa după cum am precizat, adresa care face obiectul prezentului litigiu nu este destinată Comitetului Patrimoniului Mondial, ci Ministerului Afacerilor Externe. Această autoritate a dispus cu privire la corespondenţa iniţiată de Ministerul Culturii şi Identităţii Naţionale potrivit propriilor competenţe.</w:t>
      </w:r>
    </w:p>
    <w:p w:rsidR="004E73E2" w14:paraId="28C4E790" w14:textId="3898F0DB">
      <w:pPr>
        <w:tabs>
          <w:tab w:val="left" w:pos="533"/>
        </w:tabs>
        <w:ind w:firstLine="720"/>
        <w:jc w:val="both"/>
      </w:pPr>
      <w:r>
        <w:t xml:space="preserve">Aşa cum reiese din acţiunea reclamantei, situl arheologic </w:t>
      </w:r>
      <w:r w:rsidR="00296C4E">
        <w:t xml:space="preserve">           </w:t>
      </w:r>
      <w:r>
        <w:t xml:space="preserve"> este deja clasat în legislaţia naţională drept monument istoric grupă valorică A. Prin urmare, teritoriul vizat este protejat prin legislaţia naţională - Legea nr. 5/2000, Legea nr.422/2001 sau Ordonanţa Guvernului nr. 47/2000 - prin înscrierea în cele mai înalte categorii de protecţie.</w:t>
      </w:r>
    </w:p>
    <w:p w:rsidR="004E73E2" w14:paraId="24F446DF" w14:textId="290F441C">
      <w:pPr>
        <w:tabs>
          <w:tab w:val="left" w:pos="533"/>
        </w:tabs>
        <w:ind w:firstLine="720"/>
        <w:jc w:val="both"/>
      </w:pPr>
      <w:r>
        <w:t xml:space="preserve">înscrierea în Lista Patrimoniului Mondial UNESCO nu atrage o protecţie legală suplimentară, o supra-protejare, ci o recunoaştere a unor valori deja protejate prin legislaţia naţională, în concluzie, amânarea luării unei decizii de înscriere sau nu a sitului arheologic </w:t>
      </w:r>
      <w:r w:rsidR="00296C4E">
        <w:t xml:space="preserve">           </w:t>
      </w:r>
      <w:r>
        <w:t xml:space="preserve"> </w:t>
      </w:r>
      <w:r>
        <w:t>în Lista Patrimoniului Mondial UNESCO nu poate conduce la afectarea atributelor acestuia, deoarece acesta continuă să fie supus, în continuare, legislaţiei naţionale mai sus menţionate.</w:t>
      </w:r>
    </w:p>
    <w:p w:rsidR="004E73E2" w14:paraId="4A4F9E65" w14:textId="7F3D3757">
      <w:pPr>
        <w:tabs>
          <w:tab w:val="left" w:pos="533"/>
        </w:tabs>
        <w:ind w:firstLine="720"/>
        <w:jc w:val="both"/>
      </w:pPr>
      <w:r>
        <w:t xml:space="preserve">Amânarea luării unei decizii asupra dosarului de nominalizare al României cu ocazia sesiunii Comitetului Patrimoniului Mondial de la </w:t>
      </w:r>
      <w:r w:rsidR="00296C4E">
        <w:t xml:space="preserve"> </w:t>
      </w:r>
      <w:r>
        <w:t xml:space="preserve">, </w:t>
      </w:r>
      <w:r w:rsidR="00296C4E">
        <w:t xml:space="preserve"> </w:t>
      </w:r>
      <w:r>
        <w:t xml:space="preserve">, din perioada </w:t>
      </w:r>
      <w:r w:rsidR="00296C4E">
        <w:t xml:space="preserve">      </w:t>
      </w:r>
      <w:r>
        <w:t xml:space="preserve"> nu echivalează cu stoparea acestuia şi nici cu atragerea unor consecinţe dezastruoase, aşa cum afirmă reclamantul, deoarece situl arheologic continuă să fie sub incidenţa legislaţiei naţionale.</w:t>
      </w:r>
    </w:p>
    <w:p w:rsidR="004E73E2" w14:paraId="6B7C6A2C" w14:textId="0AEA81B7">
      <w:pPr>
        <w:tabs>
          <w:tab w:val="left" w:pos="533"/>
        </w:tabs>
        <w:ind w:firstLine="720"/>
        <w:jc w:val="both"/>
      </w:pPr>
      <w:r>
        <w:t xml:space="preserve">Cu alte cuvinte, solicitarea de amânare a luării unei decizii de către Comitetul Patrimoniului Mondial nu are drept consecinţă începerea exploatării </w:t>
      </w:r>
      <w:r w:rsidR="001C5929">
        <w:t xml:space="preserve"> </w:t>
      </w:r>
      <w:r>
        <w:t xml:space="preserve"> în localitatea </w:t>
      </w:r>
      <w:r w:rsidR="00296C4E">
        <w:t xml:space="preserve">           </w:t>
      </w:r>
      <w:r>
        <w:t xml:space="preserve">, deoarece societatea </w:t>
      </w:r>
      <w:r w:rsidR="00296C4E">
        <w:t xml:space="preserve">           </w:t>
      </w:r>
      <w:r>
        <w:t xml:space="preserve"> </w:t>
      </w:r>
      <w:r w:rsidR="00296C4E">
        <w:t xml:space="preserve"> </w:t>
      </w:r>
      <w:r>
        <w:t xml:space="preserve"> SA. </w:t>
      </w:r>
    </w:p>
    <w:p w:rsidR="004E73E2" w14:paraId="1F01FFE4" w14:textId="77CA9A33">
      <w:pPr>
        <w:tabs>
          <w:tab w:val="left" w:pos="533"/>
        </w:tabs>
        <w:ind w:firstLine="720"/>
        <w:jc w:val="both"/>
      </w:pPr>
      <w:r>
        <w:t xml:space="preserve">Înscrierea în Lista Patrimoniului Mondial nu implică nicio interdicţie </w:t>
      </w:r>
      <w:r>
        <w:rPr>
          <w:rStyle w:val="Fontdeparagrafimplicit"/>
          <w:i/>
        </w:rPr>
        <w:t>a priori</w:t>
      </w:r>
      <w:r>
        <w:t xml:space="preserve">, astfel încât, cu atât mai mult, sunt nejustificate alegaţiile reclamantei potrivit cărora „atributele excepţionale de valoare universală ale patrimoniului de la </w:t>
      </w:r>
      <w:r w:rsidR="00296C4E">
        <w:t xml:space="preserve">           </w:t>
      </w:r>
      <w:r>
        <w:t xml:space="preserve"> ar putea fi afectate prin lipsa intervenţiilor de protejare şi punere în valoare".</w:t>
      </w:r>
    </w:p>
    <w:p w:rsidR="004E73E2" w14:paraId="2AC28281" w14:textId="7CFD8825">
      <w:pPr>
        <w:tabs>
          <w:tab w:val="left" w:pos="533"/>
        </w:tabs>
        <w:ind w:firstLine="720"/>
        <w:jc w:val="both"/>
      </w:pPr>
      <w:r>
        <w:t xml:space="preserve">Din analiza adresei emise de Ministerul Culturii şi Identităţii Naţionale sub nr. </w:t>
      </w:r>
      <w:r w:rsidR="004E4770">
        <w:t xml:space="preserve">3 </w:t>
      </w:r>
      <w:r>
        <w:t xml:space="preserve">, reiese fără dubiu, faptul că aceasta este motivată în fapt şi în drept, avându-se în vedere amânarea deciziei din prisma existenţei dosarului arbitrai, motivându-se astfel că o eventuală înscriere în Lista Patrimoniului Mondial a Peisajului Cultural </w:t>
      </w:r>
      <w:r w:rsidR="004304B2">
        <w:t xml:space="preserve">           </w:t>
      </w:r>
      <w:r>
        <w:t xml:space="preserve"> „</w:t>
      </w:r>
      <w:r w:rsidR="00296C4E">
        <w:t xml:space="preserve">           </w:t>
      </w:r>
      <w:r>
        <w:t>" nu s-ar impune printr-o grevare de sarcini, dacă finalizarea procesului arbitrai ar impune-o.</w:t>
      </w:r>
    </w:p>
    <w:p w:rsidR="004E73E2" w14:paraId="03155CF1" w14:textId="77777777">
      <w:pPr>
        <w:tabs>
          <w:tab w:val="left" w:pos="533"/>
        </w:tabs>
        <w:ind w:firstLine="720"/>
        <w:jc w:val="both"/>
      </w:pPr>
      <w:r>
        <w:t>Referitor aserţiunile reclamantei potrivit cărora solicitarea iniţială de includere în Lista Patrimoniului Mondial a fost dezbătută şi aprobată de către Comisia Naţională a Monumentelor Istorice şi cererea de suspendare a procedurii de includere ar fi trebuit dezbătută şi aprobată de Comisia Naţională a Monumentelor Istorice, vă rugăm să le respingeţi, având în vedere faptul că Ministerul Culturii şi Identităţii Naţionale nu a solicitat Comisiei Patrimoniului UNESCO o modificare a cererii iniţiale pentru a putea fi respectat principiul simetriei actelor juridice.</w:t>
      </w:r>
    </w:p>
    <w:p w:rsidR="004E73E2" w14:paraId="659B475D" w14:textId="77777777">
      <w:pPr>
        <w:tabs>
          <w:tab w:val="left" w:pos="533"/>
        </w:tabs>
        <w:ind w:firstLine="720"/>
        <w:jc w:val="both"/>
      </w:pPr>
      <w:r>
        <w:t>Din perspectiva tuturor celor ce preced, a solicitat să se respingă acţiunea în principal pe excepţiile invocate, iar, în subsidiar, ca vădit nefondată.</w:t>
      </w:r>
    </w:p>
    <w:p w:rsidR="004E73E2" w14:paraId="110DB560" w14:textId="77777777">
      <w:pPr>
        <w:tabs>
          <w:tab w:val="left" w:pos="533"/>
        </w:tabs>
        <w:ind w:firstLine="720"/>
        <w:jc w:val="both"/>
      </w:pPr>
      <w:r>
        <w:t>În drept, îşi întemeiază susţinerile pe dispoziţiile art. 13, 174 alin. 2, 205 şi urm. Cod Procedură Civilă, precum şi pe restul dispoziţiilor invocate în cuprinsul acesteia.</w:t>
      </w:r>
    </w:p>
    <w:p w:rsidR="004E73E2" w14:paraId="55F3CE49" w14:textId="77777777">
      <w:pPr>
        <w:tabs>
          <w:tab w:val="left" w:pos="533"/>
        </w:tabs>
        <w:ind w:firstLine="720"/>
        <w:jc w:val="both"/>
      </w:pPr>
      <w:r>
        <w:t>În susţinerea întâmpinării, solicită admiterea probei cu înscrisuri, precum şi orice alt mijloc de probă necesar şi util soluţionării cauzei.</w:t>
      </w:r>
    </w:p>
    <w:p w:rsidR="004E73E2" w14:paraId="053D9905" w14:textId="77777777">
      <w:pPr>
        <w:tabs>
          <w:tab w:val="left" w:pos="533"/>
        </w:tabs>
        <w:ind w:firstLine="720"/>
        <w:jc w:val="both"/>
      </w:pPr>
      <w:r>
        <w:t>2.2. Pârâtul Ministerul Culturii şi Identităţii Naţionale a formulat întâmpinare prin care invocăm excepţia lipsei de interes, excepţia inadmisibilităţii cererii de suspendare a executării actului administrativ atacat, excepţia lipsei obiectului cererii, iar pe fondul cauzei, a solicitat respingerea ca vădit nefondată.</w:t>
      </w:r>
    </w:p>
    <w:p w:rsidR="004E73E2" w14:paraId="272407C5" w14:textId="77777777">
      <w:pPr>
        <w:tabs>
          <w:tab w:val="left" w:pos="533"/>
        </w:tabs>
        <w:ind w:firstLine="720"/>
        <w:jc w:val="both"/>
      </w:pPr>
      <w:r>
        <w:t>Argumentele sunt, în principiu sunt identice celor avansate de pârâtul Minstrului Culturii.</w:t>
      </w:r>
    </w:p>
    <w:p w:rsidR="004E73E2" w14:paraId="2C4AD7D3" w14:textId="77777777">
      <w:pPr>
        <w:tabs>
          <w:tab w:val="left" w:pos="533"/>
        </w:tabs>
        <w:ind w:firstLine="720"/>
        <w:jc w:val="both"/>
      </w:pPr>
    </w:p>
    <w:p w:rsidR="004E73E2" w14:paraId="4E468986" w14:textId="77777777">
      <w:pPr>
        <w:numPr>
          <w:ilvl w:val="0"/>
          <w:numId w:val="2"/>
        </w:numPr>
        <w:jc w:val="both"/>
        <w:rPr>
          <w:rStyle w:val="Fontdeparagrafimplicit"/>
          <w:b/>
        </w:rPr>
      </w:pPr>
      <w:r>
        <w:rPr>
          <w:rStyle w:val="Fontdeparagrafimplicit"/>
          <w:b/>
        </w:rPr>
        <w:t>Aspecte procesuale</w:t>
      </w:r>
    </w:p>
    <w:p w:rsidR="004E73E2" w14:paraId="0316CBA6" w14:textId="77777777">
      <w:pPr>
        <w:ind w:firstLine="705"/>
        <w:jc w:val="both"/>
      </w:pPr>
      <w:r>
        <w:t>În şedinţa publică, au fost soluţionate excepţiile lipsei calităţii procesuale active şi excepţia lipsei de interes.</w:t>
      </w:r>
    </w:p>
    <w:p w:rsidR="004E73E2" w14:paraId="1C8F5D59" w14:textId="77777777">
      <w:pPr>
        <w:numPr>
          <w:ilvl w:val="0"/>
          <w:numId w:val="2"/>
        </w:numPr>
        <w:jc w:val="both"/>
        <w:rPr>
          <w:rStyle w:val="Fontdeparagrafimplicit"/>
          <w:b/>
        </w:rPr>
      </w:pPr>
      <w:r>
        <w:rPr>
          <w:rStyle w:val="Fontdeparagrafimplicit"/>
          <w:b/>
        </w:rPr>
        <w:t>Asupra excepţiei inadmisibilităţii cererii de suspendare</w:t>
      </w:r>
    </w:p>
    <w:p w:rsidR="004E73E2" w14:paraId="42FCE218" w14:textId="77777777">
      <w:pPr>
        <w:ind w:firstLine="720"/>
        <w:jc w:val="both"/>
        <w:rPr>
          <w:rStyle w:val="Fontdeparagrafimplicit"/>
          <w:color w:val="000000"/>
        </w:rPr>
      </w:pPr>
      <w:r>
        <w:t xml:space="preserve">Conform dispoziţiilor art. 14 alin. (1) din Legea nr. 554/2004, pe care se întemeiază cererea reclamantei, în cazuri </w:t>
      </w:r>
      <w:r>
        <w:rPr>
          <w:rStyle w:val="Fontdeparagrafimplicit"/>
          <w:color w:val="000000"/>
        </w:rPr>
        <w:t>bine justificate şi pentru prevenirea unei pagube iminente, după sesizarea, în condiţiile art. 7, a autorităţii publice care a emis actul sau a autorităţii ierarhic superioare, persoana vătămată poate să ceară instanţei competente să dispună suspendarea executării actului administrativ unilateral până la pronunţarea instanţei de fond.</w:t>
      </w:r>
    </w:p>
    <w:p w:rsidR="004E73E2" w14:paraId="7A7A9D7D" w14:textId="77777777">
      <w:pPr>
        <w:ind w:firstLine="709"/>
        <w:jc w:val="both"/>
      </w:pPr>
      <w:bookmarkStart w:name="tree#53" w:id="0"/>
      <w:bookmarkEnd w:id="0"/>
      <w:r>
        <w:t>Suspendarea executării actului administrativ constituie o măsură excepţională prin care instanţa de judecată înlătură caracterul executoriu din oficiu al actului administrativ, astfel că luarea acestei măsuri presupune dovedirea existenţei acelor împrejurări care sunt de natură să creeze o îndoială serioasă în privinţa legalităţii actului administrativ, dar mai ales a necesităţii înlăturării temporare a caracterului executoriu al actului pentru a preveni o pagubă iminentă.</w:t>
      </w:r>
    </w:p>
    <w:p w:rsidR="004E73E2" w14:paraId="4CF8BE65" w14:textId="77777777">
      <w:pPr>
        <w:tabs>
          <w:tab w:val="left" w:pos="533"/>
        </w:tabs>
        <w:ind w:firstLine="720"/>
        <w:jc w:val="both"/>
        <w:rPr>
          <w:rStyle w:val="Fontdeparagrafimplicit"/>
          <w:color w:val="000000"/>
        </w:rPr>
      </w:pPr>
      <w:r>
        <w:t>Art. 14 alin. (1) din Legea nr. 554/2004 face referire, în mod expres, la „</w:t>
      </w:r>
      <w:r>
        <w:rPr>
          <w:rStyle w:val="Fontdeparagrafimplicit"/>
          <w:color w:val="000000"/>
        </w:rPr>
        <w:t xml:space="preserve">actul administrativ”, iar nu la orice operaţiune administrativă. De asemenea, prin impunerea condiţiei de a </w:t>
      </w:r>
      <w:r>
        <w:t xml:space="preserve">sesiza </w:t>
      </w:r>
      <w:r>
        <w:rPr>
          <w:rStyle w:val="Fontdeparagrafimplicit"/>
          <w:color w:val="000000"/>
        </w:rPr>
        <w:t>cu o plângere prealabilă</w:t>
      </w:r>
      <w:r>
        <w:t xml:space="preserve"> conform </w:t>
      </w:r>
      <w:r>
        <w:rPr>
          <w:rStyle w:val="Fontdeparagrafimplicit"/>
          <w:color w:val="000000"/>
        </w:rPr>
        <w:t xml:space="preserve">art. 7 </w:t>
      </w:r>
      <w:r>
        <w:t>din Legea nr. 554/2004</w:t>
      </w:r>
      <w:r>
        <w:rPr>
          <w:rStyle w:val="Fontdeparagrafimplicit"/>
          <w:color w:val="000000"/>
        </w:rPr>
        <w:t xml:space="preserve"> autoritatea publică emitentă a actului sau autoritatea ierarhic superioară, rezultă că procedura de suspendare nu priveşte actele administrative asimilate (refuz nejustificat de soluţionare a cererii), raţiunea evidentă fiind aceea că în cazul acestora nu se poate vorbi despre caracterul executoriu. </w:t>
      </w:r>
    </w:p>
    <w:p w:rsidR="004E73E2" w14:paraId="7DACF770" w14:textId="77777777">
      <w:pPr>
        <w:ind w:firstLine="851"/>
        <w:jc w:val="both"/>
      </w:pPr>
      <w:r>
        <w:t xml:space="preserve">Actele administrative care se bucură de executorialitate, în sensul art. 2 </w:t>
      </w:r>
      <w:r>
        <w:rPr>
          <w:rStyle w:val="Fontdeparagrafimplicit"/>
          <w:color w:val="000000"/>
        </w:rPr>
        <w:t xml:space="preserve">alin. (1) lit. c) din Legea nr. 554/2004, reprezintă acte unilaterale cu caracter individual sau normativ </w:t>
      </w:r>
      <w:r>
        <w:rPr>
          <w:rStyle w:val="Fontdeparagrafimplicit"/>
          <w:i/>
          <w:color w:val="000000"/>
        </w:rPr>
        <w:t>emise de o autoritate publică</w:t>
      </w:r>
      <w:r>
        <w:rPr>
          <w:rStyle w:val="Fontdeparagrafimplicit"/>
          <w:color w:val="000000"/>
        </w:rPr>
        <w:t xml:space="preserve">, </w:t>
      </w:r>
      <w:r>
        <w:rPr>
          <w:rStyle w:val="Fontdeparagrafimplicit"/>
          <w:i/>
          <w:color w:val="000000"/>
        </w:rPr>
        <w:t>în regim de putere publică</w:t>
      </w:r>
      <w:r>
        <w:rPr>
          <w:rStyle w:val="Fontdeparagrafimplicit"/>
          <w:color w:val="000000"/>
        </w:rPr>
        <w:t xml:space="preserve">, în vederea organizării executării legii sau a executării în concret a legii, care să </w:t>
      </w:r>
      <w:r>
        <w:rPr>
          <w:rStyle w:val="Fontdeparagrafimplicit"/>
          <w:i/>
          <w:color w:val="000000"/>
        </w:rPr>
        <w:t>dea naştere, să modifice sau să stingă raporturi juridice</w:t>
      </w:r>
      <w:r>
        <w:rPr>
          <w:rStyle w:val="Fontdeparagrafimplicit"/>
          <w:color w:val="000000"/>
        </w:rPr>
        <w:t xml:space="preserve">. Or, </w:t>
      </w:r>
      <w:r>
        <w:t xml:space="preserve">operaţiunile administrative nu fac obiectul procedurii de suspendare prevăzute de art. 14 alin. (1) din Legea nr. 554/2004, deoarece nu sunt susceptibile de a fi puse în executare. </w:t>
      </w:r>
    </w:p>
    <w:p w:rsidR="004E73E2" w14:paraId="6F9D8037" w14:textId="7710744F">
      <w:pPr>
        <w:tabs>
          <w:tab w:val="left" w:pos="533"/>
        </w:tabs>
        <w:ind w:firstLine="720"/>
        <w:jc w:val="both"/>
      </w:pPr>
      <w:r>
        <w:t xml:space="preserve">În cauză, obiectul cererii de suspendare îl reprezintă scrisoarea care emană de la Ministerul Culturii şi adresată Ministerului Afacerilor Externe, înregistrată la Registratura acestei din urmă instituţii cu nr. </w:t>
      </w:r>
      <w:r w:rsidR="004E4770">
        <w:t xml:space="preserve">4 </w:t>
      </w:r>
      <w:r>
        <w:t xml:space="preserve">, prin care se face cunoscută solicitarea Statului Român de a amâna decizia Comitetului Patrimoniului Mondial, în cadrul celei de a </w:t>
      </w:r>
      <w:r w:rsidR="004304B2">
        <w:t xml:space="preserve"> </w:t>
      </w:r>
      <w:r>
        <w:t xml:space="preserve"> sesiuni, cu privire la înscrierea în Lisata Patrimoniului Mondial a Peisajului Cultural </w:t>
      </w:r>
      <w:r w:rsidR="004304B2">
        <w:t xml:space="preserve">           </w:t>
      </w:r>
      <w:r>
        <w:t xml:space="preserve"> „</w:t>
      </w:r>
      <w:r w:rsidR="00296C4E">
        <w:t xml:space="preserve">           </w:t>
      </w:r>
      <w:r>
        <w:t xml:space="preserve">”,  având în vedere existenţa cauzei arbitrale în dosarul arbitral nr. </w:t>
      </w:r>
      <w:r w:rsidR="004304B2">
        <w:t xml:space="preserve"> </w:t>
      </w:r>
      <w:r>
        <w:t xml:space="preserve"> nr. </w:t>
      </w:r>
      <w:r w:rsidR="004304B2">
        <w:t xml:space="preserve"> </w:t>
      </w:r>
      <w:r>
        <w:t>/</w:t>
      </w:r>
      <w:r w:rsidR="004304B2">
        <w:t xml:space="preserve"> </w:t>
      </w:r>
      <w:r>
        <w:t xml:space="preserve"> în care părţi sunt investitorii </w:t>
      </w:r>
      <w:r w:rsidR="004304B2">
        <w:t xml:space="preserve"> </w:t>
      </w:r>
      <w:r>
        <w:t xml:space="preserve"> şi </w:t>
      </w:r>
      <w:r w:rsidR="004304B2">
        <w:t xml:space="preserve"> </w:t>
      </w:r>
      <w:r>
        <w:t xml:space="preserve"> (</w:t>
      </w:r>
      <w:r w:rsidR="004304B2">
        <w:t xml:space="preserve"> </w:t>
      </w:r>
      <w:r>
        <w:t>) şi Statul Român. Concret, Ministerul Culturii solicită aportul Ministerului Afacerilor Externe în a transmite UNESCO faptul că statul român doreşte amânarea procedurii de includere în Lisata Patrimoniului Mondial a sitului menţionat.</w:t>
      </w:r>
    </w:p>
    <w:p w:rsidR="004E73E2" w14:paraId="084CB9FE" w14:textId="77777777">
      <w:pPr>
        <w:tabs>
          <w:tab w:val="left" w:pos="533"/>
        </w:tabs>
        <w:ind w:firstLine="720"/>
        <w:jc w:val="both"/>
      </w:pPr>
      <w:r>
        <w:t xml:space="preserve">Calificarea ca act administrativ a unui înscris presupune a se constata întrunirea tuturor cerinţelor prevăzute de art. 2 </w:t>
      </w:r>
      <w:r>
        <w:rPr>
          <w:rStyle w:val="Fontdeparagrafimplicit"/>
          <w:color w:val="000000"/>
        </w:rPr>
        <w:t>alin. (1) lit. c) din Legea nr. 554/2004</w:t>
      </w:r>
      <w:r>
        <w:t>, respectiv este necesar să se stabilească faptul că înscrisul reprezintă un act unilateral emis de o autoritate publică, în regim de putere publică, în vederea organizării executării legii sau a executării în concret a legii, în scopul de a da naştere, a modifica sau a stinge drepturi şi obligaţii.</w:t>
      </w:r>
    </w:p>
    <w:p w:rsidR="004E73E2" w14:paraId="0287EA11" w14:textId="511ADB25">
      <w:pPr>
        <w:ind w:firstLine="720"/>
        <w:jc w:val="both"/>
        <w:rPr>
          <w:rStyle w:val="Fontdeparagrafimplicit"/>
          <w:color w:val="000000"/>
        </w:rPr>
      </w:pPr>
      <w:r>
        <w:t xml:space="preserve">Deşi emană de la o autoritate administrativă, scrisoarea în discuţie nu produce efecte juridice, întrucât nu modifică în mod independent realitatea juridică existentă, reprezintă doar un act oficial interministerial, o corespondenţă prin care se face cunoscută solicitarea de temporizare a procedurii privind înscrierea în Lista Patrimoniului Mondial a Peisajului Cultural </w:t>
      </w:r>
      <w:r w:rsidR="004304B2">
        <w:t xml:space="preserve">           </w:t>
      </w:r>
      <w:r>
        <w:t xml:space="preserve"> „</w:t>
      </w:r>
      <w:r w:rsidR="00296C4E">
        <w:t xml:space="preserve">           </w:t>
      </w:r>
      <w:r>
        <w:t xml:space="preserve">”. Aceasta nu este emisă </w:t>
      </w:r>
      <w:r>
        <w:rPr>
          <w:rStyle w:val="Fontdeparagrafimplicit"/>
          <w:color w:val="000000"/>
        </w:rPr>
        <w:t>în vederea organizării executării legii sau a executării în concret a legii şi nu este susceptibilă a fi pusă în executare.</w:t>
      </w:r>
    </w:p>
    <w:p w:rsidR="004E73E2" w14:paraId="332B48C5" w14:textId="77777777">
      <w:pPr>
        <w:ind w:firstLine="720"/>
        <w:jc w:val="both"/>
        <w:rPr>
          <w:rStyle w:val="Fontdeparagrafimplicit"/>
          <w:color w:val="000000"/>
        </w:rPr>
      </w:pPr>
      <w:r>
        <w:rPr>
          <w:rStyle w:val="Fontdeparagrafimplicit"/>
          <w:color w:val="000000"/>
        </w:rPr>
        <w:t>În plus, nu există nicio probă la dosar în sensul că înscrisul în discuţie este cel pe baza căruia s-ar putea lua o decizie de amânare sau de suspendare a procedurii de includere a sitului în Lista Patrimoniului Mondial UNESCO. Totodată, precizarea reclamantei la termenul prezent în sensul că înţelege să conteste orice act care produce amânarea procedurii din faţa UNESCO, în condiţii care exced cadrului legal procesual sub aspect subiectiv şi material, nu poate avea valenţe juridice. În concret, modificarea obiectului cererii de chemare în judecată trebuie să se realizeze în limitele impuse de art. 204 alin. (1) din Codul de procedură civilă. În cazul în care ar fi fost identificat un alt act care să fi provenit de la o altă autoritate publică, în sensul de a fi emis sau însuşit de această autoritate, era necesară şi introducerea în cauză a subiectului de drept anterior menţionat.</w:t>
      </w:r>
    </w:p>
    <w:p w:rsidR="004E73E2" w14:paraId="1E93890F" w14:textId="77777777">
      <w:pPr>
        <w:ind w:firstLine="720"/>
        <w:jc w:val="both"/>
      </w:pPr>
      <w:r>
        <w:rPr>
          <w:rStyle w:val="Fontdeparagrafimplicit"/>
          <w:color w:val="000000"/>
        </w:rPr>
        <w:t>În consecinţă, în temeiul art. 248 alin. (1) din Codul de procedură civilă, constatând că excepţia inadmisibilităţii este întemeiată, se va respinge cererea de suspendare a executării</w:t>
      </w:r>
      <w:r>
        <w:t xml:space="preserve"> scrisorii interministeriale în discuţie în cauză, ca fiind inadmisibilă.</w:t>
      </w:r>
    </w:p>
    <w:p w:rsidR="004E73E2" w14:paraId="1CFDC69D" w14:textId="77777777">
      <w:pPr>
        <w:tabs>
          <w:tab w:val="left" w:pos="720"/>
        </w:tabs>
        <w:rPr>
          <w:rStyle w:val="Fontdeparagrafimplicit"/>
          <w:b/>
        </w:rPr>
      </w:pPr>
    </w:p>
    <w:p w:rsidR="004E73E2" w14:paraId="4EB9376C" w14:textId="77777777">
      <w:pPr>
        <w:tabs>
          <w:tab w:val="left" w:pos="720"/>
        </w:tabs>
        <w:jc w:val="center"/>
        <w:rPr>
          <w:rStyle w:val="Fontdeparagrafimplicit"/>
          <w:b/>
        </w:rPr>
      </w:pPr>
      <w:r>
        <w:rPr>
          <w:rStyle w:val="Fontdeparagrafimplicit"/>
          <w:b/>
        </w:rPr>
        <w:t>PENTRU ACESTE MOTIVE,</w:t>
      </w:r>
    </w:p>
    <w:p w:rsidR="004E73E2" w14:paraId="32900187" w14:textId="77777777">
      <w:pPr>
        <w:tabs>
          <w:tab w:val="left" w:pos="720"/>
        </w:tabs>
        <w:jc w:val="center"/>
        <w:rPr>
          <w:rStyle w:val="Fontdeparagrafimplicit"/>
          <w:b/>
        </w:rPr>
      </w:pPr>
      <w:r>
        <w:rPr>
          <w:rStyle w:val="Fontdeparagrafimplicit"/>
          <w:b/>
        </w:rPr>
        <w:t>ÎN NUMELE LEGII,</w:t>
      </w:r>
    </w:p>
    <w:p w:rsidR="004E73E2" w14:paraId="599762F8" w14:textId="77777777">
      <w:pPr>
        <w:tabs>
          <w:tab w:val="left" w:pos="720"/>
        </w:tabs>
        <w:jc w:val="center"/>
        <w:rPr>
          <w:rStyle w:val="Fontdeparagrafimplicit"/>
        </w:rPr>
      </w:pPr>
      <w:r>
        <w:rPr>
          <w:rStyle w:val="Fontdeparagrafimplicit"/>
          <w:b/>
        </w:rPr>
        <w:t>HOTĂRĂŞTE:</w:t>
      </w:r>
    </w:p>
    <w:p w:rsidR="004E73E2" w14:paraId="1FBCB683" w14:textId="77777777">
      <w:pPr>
        <w:ind w:left="708"/>
        <w:jc w:val="both"/>
        <w:rPr>
          <w:rStyle w:val="Fontdeparagrafimplicit"/>
        </w:rPr>
      </w:pPr>
    </w:p>
    <w:p w:rsidR="004E73E2" w14:paraId="25B28114" w14:textId="77777777">
      <w:pPr>
        <w:ind w:left="708"/>
        <w:jc w:val="both"/>
        <w:rPr>
          <w:rStyle w:val="Fontdeparagrafimplicit"/>
          <w:color w:val="000000"/>
        </w:rPr>
      </w:pPr>
      <w:r>
        <w:rPr>
          <w:rStyle w:val="Fontdeparagrafimplicit"/>
          <w:color w:val="000000"/>
        </w:rPr>
        <w:t>Admite excepţia inadmisibilităţii cererii de suspendare, invocată de pârâţi.</w:t>
      </w:r>
    </w:p>
    <w:p w:rsidR="004E73E2" w14:paraId="4C0EACAA" w14:textId="119361B4">
      <w:pPr>
        <w:ind w:firstLine="708"/>
        <w:jc w:val="both"/>
        <w:rPr>
          <w:rStyle w:val="Fontdeparagrafimplicit"/>
          <w:color w:val="000000"/>
        </w:rPr>
      </w:pPr>
      <w:r>
        <w:rPr>
          <w:rStyle w:val="Fontdeparagrafimplicit"/>
          <w:color w:val="000000"/>
        </w:rPr>
        <w:t xml:space="preserve">Respinge ca inadmisibilă cererea de suspendare formulată de </w:t>
      </w:r>
      <w:r>
        <w:t xml:space="preserve">reclamanta ASOCIAŢIA </w:t>
      </w:r>
      <w:r w:rsidR="004E4770">
        <w:t xml:space="preserve">2 </w:t>
      </w:r>
      <w:r>
        <w:t xml:space="preserve">, cu sediul procesual ales pentru comunicarea actelor de procedură la adresa din </w:t>
      </w:r>
      <w:r w:rsidR="004E4770">
        <w:t xml:space="preserve">           </w:t>
      </w:r>
      <w:r>
        <w:t xml:space="preserve">, str. </w:t>
      </w:r>
      <w:r w:rsidR="004304B2">
        <w:t xml:space="preserve"> </w:t>
      </w:r>
      <w:r>
        <w:t xml:space="preserve"> nr. </w:t>
      </w:r>
      <w:r w:rsidR="004304B2">
        <w:t xml:space="preserve"> </w:t>
      </w:r>
      <w:r>
        <w:t xml:space="preserve">, </w:t>
      </w:r>
      <w:r w:rsidR="004304B2">
        <w:t xml:space="preserve"> </w:t>
      </w:r>
      <w:r>
        <w:t>, ap.</w:t>
      </w:r>
      <w:r w:rsidR="004304B2">
        <w:t xml:space="preserve"> </w:t>
      </w:r>
      <w:r>
        <w:t xml:space="preserve">, </w:t>
      </w:r>
      <w:r w:rsidR="004304B2">
        <w:t xml:space="preserve"> </w:t>
      </w:r>
      <w:r>
        <w:t xml:space="preserve">, în contradictoriu cu pârâţii MINISTERUL CULTURII ŞI IDENTITĂŢII NAŢIONALE şi MINISTRUL CULTURII ŞI IDENTITĂŢII NAŢIONALE, ambii cu sediul în </w:t>
      </w:r>
      <w:r w:rsidR="004E4770">
        <w:t xml:space="preserve">           </w:t>
      </w:r>
      <w:r>
        <w:t xml:space="preserve">, </w:t>
      </w:r>
      <w:r w:rsidR="004304B2">
        <w:t xml:space="preserve"> </w:t>
      </w:r>
      <w:r>
        <w:t xml:space="preserve">, Bd. </w:t>
      </w:r>
      <w:r w:rsidR="004304B2">
        <w:t xml:space="preserve"> </w:t>
      </w:r>
      <w:r>
        <w:t xml:space="preserve"> nr. </w:t>
      </w:r>
      <w:r w:rsidR="004304B2">
        <w:t xml:space="preserve"> </w:t>
      </w:r>
      <w:r>
        <w:rPr>
          <w:rStyle w:val="Fontdeparagrafimplicit"/>
          <w:color w:val="000000"/>
        </w:rPr>
        <w:t>.</w:t>
      </w:r>
    </w:p>
    <w:p w:rsidR="004E73E2" w14:paraId="6A02CBC6" w14:textId="77777777">
      <w:pPr>
        <w:ind w:left="708"/>
        <w:jc w:val="both"/>
        <w:rPr>
          <w:rStyle w:val="Fontdeparagrafimplicit"/>
          <w:color w:val="000000"/>
        </w:rPr>
      </w:pPr>
      <w:r>
        <w:rPr>
          <w:rStyle w:val="Fontdeparagrafimplicit"/>
          <w:color w:val="000000"/>
        </w:rPr>
        <w:t>Cu recurs în termen de 5 zile de la comunicare.</w:t>
      </w:r>
    </w:p>
    <w:p w:rsidR="004E73E2" w14:paraId="085058DA" w14:textId="561D7F33">
      <w:pPr>
        <w:ind w:left="708"/>
        <w:jc w:val="both"/>
        <w:rPr>
          <w:rStyle w:val="Fontdeparagrafimplicit"/>
          <w:b/>
        </w:rPr>
      </w:pPr>
      <w:r>
        <w:rPr>
          <w:rStyle w:val="Fontdeparagrafimplicit"/>
          <w:color w:val="000000"/>
        </w:rPr>
        <w:t xml:space="preserve">Pronunţată în şedinţă publică, astăzi, </w:t>
      </w:r>
      <w:r w:rsidR="004304B2">
        <w:rPr>
          <w:rStyle w:val="Fontdeparagrafimplicit"/>
          <w:color w:val="000000"/>
        </w:rPr>
        <w:t xml:space="preserve"> </w:t>
      </w:r>
      <w:r>
        <w:rPr>
          <w:rStyle w:val="Fontdeparagrafimplicit"/>
          <w:color w:val="000000"/>
        </w:rPr>
        <w:t>.</w:t>
      </w:r>
      <w:r>
        <w:rPr>
          <w:rStyle w:val="Fontdeparagrafimplicit"/>
          <w:b/>
        </w:rPr>
        <w:t xml:space="preserve">   </w:t>
      </w:r>
    </w:p>
    <w:p w:rsidR="004E73E2" w14:paraId="0D6D6895" w14:textId="77777777">
      <w:pPr>
        <w:ind w:firstLine="708"/>
        <w:jc w:val="center"/>
        <w:rPr>
          <w:rStyle w:val="Fontdeparagrafimplicit"/>
          <w:b/>
        </w:rPr>
      </w:pPr>
    </w:p>
    <w:p w:rsidR="004E73E2" w14:paraId="3951D740" w14:textId="77777777">
      <w:pPr>
        <w:jc w:val="both"/>
        <w:rPr>
          <w:rStyle w:val="Fontdeparagrafimplicit"/>
          <w:b/>
          <w:i/>
        </w:rPr>
      </w:pPr>
    </w:p>
    <w:p w:rsidR="004E73E2" w14:paraId="13BB71CB" w14:textId="77777777">
      <w:pPr>
        <w:ind w:firstLine="708"/>
        <w:jc w:val="both"/>
        <w:rPr>
          <w:rStyle w:val="Fontdeparagrafimplicit"/>
          <w:b/>
          <w:i/>
        </w:rPr>
      </w:pPr>
      <w:r>
        <w:rPr>
          <w:rStyle w:val="Fontdeparagrafimplicit"/>
          <w:b/>
          <w:i/>
        </w:rPr>
        <w:t>PREŞEDINTE,                                                                            GREFIER,</w:t>
      </w:r>
    </w:p>
    <w:p w:rsidR="004E73E2" w14:paraId="19092D6C" w14:textId="1D3B82B6">
      <w:pPr>
        <w:rPr>
          <w:rStyle w:val="Fontdeparagrafimplicit"/>
          <w:b/>
          <w:i/>
        </w:rPr>
      </w:pPr>
      <w:r>
        <w:rPr>
          <w:rStyle w:val="Fontdeparagrafimplicit"/>
          <w:b/>
          <w:i/>
        </w:rPr>
        <w:t xml:space="preserve">       </w:t>
      </w:r>
      <w:r w:rsidR="004304B2">
        <w:rPr>
          <w:rStyle w:val="Fontdeparagrafimplicit"/>
          <w:b/>
          <w:i/>
        </w:rPr>
        <w:t>A0008</w:t>
      </w:r>
      <w:r>
        <w:rPr>
          <w:rStyle w:val="Fontdeparagrafimplicit"/>
          <w:b/>
          <w:i/>
        </w:rPr>
        <w:t xml:space="preserve">                                                         </w:t>
      </w:r>
      <w:r w:rsidR="004304B2">
        <w:rPr>
          <w:rStyle w:val="Fontdeparagrafimplicit"/>
          <w:b/>
          <w:i/>
        </w:rPr>
        <w:t xml:space="preserve"> </w:t>
      </w:r>
    </w:p>
    <w:p w:rsidR="004E73E2" w14:paraId="10205650" w14:textId="77777777">
      <w:pPr>
        <w:rPr>
          <w:rStyle w:val="Fontdeparagrafimplicit"/>
          <w:b/>
          <w:i/>
        </w:rPr>
      </w:pPr>
    </w:p>
    <w:p w:rsidR="004E73E2" w14:paraId="439BF8E1" w14:textId="77777777">
      <w:pPr>
        <w:rPr>
          <w:rStyle w:val="Fontdeparagrafimplicit"/>
          <w:b/>
          <w:i/>
        </w:rPr>
      </w:pPr>
    </w:p>
    <w:p w:rsidR="004E73E2" w14:paraId="51A7A3F5" w14:textId="58F648A2">
      <w:pPr>
        <w:ind w:firstLine="708"/>
        <w:rPr>
          <w:rStyle w:val="Fontdeparagrafimplicit"/>
          <w:i/>
          <w:sz w:val="16"/>
        </w:rPr>
      </w:pPr>
      <w:r>
        <w:rPr>
          <w:rStyle w:val="Fontdeparagrafimplicit"/>
          <w:i/>
          <w:sz w:val="16"/>
        </w:rPr>
        <w:t xml:space="preserve">Red./Tehored. </w:t>
      </w:r>
      <w:r w:rsidR="004304B2">
        <w:rPr>
          <w:rStyle w:val="Fontdeparagrafimplicit"/>
          <w:i/>
          <w:sz w:val="16"/>
        </w:rPr>
        <w:t>A0008</w:t>
      </w:r>
      <w:r>
        <w:rPr>
          <w:rStyle w:val="Fontdeparagrafimplicit"/>
          <w:i/>
          <w:sz w:val="16"/>
        </w:rPr>
        <w:t>/ 4ex. /</w:t>
      </w:r>
      <w:r w:rsidR="004304B2">
        <w:rPr>
          <w:rStyle w:val="Fontdeparagrafimplicit"/>
          <w:i/>
          <w:sz w:val="16"/>
        </w:rPr>
        <w:t xml:space="preserve"> </w:t>
      </w:r>
    </w:p>
    <w:p w:rsidR="004E73E2" w14:paraId="2749CE24" w14:textId="77777777">
      <w:pPr>
        <w:ind w:firstLine="708"/>
        <w:rPr>
          <w:rStyle w:val="Fontdeparagrafimplicit"/>
          <w:i/>
          <w:sz w:val="16"/>
        </w:rPr>
      </w:pPr>
      <w:r>
        <w:rPr>
          <w:rStyle w:val="Fontdeparagrafimplicit"/>
          <w:i/>
          <w:sz w:val="16"/>
        </w:rPr>
        <w:t>2 com./</w:t>
      </w:r>
    </w:p>
    <w:p w:rsidR="004E73E2" w14:paraId="5575F047" w14:textId="77777777">
      <w:pPr>
        <w:pStyle w:val="NoSpacing"/>
        <w:ind w:firstLine="720"/>
        <w:jc w:val="both"/>
        <w:rPr>
          <w:rStyle w:val="Fontdeparagrafimplicit"/>
          <w:rFonts w:ascii="Times New Roman" w:hAnsi="Times New Roman"/>
          <w:b/>
          <w:i/>
          <w:sz w:val="24"/>
          <w:lang w:val="ro-RO"/>
        </w:rPr>
      </w:pPr>
    </w:p>
    <w:p w:rsidR="004E73E2" w14:paraId="288FAC49" w14:textId="77777777">
      <w:pPr>
        <w:rPr>
          <w:rStyle w:val="Fontdeparagrafimplicit"/>
          <w:rFonts w:ascii="Garamond" w:hAnsi="Garamond"/>
        </w:rPr>
      </w:pPr>
    </w:p>
    <w:sectPr>
      <w:pgSz w:w="11906" w:h="16838"/>
      <w:pgMar w:top="851" w:right="851" w:bottom="851"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06366F7B"/>
    <w:multiLevelType w:val="hybridMultilevel"/>
    <w:tmpl w:val="C5F001C0"/>
    <w:lvl w:ilvl="0">
      <w:start w:val="22"/>
      <w:numFmt w:val="bullet"/>
      <w:lvlText w:val="-"/>
      <w:lvlJc w:val="left"/>
      <w:pPr>
        <w:ind w:left="1080" w:hanging="360"/>
      </w:pPr>
      <w:rPr>
        <w:rFonts w:ascii="Times New Roman" w:hAnsi="Times New Roman"/>
      </w:rPr>
    </w:lvl>
    <w:lvl w:ilvl="1">
      <w:start w:val="1"/>
      <w:numFmt w:val="bullet"/>
      <w:lvlText w:val="o"/>
      <w:lvlJc w:val="left"/>
      <w:pPr>
        <w:ind w:left="1800" w:hanging="360"/>
      </w:pPr>
      <w:rPr>
        <w:rFonts w:ascii="Courier New" w:hAnsi="Courier New"/>
      </w:rPr>
    </w:lvl>
    <w:lvl w:ilvl="2">
      <w:start w:val="1"/>
      <w:numFmt w:val="bullet"/>
      <w:lvlText w:val=""/>
      <w:lvlJc w:val="left"/>
      <w:pPr>
        <w:ind w:left="2520" w:hanging="360"/>
      </w:pPr>
      <w:rPr>
        <w:rFonts w:ascii="Wingdings" w:hAnsi="Wingdings"/>
      </w:rPr>
    </w:lvl>
    <w:lvl w:ilvl="3">
      <w:start w:val="1"/>
      <w:numFmt w:val="bullet"/>
      <w:lvlText w:val=""/>
      <w:lvlJc w:val="left"/>
      <w:pPr>
        <w:ind w:left="3240" w:hanging="360"/>
      </w:pPr>
      <w:rPr>
        <w:rFonts w:ascii="Symbol" w:hAnsi="Symbol"/>
      </w:rPr>
    </w:lvl>
    <w:lvl w:ilvl="4">
      <w:start w:val="1"/>
      <w:numFmt w:val="bullet"/>
      <w:lvlText w:val="o"/>
      <w:lvlJc w:val="left"/>
      <w:pPr>
        <w:ind w:left="3960" w:hanging="360"/>
      </w:pPr>
      <w:rPr>
        <w:rFonts w:ascii="Courier New" w:hAnsi="Courier New"/>
      </w:rPr>
    </w:lvl>
    <w:lvl w:ilvl="5">
      <w:start w:val="1"/>
      <w:numFmt w:val="bullet"/>
      <w:lvlText w:val=""/>
      <w:lvlJc w:val="left"/>
      <w:pPr>
        <w:ind w:left="4680" w:hanging="360"/>
      </w:pPr>
      <w:rPr>
        <w:rFonts w:ascii="Wingdings" w:hAnsi="Wingdings"/>
      </w:rPr>
    </w:lvl>
    <w:lvl w:ilvl="6">
      <w:start w:val="1"/>
      <w:numFmt w:val="bullet"/>
      <w:lvlText w:val=""/>
      <w:lvlJc w:val="left"/>
      <w:pPr>
        <w:ind w:left="5400" w:hanging="360"/>
      </w:pPr>
      <w:rPr>
        <w:rFonts w:ascii="Symbol" w:hAnsi="Symbol"/>
      </w:rPr>
    </w:lvl>
    <w:lvl w:ilvl="7">
      <w:start w:val="1"/>
      <w:numFmt w:val="bullet"/>
      <w:lvlText w:val="o"/>
      <w:lvlJc w:val="left"/>
      <w:pPr>
        <w:ind w:left="6120" w:hanging="360"/>
      </w:pPr>
      <w:rPr>
        <w:rFonts w:ascii="Courier New" w:hAnsi="Courier New"/>
      </w:rPr>
    </w:lvl>
    <w:lvl w:ilvl="8">
      <w:start w:val="1"/>
      <w:numFmt w:val="bullet"/>
      <w:lvlText w:val=""/>
      <w:lvlJc w:val="left"/>
      <w:pPr>
        <w:ind w:left="6840" w:hanging="360"/>
      </w:pPr>
      <w:rPr>
        <w:rFonts w:ascii="Wingdings" w:hAnsi="Wingdings"/>
      </w:rPr>
    </w:lvl>
  </w:abstractNum>
  <w:abstractNum w:abstractNumId="1" w15:restartNumberingAfterBreak="0">
    <w:nsid w:val="130717F0"/>
    <w:multiLevelType w:val="multilevel"/>
    <w:tmpl w:val="F638877E"/>
    <w:lvl w:ilvl="0">
      <w:start w:val="1"/>
      <w:numFmt w:val="decimal"/>
      <w:lvlText w:val="%1."/>
      <w:lvlJc w:val="left"/>
      <w:pPr>
        <w:tabs>
          <w:tab w:val="left" w:pos="1065"/>
        </w:tabs>
        <w:ind w:left="1065" w:hanging="360"/>
      </w:pPr>
      <w:rPr>
        <w:b/>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6CB06E95"/>
    <w:multiLevelType w:val="multilevel"/>
    <w:tmpl w:val="2C204AC6"/>
    <w:lvl w:ilvl="0">
      <w:start w:val="2"/>
      <w:numFmt w:val="decimal"/>
      <w:lvlText w:val="%1."/>
      <w:lvlJc w:val="left"/>
      <w:pPr>
        <w:tabs>
          <w:tab w:val="left" w:pos="1065"/>
        </w:tabs>
        <w:ind w:left="1065" w:hanging="360"/>
      </w:pPr>
    </w:lvl>
    <w:lvl w:ilvl="1">
      <w:start w:val="1"/>
      <w:numFmt w:val="lowerLetter"/>
      <w:lvlText w:val="%2."/>
      <w:lvlJc w:val="left"/>
      <w:pPr>
        <w:tabs>
          <w:tab w:val="left" w:pos="1785"/>
        </w:tabs>
        <w:ind w:left="1785" w:hanging="360"/>
      </w:pPr>
    </w:lvl>
    <w:lvl w:ilvl="2">
      <w:start w:val="1"/>
      <w:numFmt w:val="lowerRoman"/>
      <w:lvlText w:val="%3."/>
      <w:lvlJc w:val="right"/>
      <w:pPr>
        <w:tabs>
          <w:tab w:val="left" w:pos="2505"/>
        </w:tabs>
        <w:ind w:left="2505" w:hanging="180"/>
      </w:pPr>
    </w:lvl>
    <w:lvl w:ilvl="3">
      <w:start w:val="1"/>
      <w:numFmt w:val="decimal"/>
      <w:lvlText w:val="%4."/>
      <w:lvlJc w:val="left"/>
      <w:pPr>
        <w:tabs>
          <w:tab w:val="left" w:pos="3225"/>
        </w:tabs>
        <w:ind w:left="3225" w:hanging="360"/>
      </w:pPr>
    </w:lvl>
    <w:lvl w:ilvl="4">
      <w:start w:val="1"/>
      <w:numFmt w:val="lowerLetter"/>
      <w:lvlText w:val="%5."/>
      <w:lvlJc w:val="left"/>
      <w:pPr>
        <w:tabs>
          <w:tab w:val="left" w:pos="3945"/>
        </w:tabs>
        <w:ind w:left="3945" w:hanging="360"/>
      </w:pPr>
    </w:lvl>
    <w:lvl w:ilvl="5">
      <w:start w:val="1"/>
      <w:numFmt w:val="lowerRoman"/>
      <w:lvlText w:val="%6."/>
      <w:lvlJc w:val="right"/>
      <w:pPr>
        <w:tabs>
          <w:tab w:val="left" w:pos="4665"/>
        </w:tabs>
        <w:ind w:left="4665" w:hanging="180"/>
      </w:pPr>
    </w:lvl>
    <w:lvl w:ilvl="6">
      <w:start w:val="1"/>
      <w:numFmt w:val="decimal"/>
      <w:lvlText w:val="%7."/>
      <w:lvlJc w:val="left"/>
      <w:pPr>
        <w:tabs>
          <w:tab w:val="left" w:pos="5385"/>
        </w:tabs>
        <w:ind w:left="5385" w:hanging="360"/>
      </w:pPr>
    </w:lvl>
    <w:lvl w:ilvl="7">
      <w:start w:val="1"/>
      <w:numFmt w:val="lowerLetter"/>
      <w:lvlText w:val="%8."/>
      <w:lvlJc w:val="left"/>
      <w:pPr>
        <w:tabs>
          <w:tab w:val="left" w:pos="6105"/>
        </w:tabs>
        <w:ind w:left="6105" w:hanging="360"/>
      </w:pPr>
    </w:lvl>
    <w:lvl w:ilvl="8">
      <w:start w:val="1"/>
      <w:numFmt w:val="lowerRoman"/>
      <w:lvlText w:val="%9."/>
      <w:lvlJc w:val="right"/>
      <w:pPr>
        <w:tabs>
          <w:tab w:val="left" w:pos="6825"/>
        </w:tabs>
        <w:ind w:left="6825" w:hanging="180"/>
      </w:pPr>
    </w:lvl>
  </w:abstractNum>
  <w:num w:numId="1" w16cid:durableId="4959190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3720077">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946843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73E2"/>
    <w:rsid w:val="001C5929"/>
    <w:rsid w:val="00296C4E"/>
    <w:rsid w:val="002B33C8"/>
    <w:rsid w:val="004304B2"/>
    <w:rsid w:val="004E4770"/>
    <w:rsid w:val="004E73E2"/>
    <w:rsid w:val="005A2AFF"/>
    <w:rsid w:val="007B31CA"/>
    <w:rsid w:val="00C71F66"/>
  </w:rsids>
  <w:docVars>
    <w:docVar w:name="url" w:val="http://10.1.48.53:80/ecris_cdms/document_upload.aspx?id_document=200000002969351&amp;id_departament=5&amp;id_sesiune=2557844&amp;id_user=856&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4A6E1950"/>
  <w15:docId w15:val="{942CE354-9696-4349-9FD6-5A3D030EF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rPr>
      <w:rFonts w:ascii="Calibri" w:hAnsi="Calibri"/>
    </w:rPr>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33</ap:TotalTime>
  <ap:Pages>1</ap:Pages>
  <ap:Words>9425</ap:Words>
  <ap:Characters>53727</ap:Characters>
  <ap:Application>Microsoft Office Word</ap:Application>
  <ap:DocSecurity>0</ap:DocSecurity>
  <ap:Lines>447</ap:Lines>
  <ap:Paragraphs>126</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63026</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