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5.0 -->
  <w:body>
    <w:p w:rsidR="00AE07BB" w14:paraId="48D9B897" w14:textId="6ADD4A5A">
      <w:r>
        <w:t>Cod ECLI    ECLI:RO:</w:t>
      </w:r>
      <w:r w:rsidR="00361AF9">
        <w:t>............</w:t>
      </w:r>
    </w:p>
    <w:p w:rsidR="00AE07BB" w14:paraId="638B517E" w14:textId="77777777">
      <w:r>
        <w:t>Prezentul document este supus reglementărilor aflate sub incidenţa  Regulamentului U.E. 2016/679</w:t>
      </w:r>
    </w:p>
    <w:p w:rsidR="00AE07BB" w14:paraId="72C24A67" w14:textId="77777777">
      <w:pPr>
        <w:jc w:val="center"/>
      </w:pPr>
    </w:p>
    <w:p w:rsidR="00AE07BB" w14:paraId="22AD4662" w14:textId="77777777">
      <w:pPr>
        <w:jc w:val="center"/>
      </w:pPr>
      <w:r>
        <w:t xml:space="preserve"> R O M Â N I A</w:t>
      </w:r>
    </w:p>
    <w:p w:rsidR="00AE07BB" w14:paraId="6C71E5E8" w14:textId="46E479CF">
      <w:pPr>
        <w:jc w:val="center"/>
      </w:pPr>
      <w:r>
        <w:t xml:space="preserve">CURTEA DE APEL </w:t>
      </w:r>
      <w:r w:rsidR="00361AF9">
        <w:t xml:space="preserve">............. </w:t>
      </w:r>
    </w:p>
    <w:p w:rsidR="00AE07BB" w14:paraId="688DD9FC" w14:textId="6027D846">
      <w:pPr>
        <w:jc w:val="center"/>
      </w:pPr>
      <w:r w:rsidRPr="00361AF9">
        <w:rPr>
          <w:rStyle w:val="Fontdeparagrafimplicit"/>
          <w:rFonts w:ascii="Bookman Old Style" w:hAnsi="Bookman Old Style"/>
          <w:lang w:val="pt-PT"/>
        </w:rPr>
        <w:t xml:space="preserve">SECŢIA </w:t>
      </w:r>
      <w:r w:rsidR="00361AF9">
        <w:rPr>
          <w:rStyle w:val="Fontdeparagrafimplicit"/>
          <w:rFonts w:ascii="Bookman Old Style" w:hAnsi="Bookman Old Style"/>
          <w:lang w:val="pt-PT"/>
        </w:rPr>
        <w:t xml:space="preserve">............. </w:t>
      </w:r>
    </w:p>
    <w:p w:rsidR="00AE07BB" w14:paraId="24F0772F" w14:textId="77777777"/>
    <w:p w:rsidRPr="00361AF9" w:rsidR="00AE07BB" w14:paraId="3819095C" w14:textId="27110CF7">
      <w:pPr>
        <w:rPr>
          <w:rStyle w:val="Fontdeparagrafimplicit"/>
          <w:b/>
          <w:lang w:val="pt-PT"/>
        </w:rPr>
      </w:pPr>
      <w:r w:rsidRPr="00361AF9">
        <w:rPr>
          <w:rStyle w:val="Fontdeparagrafimplicit"/>
          <w:b/>
          <w:lang w:val="pt-PT"/>
        </w:rPr>
        <w:t xml:space="preserve"> DOSAR NR. </w:t>
      </w:r>
      <w:r w:rsidR="00361AF9">
        <w:rPr>
          <w:rStyle w:val="Fontdeparagrafimplicit"/>
          <w:b/>
          <w:lang w:val="pt-PT"/>
        </w:rPr>
        <w:t>13</w:t>
      </w:r>
    </w:p>
    <w:p w:rsidRPr="00361AF9" w:rsidR="00AE07BB" w14:paraId="3388EC9C" w14:textId="56B76A30">
      <w:pPr>
        <w:pStyle w:val="Titlu2"/>
        <w:jc w:val="center"/>
        <w:rPr>
          <w:rStyle w:val="Fontdeparagrafimplicit"/>
          <w:rFonts w:ascii="Times New Roman" w:hAnsi="Times New Roman"/>
          <w:lang w:val="pt-PT"/>
        </w:rPr>
      </w:pPr>
      <w:r w:rsidRPr="00361AF9">
        <w:rPr>
          <w:rStyle w:val="Fontdeparagrafimplicit"/>
          <w:rFonts w:ascii="Times New Roman" w:hAnsi="Times New Roman"/>
          <w:i w:val="0"/>
          <w:lang w:val="pt-PT"/>
        </w:rPr>
        <w:t xml:space="preserve">DECIZIA CIVILĂ NR. </w:t>
      </w:r>
      <w:r w:rsidR="00361AF9">
        <w:rPr>
          <w:rStyle w:val="Fontdeparagrafimplicit"/>
          <w:rFonts w:ascii="Times New Roman" w:hAnsi="Times New Roman"/>
          <w:i w:val="0"/>
          <w:lang w:val="pt-PT"/>
        </w:rPr>
        <w:t>13</w:t>
      </w:r>
    </w:p>
    <w:p w:rsidR="00AE07BB" w14:paraId="26E9DC83" w14:textId="4B308B1D">
      <w:pPr>
        <w:jc w:val="center"/>
      </w:pPr>
      <w:r>
        <w:t xml:space="preserve">Şedinţa publică din data de </w:t>
      </w:r>
      <w:r w:rsidR="00361AF9">
        <w:t xml:space="preserve">.............. </w:t>
      </w:r>
    </w:p>
    <w:p w:rsidR="00AE07BB" w14:paraId="74BD5E23" w14:textId="77777777">
      <w:pPr>
        <w:jc w:val="center"/>
      </w:pPr>
      <w:r>
        <w:t>Instanţa constituită din:</w:t>
      </w:r>
    </w:p>
    <w:p w:rsidR="00AE07BB" w14:paraId="1FD148AC" w14:textId="1AAC0AC1">
      <w:pPr>
        <w:ind w:left="1440"/>
        <w:jc w:val="both"/>
      </w:pPr>
      <w:r>
        <w:t xml:space="preserve">                  PREŞEDINTE:  </w:t>
      </w:r>
      <w:r w:rsidR="00361AF9">
        <w:t xml:space="preserve">.............. </w:t>
      </w:r>
    </w:p>
    <w:p w:rsidR="00AE07BB" w14:paraId="3ADDADF3" w14:textId="7CF27CED">
      <w:pPr>
        <w:jc w:val="both"/>
      </w:pPr>
      <w:r>
        <w:t xml:space="preserve">                                          JUDECĂTOR:   </w:t>
      </w:r>
      <w:r w:rsidR="00361AF9">
        <w:t>A0019</w:t>
      </w:r>
    </w:p>
    <w:p w:rsidR="00AE07BB" w14:paraId="65671758" w14:textId="42FE7215">
      <w:pPr>
        <w:ind w:firstLine="708"/>
        <w:jc w:val="both"/>
      </w:pPr>
      <w:r>
        <w:t xml:space="preserve">                  </w:t>
      </w:r>
      <w:r>
        <w:tab/>
        <w:t xml:space="preserve">      GREFIER:         </w:t>
      </w:r>
      <w:r w:rsidR="00361AF9">
        <w:t xml:space="preserve">................. </w:t>
      </w:r>
    </w:p>
    <w:p w:rsidR="00AE07BB" w14:paraId="3EF78387" w14:textId="77777777">
      <w:pPr>
        <w:ind w:firstLine="708"/>
        <w:jc w:val="both"/>
      </w:pPr>
    </w:p>
    <w:p w:rsidR="00AE07BB" w14:paraId="387DB5D9" w14:textId="0947CF56">
      <w:pPr>
        <w:ind w:firstLine="708"/>
        <w:jc w:val="both"/>
      </w:pPr>
      <w:r>
        <w:t xml:space="preserve">S-a luat în examinare apelul declarat de reclamanta COMUNA </w:t>
      </w:r>
      <w:r w:rsidR="00361AF9">
        <w:t xml:space="preserve">1 </w:t>
      </w:r>
      <w:r>
        <w:t xml:space="preserve">împotriva sentinţei civile nr. </w:t>
      </w:r>
      <w:r w:rsidR="00361AF9">
        <w:t>.........</w:t>
      </w:r>
      <w:r>
        <w:t xml:space="preserve">din </w:t>
      </w:r>
      <w:r w:rsidR="00361AF9">
        <w:t xml:space="preserve">............... </w:t>
      </w:r>
      <w:r>
        <w:t xml:space="preserve">, pronunţată de Tribunalul </w:t>
      </w:r>
      <w:r w:rsidR="00361AF9">
        <w:t xml:space="preserve">............... </w:t>
      </w:r>
      <w:r>
        <w:t xml:space="preserve">în dosar nr. </w:t>
      </w:r>
      <w:r w:rsidR="00361AF9">
        <w:t>13</w:t>
      </w:r>
      <w:r>
        <w:t xml:space="preserve">, privind şi pe intimatul-pârât </w:t>
      </w:r>
      <w:r w:rsidR="00361AF9">
        <w:t xml:space="preserve">2 </w:t>
      </w:r>
      <w:r>
        <w:t>, având ca obiect acţiune în răspundere patrimonială.</w:t>
      </w:r>
    </w:p>
    <w:p w:rsidR="00AE07BB" w14:paraId="49B61D93" w14:textId="77777777">
      <w:pPr>
        <w:jc w:val="both"/>
      </w:pPr>
      <w:r>
        <w:tab/>
        <w:t xml:space="preserve">La apelul nominal făcut în şedinţă publică, se constată lipsa părţilor. </w:t>
      </w:r>
    </w:p>
    <w:p w:rsidR="00AE07BB" w14:paraId="6A995EC6" w14:textId="77777777">
      <w:pPr>
        <w:ind w:firstLine="708"/>
        <w:jc w:val="both"/>
      </w:pPr>
      <w:r>
        <w:t xml:space="preserve">Procedura de citare este legal îndeplinită. </w:t>
      </w:r>
    </w:p>
    <w:p w:rsidR="00AE07BB" w14:paraId="18D5D1FC" w14:textId="77777777">
      <w:pPr>
        <w:ind w:firstLine="708"/>
        <w:jc w:val="both"/>
      </w:pPr>
      <w:r>
        <w:t xml:space="preserve">Verificându-şi competenţa, în temeiul art. 131 C.pr.civ., instanţa constată că este competentă material să soluţioneze acest apel, potrivit dispoziţiilor art. 214 din Legea nr. 62/2011, coroborat cu art. 96 pct. 2 C.pr.civ. </w:t>
      </w:r>
    </w:p>
    <w:p w:rsidR="00AE07BB" w14:paraId="5DE57448" w14:textId="77777777">
      <w:pPr>
        <w:ind w:firstLine="708"/>
        <w:jc w:val="both"/>
      </w:pPr>
      <w:r>
        <w:t xml:space="preserve">Apelul a fost declarat şi motivat în termenul legal, a fost comunicat şi este scutit de plata taxei judiciare de timbru. </w:t>
      </w:r>
    </w:p>
    <w:p w:rsidR="00AE07BB" w14:paraId="46AACFCA" w14:textId="77777777">
      <w:pPr>
        <w:ind w:firstLine="708"/>
        <w:jc w:val="both"/>
      </w:pPr>
      <w:r>
        <w:t>S-a făcut referatul cauzei, după care se constată îndeplinită procedura prevăzută de art. XV din Legea nr. 2/2013, neformulându-se întâmpinare în cauză.</w:t>
      </w:r>
    </w:p>
    <w:p w:rsidR="00AE07BB" w14:paraId="21F245DC" w14:textId="77777777">
      <w:pPr>
        <w:ind w:firstLine="708"/>
        <w:jc w:val="both"/>
      </w:pPr>
      <w:r>
        <w:t>Cauza fiind în stare de judecată rămâne în pronunţare, având în vedere că prin cererea de apel s-a solicitat judecarea în lipsă.</w:t>
      </w:r>
    </w:p>
    <w:p w:rsidR="00AE07BB" w14:paraId="666EDBB7" w14:textId="77777777">
      <w:pPr>
        <w:ind w:firstLine="708"/>
        <w:jc w:val="both"/>
      </w:pPr>
    </w:p>
    <w:p w:rsidRPr="00361AF9" w:rsidR="00AE07BB" w14:paraId="45EFF0AB" w14:textId="77777777">
      <w:pPr>
        <w:jc w:val="center"/>
        <w:rPr>
          <w:rStyle w:val="Fontdeparagrafimplicit"/>
          <w:b/>
          <w:lang w:val="pt-PT"/>
        </w:rPr>
      </w:pPr>
      <w:r w:rsidRPr="00361AF9">
        <w:rPr>
          <w:rStyle w:val="Fontdeparagrafimplicit"/>
          <w:b/>
          <w:lang w:val="pt-PT"/>
        </w:rPr>
        <w:t>C U R T E A</w:t>
      </w:r>
    </w:p>
    <w:p w:rsidRPr="00361AF9" w:rsidR="00AE07BB" w14:paraId="20F0AD42" w14:textId="77777777">
      <w:pPr>
        <w:jc w:val="center"/>
        <w:rPr>
          <w:rStyle w:val="Fontdeparagrafimplicit"/>
          <w:b/>
          <w:lang w:val="pt-PT"/>
        </w:rPr>
      </w:pPr>
    </w:p>
    <w:p w:rsidR="00AE07BB" w14:paraId="4C338E59" w14:textId="7F1FFBAD">
      <w:pPr>
        <w:ind w:firstLine="708"/>
        <w:jc w:val="both"/>
      </w:pPr>
      <w:r w:rsidRPr="00361AF9">
        <w:rPr>
          <w:rStyle w:val="Fontdeparagrafimplicit"/>
          <w:i/>
          <w:lang w:val="pt-PT"/>
        </w:rPr>
        <w:t>Prin acţiunea</w:t>
      </w:r>
      <w:r>
        <w:t xml:space="preserve"> civilă înregistrată la această instanţă sub nr. de mai sus reclamanta Comuna </w:t>
      </w:r>
      <w:r w:rsidR="00361AF9">
        <w:t xml:space="preserve">1 </w:t>
      </w:r>
      <w:r>
        <w:t xml:space="preserve">a chemat în judecată pe pârâtul </w:t>
      </w:r>
      <w:r w:rsidR="00361AF9">
        <w:t xml:space="preserve">2 </w:t>
      </w:r>
      <w:r>
        <w:t xml:space="preserve"> solicitând obligarea pârâtului la plata sumei de 1.220 lei, reprezentând prejudiciu şi la plata cheltuielilor de judecată.</w:t>
      </w:r>
    </w:p>
    <w:p w:rsidR="00AE07BB" w14:paraId="70E8D035" w14:textId="02FC536D">
      <w:pPr>
        <w:shd w:val="clear" w:color="auto" w:fill="FFFFFF"/>
        <w:tabs>
          <w:tab w:val="left" w:pos="0"/>
        </w:tabs>
        <w:ind w:right="38"/>
        <w:jc w:val="both"/>
      </w:pPr>
      <w:r w:rsidRPr="00361AF9">
        <w:rPr>
          <w:rStyle w:val="Fontdeparagrafimplicit"/>
          <w:i/>
          <w:lang w:val="pt-PT"/>
        </w:rPr>
        <w:tab/>
        <w:t xml:space="preserve">Prin sentinţa civilă nr. </w:t>
      </w:r>
      <w:r>
        <w:t xml:space="preserve"> </w:t>
      </w:r>
      <w:r w:rsidR="00361AF9">
        <w:rPr>
          <w:rStyle w:val="Fontdeparagrafimplicit"/>
          <w:i/>
          <w:lang w:val="pt-PT"/>
        </w:rPr>
        <w:t>......</w:t>
      </w:r>
      <w:r w:rsidRPr="00361AF9">
        <w:rPr>
          <w:rStyle w:val="Fontdeparagrafimplicit"/>
          <w:i/>
          <w:lang w:val="pt-PT"/>
        </w:rPr>
        <w:t>/</w:t>
      </w:r>
      <w:r w:rsidR="00361AF9">
        <w:rPr>
          <w:rStyle w:val="Fontdeparagrafimplicit"/>
          <w:i/>
          <w:lang w:val="pt-PT"/>
        </w:rPr>
        <w:t xml:space="preserve">............... </w:t>
      </w:r>
      <w:r w:rsidRPr="00361AF9">
        <w:rPr>
          <w:rStyle w:val="Fontdeparagrafimplicit"/>
          <w:i/>
          <w:lang w:val="pt-PT"/>
        </w:rPr>
        <w:t xml:space="preserve"> a Tribunalului </w:t>
      </w:r>
      <w:r w:rsidR="00361AF9">
        <w:rPr>
          <w:rStyle w:val="Fontdeparagrafimplicit"/>
          <w:i/>
          <w:lang w:val="pt-PT"/>
        </w:rPr>
        <w:t xml:space="preserve">............ </w:t>
      </w:r>
      <w:r w:rsidRPr="00361AF9">
        <w:rPr>
          <w:rStyle w:val="Fontdeparagrafimplicit"/>
          <w:i/>
          <w:lang w:val="pt-PT"/>
        </w:rPr>
        <w:t xml:space="preserve">, pronunţată în dosar nr. </w:t>
      </w:r>
      <w:r w:rsidR="00361AF9">
        <w:rPr>
          <w:rStyle w:val="Fontdeparagrafimplicit"/>
          <w:i/>
          <w:lang w:val="pt-PT"/>
        </w:rPr>
        <w:t>13</w:t>
      </w:r>
      <w:r w:rsidRPr="00361AF9">
        <w:rPr>
          <w:rStyle w:val="Fontdeparagrafimplicit"/>
          <w:i/>
          <w:lang w:val="pt-PT"/>
        </w:rPr>
        <w:t>,</w:t>
      </w:r>
      <w:r>
        <w:t xml:space="preserve"> s-a respins ca neîntemeiată acţiunea civilă formulată de reclamanta Comuna </w:t>
      </w:r>
      <w:r w:rsidR="00361AF9">
        <w:t xml:space="preserve">1 </w:t>
      </w:r>
      <w:r>
        <w:t xml:space="preserve">împotriva pârâtului </w:t>
      </w:r>
      <w:r w:rsidR="00361AF9">
        <w:t>2</w:t>
      </w:r>
      <w:r>
        <w:t>. Nu s-au acordat cheltuieli de judecată.</w:t>
      </w:r>
    </w:p>
    <w:p w:rsidR="00AE07BB" w14:paraId="2E888654" w14:textId="77777777">
      <w:pPr>
        <w:jc w:val="both"/>
      </w:pPr>
      <w:r>
        <w:tab/>
        <w:t>Pentru a hotărî astfel prima instanţă a reţinut că reclamanta a solicitat obligarea pârâtului la plata sumei de 1.220 lei reprezentând contravaloarea amenzii şi a majorărilor de întârziere aferente, amendă achitată Gărzii de Mediu din bugetul comunei.</w:t>
      </w:r>
    </w:p>
    <w:p w:rsidR="00AE07BB" w14:paraId="46960EC5" w14:textId="34E56EE5">
      <w:pPr>
        <w:jc w:val="both"/>
      </w:pPr>
      <w:r>
        <w:tab/>
        <w:t xml:space="preserve">În urma unui control al organelor Curţii de Conturi </w:t>
      </w:r>
      <w:r w:rsidR="00361AF9">
        <w:t xml:space="preserve">............... </w:t>
      </w:r>
      <w:r>
        <w:t>s-a constatat plata unei amenzii în cuantum de 1.000 lei din bugetul comunei fără ca ulterior să se ia măsuri în vederea recuperării sumei plătite de la persoana vinovată.</w:t>
      </w:r>
    </w:p>
    <w:p w:rsidR="00AE07BB" w14:paraId="05C175A2" w14:textId="77777777">
      <w:pPr>
        <w:jc w:val="both"/>
      </w:pPr>
      <w:r>
        <w:tab/>
        <w:t xml:space="preserve">Aşa cum rezultă din cuprinsul procesului verbal de constatare şi sancţionare a contravenţiei (f. 18) reclamanta a fost amendată pentru nedepunerea în termen a declaraţiei privitoare la deşeurile de ambalaje colectate. </w:t>
      </w:r>
    </w:p>
    <w:p w:rsidR="00AE07BB" w14:paraId="69CA8810" w14:textId="25716BE4">
      <w:pPr>
        <w:jc w:val="both"/>
      </w:pPr>
      <w:r>
        <w:tab/>
        <w:t>Reclamanta pretinde că obligaţia depunerii declaraţiei până la data de 25 ianuarie 2016 revenea viceprimarului, pârât în cauză, astfel încât cuantumul amenzii plătite de 1.000 lei şi majorările de întârziere calculate de organele Curţii de Conturi în su</w:t>
      </w:r>
      <w:r w:rsidR="00341370">
        <w:t>m</w:t>
      </w:r>
      <w:r>
        <w:t>ă de 220 lei incumbă pârâtului.</w:t>
      </w:r>
    </w:p>
    <w:p w:rsidR="00AE07BB" w14:paraId="19D2C134" w14:textId="77777777">
      <w:pPr>
        <w:shd w:val="clear" w:color="auto" w:fill="FFFFFF"/>
        <w:tabs>
          <w:tab w:val="left" w:pos="0"/>
        </w:tabs>
        <w:ind w:right="38"/>
        <w:jc w:val="both"/>
      </w:pPr>
      <w:r>
        <w:tab/>
        <w:t xml:space="preserve">Aşa cum s-a statuat de Înalta Curte de Casaţie şi Justiţie prin decizia nr. 17/2016 pronunţată în dezlegarea unei chestiuni de drept, paragraful 54, deşi instanţa nu este ţinută de constatările </w:t>
      </w:r>
      <w:r>
        <w:t>Cur</w:t>
      </w:r>
      <w:r w:rsidRPr="00361AF9">
        <w:rPr>
          <w:rStyle w:val="Fontdeparagrafimplicit"/>
          <w:rFonts w:ascii="Calibri" w:hAnsi="Calibri"/>
          <w:lang w:val="ro-RO"/>
        </w:rPr>
        <w:t>ț</w:t>
      </w:r>
      <w:r>
        <w:t xml:space="preserve">ii de Conturi, instituţie care se află într-un raport juridic de drept fiscal cu angajatorul, decizia Curţii de Conturi instituie totuşi o prezumţie relativă privind situaţia juridică constatată şi poate constitui un mijloc de probă în procesul pendinte. </w:t>
      </w:r>
    </w:p>
    <w:p w:rsidR="00AE07BB" w14:paraId="454AB73D" w14:textId="77777777">
      <w:pPr>
        <w:shd w:val="clear" w:color="auto" w:fill="FFFFFF"/>
        <w:tabs>
          <w:tab w:val="left" w:pos="0"/>
        </w:tabs>
        <w:ind w:right="38"/>
        <w:jc w:val="both"/>
      </w:pPr>
      <w:r>
        <w:tab/>
        <w:t>Ca atare, în cadrul analizei răspunderii patrimoniale, tribunalul a avut în vedere documentaţia depusă la dosar de părţi şi cea prezentată organului de control.</w:t>
      </w:r>
    </w:p>
    <w:p w:rsidR="00AE07BB" w14:paraId="5E6486B6" w14:textId="3B1E5F2F">
      <w:pPr>
        <w:shd w:val="clear" w:color="auto" w:fill="FFFFFF"/>
        <w:tabs>
          <w:tab w:val="left" w:pos="0"/>
        </w:tabs>
        <w:ind w:right="38"/>
        <w:jc w:val="both"/>
      </w:pPr>
      <w:r>
        <w:tab/>
        <w:t xml:space="preserve">Potrivit menţiunilor din cuprinsul raportului de audit financiar întocmit la data de 6 iulie 2018, pârâtul a îndeplinit funcţia de viceprimar în perioada 1.01.2015 – 22.06.2016, ulterior funcţia fiind deţinută de numitul </w:t>
      </w:r>
      <w:r w:rsidR="00361AF9">
        <w:t>3</w:t>
      </w:r>
      <w:r>
        <w:t>, aspect necontestat în cauză.</w:t>
      </w:r>
    </w:p>
    <w:p w:rsidR="00AE07BB" w14:paraId="5190CF01" w14:textId="0DDAD2BD">
      <w:pPr>
        <w:shd w:val="clear" w:color="auto" w:fill="FFFFFF"/>
        <w:tabs>
          <w:tab w:val="left" w:pos="0"/>
        </w:tabs>
        <w:ind w:right="38"/>
        <w:jc w:val="both"/>
      </w:pPr>
      <w:r>
        <w:tab/>
        <w:t xml:space="preserve">Potrivit adresei nr. </w:t>
      </w:r>
      <w:r w:rsidR="00361AF9">
        <w:t>4</w:t>
      </w:r>
      <w:r>
        <w:t>/3.02.2016 raportarea datelor privitoare la deşeurile de ambalaje pentru anul 2015 avea termenul limită de 25 februarie 2016, reclamanta comunicând anexa 4 conţinând datele solicitate la data de 2 aprilie 2016.</w:t>
      </w:r>
    </w:p>
    <w:p w:rsidR="00AE07BB" w14:paraId="3B623FDE" w14:textId="77777777">
      <w:pPr>
        <w:shd w:val="clear" w:color="auto" w:fill="FFFFFF"/>
        <w:tabs>
          <w:tab w:val="left" w:pos="0"/>
        </w:tabs>
        <w:ind w:right="38"/>
        <w:jc w:val="both"/>
      </w:pPr>
      <w:r>
        <w:tab/>
        <w:t xml:space="preserve">Conform art. 1 al OUG nr. 196/2005, act normativ în baza căruia s-a aplicat sancţiunea, fondul pentru mediu este un instrument economico-financiar destinat susţinerii şi realizării proiectelor şi programelor pentru protecţia mediului şi pentru atingerea obiectivelor Uniunii Europene în domeniul mediului şi schimbărilor climatice, în conformitate cu dispoziţiile legale în vigoare.  </w:t>
      </w:r>
    </w:p>
    <w:p w:rsidR="00AE07BB" w14:paraId="4338EDB5" w14:textId="77777777">
      <w:pPr>
        <w:shd w:val="clear" w:color="auto" w:fill="FFFFFF"/>
        <w:tabs>
          <w:tab w:val="left" w:pos="0"/>
        </w:tabs>
        <w:ind w:right="38"/>
        <w:jc w:val="both"/>
      </w:pPr>
      <w:r>
        <w:tab/>
        <w:t>Potrivit art. 63 alin. 1 lit. d) din Legea nr. 215/2001, primarul îndeplineşte atribuţii privind serviciile publice asigurate cetăţenilor, în exercitarea cărora, potrivit alin. 5 lit. h a art. 63 asigură realizarea lucrărilor şi ia măsurile necesare conformării cu prevederile angajamentelor asumate în procesul de integrare europeană în domeniul protecţiei mediului şi gospodăririi apelor pentru serviciile furnizate cetăţenilor.</w:t>
      </w:r>
    </w:p>
    <w:p w:rsidR="00AE07BB" w14:paraId="7A040C39" w14:textId="77777777">
      <w:pPr>
        <w:shd w:val="clear" w:color="auto" w:fill="FFFFFF"/>
        <w:tabs>
          <w:tab w:val="left" w:pos="0"/>
        </w:tabs>
        <w:ind w:right="38"/>
        <w:jc w:val="both"/>
      </w:pPr>
      <w:r>
        <w:tab/>
        <w:t>Aceste atribuţii pot fi delegate viceprimarului, conform art. 65 din Legea nr. 215/2001.</w:t>
      </w:r>
    </w:p>
    <w:p w:rsidR="00AE07BB" w14:paraId="0855CDE3" w14:textId="577CD67F">
      <w:pPr>
        <w:shd w:val="clear" w:color="auto" w:fill="FFFFFF"/>
        <w:tabs>
          <w:tab w:val="left" w:pos="0"/>
        </w:tabs>
        <w:ind w:right="38"/>
        <w:jc w:val="both"/>
      </w:pPr>
      <w:r>
        <w:tab/>
        <w:t xml:space="preserve">Aşa cum rezultă din adresa nr. </w:t>
      </w:r>
      <w:r w:rsidR="00361AF9">
        <w:t>5</w:t>
      </w:r>
      <w:r>
        <w:t>/2019 a reclamantei nu există vreun act de delegare a atribuţiilor în domeniul protecţiei mediului către pârât, delegarea realizându-se informal.</w:t>
      </w:r>
    </w:p>
    <w:p w:rsidR="00AE07BB" w14:paraId="5EC83596" w14:textId="09D88DD9">
      <w:pPr>
        <w:shd w:val="clear" w:color="auto" w:fill="FFFFFF"/>
        <w:tabs>
          <w:tab w:val="left" w:pos="0"/>
        </w:tabs>
        <w:ind w:right="38"/>
        <w:jc w:val="both"/>
      </w:pPr>
      <w:r>
        <w:tab/>
        <w:t xml:space="preserve">Delegarea atribuţiilor s-a realizat abia prin dispoziţia nr. </w:t>
      </w:r>
      <w:r w:rsidR="00361AF9">
        <w:t>6</w:t>
      </w:r>
      <w:r>
        <w:t>/23.06.2016, când deja funcţia de viceprimar era exercitată de altă persoană.</w:t>
      </w:r>
    </w:p>
    <w:p w:rsidR="00AE07BB" w14:paraId="41BC9734" w14:textId="77777777">
      <w:pPr>
        <w:shd w:val="clear" w:color="auto" w:fill="FFFFFF"/>
        <w:tabs>
          <w:tab w:val="left" w:pos="0"/>
        </w:tabs>
        <w:ind w:right="38"/>
        <w:jc w:val="both"/>
      </w:pPr>
      <w:r>
        <w:tab/>
        <w:t>Tabelul cuprinzând datele referitoare la deşeurile de ambalaje pe anul 2014 şi anul 2015 (36, 37, 71, 72) poartă atât semnătura primarului, cât şi a pârâtului, viceprimar la acea dată.</w:t>
      </w:r>
    </w:p>
    <w:p w:rsidR="00AE07BB" w14:paraId="7B018C50" w14:textId="0EB08F06">
      <w:pPr>
        <w:shd w:val="clear" w:color="auto" w:fill="FFFFFF"/>
        <w:tabs>
          <w:tab w:val="left" w:pos="0"/>
        </w:tabs>
        <w:ind w:right="38"/>
        <w:jc w:val="both"/>
      </w:pPr>
      <w:r>
        <w:tab/>
        <w:t xml:space="preserve">Cu toate că reclamanta invocă şi susţine teza unei delegări faptice a atribuţiilor în domeniul protecţiei mediului către viceprimar, prin nota de relaţii dată de primar la solicitarea organelor Curţii de Conturi nr. </w:t>
      </w:r>
      <w:r w:rsidR="00361AF9">
        <w:t>7</w:t>
      </w:r>
      <w:r>
        <w:t>/2.07.2018 (f. 136) se arată că în fapt atribuţiile în domeniul protecţiei mediului au fost îndeplinite atât de către viceprimar, cât şi de compartimentul registrul agricol, urbanism, însă depunerea declaraţiei verificată de Garda de Mediu, nu a fost înscrisă ca atribuţie în fişa de post a viceprimarului sau al persoanelor de la compartimentul mai sus menţionat. În aceste condiţii, primarul precizează expres că identificarea persoanei culpabile a fost dificilă.</w:t>
      </w:r>
    </w:p>
    <w:p w:rsidR="00AE07BB" w14:paraId="0570E4E2" w14:textId="77777777">
      <w:pPr>
        <w:shd w:val="clear" w:color="auto" w:fill="FFFFFF"/>
        <w:tabs>
          <w:tab w:val="left" w:pos="0"/>
        </w:tabs>
        <w:ind w:right="38"/>
        <w:jc w:val="both"/>
      </w:pPr>
      <w:r>
        <w:tab/>
        <w:t>Organul de control reţine în privinţa acestei abateri o funcţionare necorespunzătoare a controlului intern managerial în cadrul reclamantei.</w:t>
      </w:r>
    </w:p>
    <w:p w:rsidR="00AE07BB" w14:paraId="5709637A" w14:textId="77777777">
      <w:pPr>
        <w:shd w:val="clear" w:color="auto" w:fill="FFFFFF"/>
        <w:tabs>
          <w:tab w:val="left" w:pos="0"/>
        </w:tabs>
        <w:ind w:right="38"/>
        <w:jc w:val="both"/>
      </w:pPr>
      <w:r>
        <w:tab/>
        <w:t>Antrenarea răspunderii patrimoniale presupune îndeplinirea cumulativă a 4 condiţii şi anume: existenţa unei fapte ilicite, a unui prejudiciu, a unui raport de cauzalitate între faptă şi prejudiciu şi a vinovăţiei autorului ei.</w:t>
      </w:r>
    </w:p>
    <w:p w:rsidR="00AE07BB" w14:paraId="1E3A3410" w14:textId="77777777">
      <w:pPr>
        <w:shd w:val="clear" w:color="auto" w:fill="FFFFFF"/>
        <w:tabs>
          <w:tab w:val="left" w:pos="0"/>
        </w:tabs>
        <w:ind w:right="38"/>
        <w:jc w:val="both"/>
      </w:pPr>
      <w:r>
        <w:tab/>
        <w:t>Conform  deciziei nr. 16/2016 pronunţată de Înalta Curte de Casaţie şi Justiţie în cadrul unui recurs în interesul legii, prevederile Codului muncii se aplică raporturilor juridice dintre viceprimar şi unitatea administrativ-teritorială, dacă legi speciale nu conţin dispoziţii specifice, inclusiv după încetarea mandatelor.</w:t>
      </w:r>
    </w:p>
    <w:p w:rsidR="00AE07BB" w14:paraId="39EBFD24" w14:textId="77777777">
      <w:pPr>
        <w:shd w:val="clear" w:color="auto" w:fill="FFFFFF"/>
        <w:tabs>
          <w:tab w:val="left" w:pos="0"/>
        </w:tabs>
        <w:ind w:right="38"/>
        <w:jc w:val="both"/>
      </w:pPr>
      <w:r>
        <w:tab/>
        <w:t>Potrivit art. 254 alin. (1) răspunderea patrimonială a pârâtului, în temeiul normelor şi principiilor răspunderii civile contractuale, poate fi antrenată numai pentru pagubele materiale produse reclamantei din vina şi în legătură cu munca sa.</w:t>
      </w:r>
    </w:p>
    <w:p w:rsidR="00AE07BB" w14:paraId="2D5B11D1" w14:textId="77777777">
      <w:pPr>
        <w:shd w:val="clear" w:color="auto" w:fill="FFFFFF"/>
        <w:tabs>
          <w:tab w:val="left" w:pos="0"/>
        </w:tabs>
        <w:ind w:right="38"/>
        <w:jc w:val="both"/>
      </w:pPr>
      <w:r>
        <w:tab/>
        <w:t>Dovada vinovăţiei pârâtului revine reclamantei.</w:t>
      </w:r>
    </w:p>
    <w:p w:rsidR="00AE07BB" w14:paraId="19C73A32" w14:textId="77777777">
      <w:pPr>
        <w:shd w:val="clear" w:color="auto" w:fill="FFFFFF"/>
        <w:tabs>
          <w:tab w:val="left" w:pos="0"/>
        </w:tabs>
        <w:ind w:right="38"/>
        <w:jc w:val="both"/>
      </w:pPr>
      <w:r>
        <w:tab/>
        <w:t>În cauză, deşi s-a susţinut delegarea faptică a atribuţiilor în domeniul protecţiei mediului în favoarea pârâtului viceprimar, însăşi pârâtul în faţa organelor Curţii de Conturi recunoaşte că practic aceste atribuţii s-au exercitat, în fapt, atât de viceprimar, cât şi de compartimentul registrul agricol, urbanism. Totodată, recunoaşte faptul că depunerea declaraţiei la autoritatea de mediu nu a constituit o atribuţie dată expres în sarcina vreuneia dintre aceste persoane, învederând dificultatea identificării persoanei vinovate.</w:t>
      </w:r>
    </w:p>
    <w:p w:rsidR="00AE07BB" w14:paraId="0B105DA5" w14:textId="77777777">
      <w:pPr>
        <w:shd w:val="clear" w:color="auto" w:fill="FFFFFF"/>
        <w:tabs>
          <w:tab w:val="left" w:pos="0"/>
        </w:tabs>
        <w:ind w:right="38"/>
        <w:jc w:val="both"/>
      </w:pPr>
      <w:r>
        <w:tab/>
        <w:t>Declaraţia primarului constituie o mărturisire extrajudiciară, cu valoare probantă în prezenta cauză.</w:t>
      </w:r>
    </w:p>
    <w:p w:rsidR="00AE07BB" w14:paraId="0DE52F61" w14:textId="77777777">
      <w:pPr>
        <w:shd w:val="clear" w:color="auto" w:fill="FFFFFF"/>
        <w:tabs>
          <w:tab w:val="left" w:pos="0"/>
        </w:tabs>
        <w:ind w:right="38"/>
        <w:jc w:val="both"/>
      </w:pPr>
      <w:r>
        <w:tab/>
        <w:t>În condiţiile în care însăşi primarul, în calitate de conducător al entităţii controlate şi responsabil cu delegarea atribuţiilor, atestă o partajare faptică a atribuţiilor în domeniul protecţiei mediului între viceprimar şi personalul din compartimentul registrul agricol, urbanism, lipsa însărcinării exprese a unei persoane cu depunerea declaraţiei privitoare la deşeurile de ambalaje, tribunalul nu poate reţine că vinovăţia pentru întârzierea în depunerea declaraţiei, care a justificat aplicarea amenzii, revine exclusiv viceprimarului de la acea dată, pârât în cauză.</w:t>
      </w:r>
    </w:p>
    <w:p w:rsidR="00AE07BB" w14:paraId="2C5744B3" w14:textId="77777777">
      <w:pPr>
        <w:shd w:val="clear" w:color="auto" w:fill="FFFFFF"/>
        <w:tabs>
          <w:tab w:val="left" w:pos="0"/>
        </w:tabs>
        <w:ind w:right="38"/>
        <w:jc w:val="both"/>
      </w:pPr>
      <w:r>
        <w:tab/>
        <w:t>În absenţa atragerii în proces a celorlalte persoane din compartimentul registru agricol, urbanism, menţionate ca având atribuţii în domeniul protecţiei mediului, nu se poate determina persoana concretă care avea sarcina depunerii la termen a declaraţiei, a urmăririi depunerii acesteia în intervalul de timp stabilit. Aceasta cu atât mai mult cu cât însăşi primarul atestă în nota de relaţii că nici viceprimarul, nici persoanele din compartimentul menţionat nu aveau atribuţia depunerii declaraţiei solicitate.</w:t>
      </w:r>
    </w:p>
    <w:p w:rsidR="00AE07BB" w14:paraId="2AF3642A" w14:textId="77777777">
      <w:pPr>
        <w:shd w:val="clear" w:color="auto" w:fill="FFFFFF"/>
        <w:tabs>
          <w:tab w:val="left" w:pos="0"/>
        </w:tabs>
        <w:ind w:right="38"/>
        <w:jc w:val="both"/>
      </w:pPr>
      <w:r>
        <w:tab/>
        <w:t xml:space="preserve">Tribunalul a reţinut că în situaţia în care nu exista persoană desemnată cu depunerea declaraţiei răspunderea revine primarului, care prin lege are atribuţii în domeniul protecţiei mediului, cu tot ceea ce implică aceasta. </w:t>
      </w:r>
    </w:p>
    <w:p w:rsidR="00AE07BB" w14:paraId="565670A1" w14:textId="77777777">
      <w:pPr>
        <w:shd w:val="clear" w:color="auto" w:fill="FFFFFF"/>
        <w:tabs>
          <w:tab w:val="left" w:pos="0"/>
        </w:tabs>
        <w:ind w:right="38"/>
        <w:jc w:val="both"/>
      </w:pPr>
      <w:r>
        <w:tab/>
        <w:t>Răspunderea revine primarului şi pe considerentul neîntocmirii unui act de delegare a acestei atribuţii, a nepartajării în concret a atribuţiilor viceprimarului în domeniul protecţiei mediului şi a atribuţiilor personalului din compartimentul registrul agricol, urbanism, în scopul identificării cu uşurinţă a persoanei vinovate de nedepunerea la termen a declaraţiei impuse printr-un act normativ.</w:t>
      </w:r>
    </w:p>
    <w:p w:rsidR="00AE07BB" w14:paraId="4D2BB45E" w14:textId="77777777">
      <w:pPr>
        <w:shd w:val="clear" w:color="auto" w:fill="FFFFFF"/>
        <w:tabs>
          <w:tab w:val="left" w:pos="0"/>
        </w:tabs>
        <w:ind w:right="38"/>
        <w:jc w:val="both"/>
      </w:pPr>
      <w:r>
        <w:tab/>
        <w:t>Ca atare, aşa cum au reţinut şi organele de control, prejudiciul s-a datorat funcţionării defectuoase a controlului managerial intern, lipsei unor atribuţii clare stabilite în sarcina persoanelor din cadrul entităţii reclamante.</w:t>
      </w:r>
    </w:p>
    <w:p w:rsidR="00AE07BB" w14:paraId="20B358DC" w14:textId="77777777">
      <w:pPr>
        <w:shd w:val="clear" w:color="auto" w:fill="FFFFFF"/>
        <w:tabs>
          <w:tab w:val="left" w:pos="0"/>
        </w:tabs>
        <w:ind w:right="38"/>
        <w:jc w:val="both"/>
      </w:pPr>
      <w:r>
        <w:tab/>
        <w:t>Lipseşte aşadar condiţia vinovăţiei pârâtului, necesară antrenării în sarcina sa a răspunderii patrimoniale.</w:t>
      </w:r>
    </w:p>
    <w:p w:rsidR="00AE07BB" w14:paraId="1B64BA2E" w14:textId="77777777">
      <w:pPr>
        <w:shd w:val="clear" w:color="auto" w:fill="FFFFFF"/>
        <w:tabs>
          <w:tab w:val="left" w:pos="0"/>
        </w:tabs>
        <w:ind w:right="38"/>
        <w:jc w:val="both"/>
      </w:pPr>
      <w:r>
        <w:t xml:space="preserve">   </w:t>
      </w:r>
      <w:r>
        <w:tab/>
        <w:t>În baza considerentelor relevate şi a textelor legale invocate, tribunalul a respins ca neîntemeiată acţiunea civilă formulată.</w:t>
      </w:r>
    </w:p>
    <w:p w:rsidR="00AE07BB" w14:paraId="02472A6A" w14:textId="77777777">
      <w:pPr>
        <w:shd w:val="clear" w:color="auto" w:fill="FFFFFF"/>
        <w:tabs>
          <w:tab w:val="left" w:pos="0"/>
        </w:tabs>
        <w:ind w:right="38"/>
        <w:jc w:val="both"/>
      </w:pPr>
      <w:r>
        <w:tab/>
        <w:t>Nu au fost solicitate cheltuieli de judecată de către pârât.</w:t>
      </w:r>
    </w:p>
    <w:p w:rsidR="00AE07BB" w14:paraId="7F32E4B8" w14:textId="1FB9B07B">
      <w:pPr>
        <w:shd w:val="clear" w:color="auto" w:fill="FFFFFF"/>
        <w:tabs>
          <w:tab w:val="left" w:pos="0"/>
        </w:tabs>
        <w:ind w:right="38"/>
        <w:jc w:val="both"/>
      </w:pPr>
      <w:r>
        <w:t xml:space="preserve">  </w:t>
      </w:r>
      <w:r w:rsidRPr="00361AF9">
        <w:rPr>
          <w:rStyle w:val="Fontdeparagrafimplicit"/>
          <w:b/>
          <w:lang w:val="ro-RO"/>
        </w:rPr>
        <w:t xml:space="preserve">         </w:t>
      </w:r>
      <w:r w:rsidRPr="00361AF9">
        <w:rPr>
          <w:rStyle w:val="Fontdeparagrafimplicit"/>
          <w:i/>
          <w:lang w:val="ro-RO"/>
        </w:rPr>
        <w:t>Împotriva acestei hotărâri a declarat apel pârâta</w:t>
      </w:r>
      <w:r>
        <w:t xml:space="preserve"> </w:t>
      </w:r>
      <w:r w:rsidRPr="00361AF9">
        <w:rPr>
          <w:rStyle w:val="Fontdeparagrafimplicit"/>
          <w:i/>
          <w:lang w:val="ro-RO"/>
        </w:rPr>
        <w:t xml:space="preserve">COMUNA </w:t>
      </w:r>
      <w:r w:rsidRPr="00361AF9" w:rsidR="00361AF9">
        <w:rPr>
          <w:rStyle w:val="Fontdeparagrafimplicit"/>
          <w:i/>
          <w:lang w:val="ro-RO"/>
        </w:rPr>
        <w:t xml:space="preserve">1 </w:t>
      </w:r>
      <w:r>
        <w:t>prin care a solicitat admiterea apelului, cu consecinţa modificării în tot a sentinţei atacate în sensul admiterii acţiunii şi a obligării intimatului la plata sumei de 1.220 lei reprezentând prejudiciu, precum şi la plata cheltuielilor de judecată la fond şi în apel.</w:t>
      </w:r>
    </w:p>
    <w:p w:rsidR="00AE07BB" w14:paraId="5E7D5A3C" w14:textId="77777777">
      <w:pPr>
        <w:ind w:firstLine="720"/>
        <w:jc w:val="both"/>
      </w:pPr>
      <w:r>
        <w:t>În motivarea apelului a arătat că, contrar susţinerilor instanţei de fond, cele arătate prin notele de relaţii date în faţa Curţii de Conturi nu pot conduce la concluzia că vina nu-i aparţine viceprimarului de la acea vreme (nici măcar în parte), respectiv intimatului. Aceasta cu atât mai mult cu cât prin nota de relaţii de la acea vreme s-a răspuns că e greu a se determina a cui e vina, dar, la data formulării cererii de chemare în judecată, s-a determinat de către reclamantă în mod cert care este persoana responsabilă de producerea prejudiciului.</w:t>
      </w:r>
    </w:p>
    <w:p w:rsidR="00AE07BB" w14:paraId="09FB963A" w14:textId="77777777">
      <w:pPr>
        <w:ind w:firstLine="720"/>
        <w:jc w:val="both"/>
      </w:pPr>
      <w:r>
        <w:t>În susţinerea argumentelor sale, consideră că este pertinentă şi utilă nota de relaţii a viceprimarului de la data controlului Curţii de Conturi care ştia în mod corect că viceprimarul a avut şi are atribuţii pe partea de mediu şi a expus acest lucru în faţa organelor de control.</w:t>
      </w:r>
    </w:p>
    <w:p w:rsidR="00AE07BB" w14:paraId="13BEEE2A" w14:textId="77777777">
      <w:pPr>
        <w:ind w:firstLine="720"/>
        <w:jc w:val="both"/>
      </w:pPr>
      <w:r>
        <w:t>A mai arătat că atribuţiile se deleagă atât verbal cât şi în scris, ambele modalităţi fiind utilizate în mod curent de către noi şi organele noastre de conducere.</w:t>
      </w:r>
    </w:p>
    <w:p w:rsidR="00AE07BB" w14:paraId="1EC3727D" w14:textId="77777777">
      <w:pPr>
        <w:ind w:firstLine="720"/>
        <w:jc w:val="both"/>
      </w:pPr>
      <w:r>
        <w:t>Ca urmare a celor de mai sus, a solicitat admiterea apelul.</w:t>
      </w:r>
    </w:p>
    <w:p w:rsidR="00AE07BB" w14:paraId="4B0BE5D9" w14:textId="77777777">
      <w:pPr>
        <w:ind w:firstLine="720"/>
        <w:jc w:val="both"/>
      </w:pPr>
      <w:r>
        <w:t>În drept, a  invocat art. 466 şi următoarele din Codul de Procedură Civilă, art. 1349 şi urm. din Codul civil, art. 254 şi următoarele din Codul muncii.</w:t>
      </w:r>
    </w:p>
    <w:p w:rsidRPr="00361AF9" w:rsidR="00AE07BB" w14:paraId="227D97C4" w14:textId="77777777">
      <w:pPr>
        <w:ind w:firstLine="720"/>
        <w:jc w:val="both"/>
        <w:rPr>
          <w:rStyle w:val="Fontdeparagrafimplicit"/>
          <w:i/>
          <w:lang w:val="pt-PT"/>
        </w:rPr>
      </w:pPr>
      <w:r w:rsidRPr="00361AF9">
        <w:rPr>
          <w:rStyle w:val="Fontdeparagrafimplicit"/>
          <w:i/>
          <w:lang w:val="pt-PT"/>
        </w:rPr>
        <w:t>Nu s-a formulat întâmpinare în apel.</w:t>
      </w:r>
    </w:p>
    <w:p w:rsidRPr="00361AF9" w:rsidR="00AE07BB" w14:paraId="4733FD30" w14:textId="77777777">
      <w:pPr>
        <w:ind w:firstLine="708"/>
        <w:jc w:val="both"/>
        <w:rPr>
          <w:rStyle w:val="Fontdeparagrafimplicit"/>
          <w:i/>
          <w:lang w:val="pt-PT"/>
        </w:rPr>
      </w:pPr>
      <w:r w:rsidRPr="00361AF9">
        <w:rPr>
          <w:rStyle w:val="Fontdeparagrafimplicit"/>
          <w:i/>
          <w:lang w:val="pt-PT"/>
        </w:rPr>
        <w:t>Examinând sentinţa apelată prin prisma motivelor de apel invocate Curtea de Apel reţine următoarele:</w:t>
      </w:r>
    </w:p>
    <w:p w:rsidR="00AE07BB" w14:paraId="3085031D" w14:textId="77777777">
      <w:pPr>
        <w:ind w:firstLine="708"/>
        <w:jc w:val="both"/>
      </w:pPr>
      <w:r>
        <w:t>Apelul este nefondat şi urmează a fi respins ca atare.</w:t>
      </w:r>
    </w:p>
    <w:p w:rsidR="00AE07BB" w14:paraId="79D53FDB" w14:textId="77777777">
      <w:pPr>
        <w:jc w:val="both"/>
      </w:pPr>
      <w:r>
        <w:tab/>
        <w:t xml:space="preserve">Sentinţa atacată este criticată de apelant prin prisma faptului că probele administrate în cauză confirmă culpa pârâtului, ca viceprimar, în săvârşirea faptului ilicit, în condiţiile în care </w:t>
      </w:r>
      <w:r>
        <w:t>delegarea de competenţă a atribuţiilor primarului către viceprimar se face în mod uzual atât în scris, cât şi verbal.</w:t>
      </w:r>
    </w:p>
    <w:p w:rsidR="00AE07BB" w14:paraId="04FFA9FA" w14:textId="77777777">
      <w:pPr>
        <w:ind w:firstLine="720"/>
        <w:jc w:val="both"/>
      </w:pPr>
      <w:r>
        <w:t>În plus apelanta arată că, din nota de relaţii a viceprimarului de la data controlului Curţii de Conturi care ştia în mod corect că pârâtul a avut şi are atribuţii pe partea de mediu şi a expus acest lucru în faţa organelor de control.</w:t>
      </w:r>
    </w:p>
    <w:p w:rsidR="00AE07BB" w14:paraId="5F288135" w14:textId="77777777">
      <w:pPr>
        <w:ind w:firstLine="720"/>
        <w:jc w:val="both"/>
      </w:pPr>
      <w:r>
        <w:t xml:space="preserve">Criticile aduse sunt nefondate. </w:t>
      </w:r>
    </w:p>
    <w:p w:rsidR="00AE07BB" w14:paraId="2FF1C099" w14:textId="266B8F5B">
      <w:pPr>
        <w:ind w:firstLine="720"/>
        <w:jc w:val="both"/>
      </w:pPr>
      <w:r>
        <w:t xml:space="preserve">Astfel, Curtea notează că instanţa de fond nu a reţinut că pârâtul nu ar fi avut în mod absolut nici o atribuţie pe partea de mediu ci că,  în fapt atribuţiile în domeniul protecţiei mediului au fost îndeplinite atât de către viceprimar, cât şi de compartimentul registrul agricol, urbanism. </w:t>
      </w:r>
    </w:p>
    <w:p w:rsidR="00AE07BB" w14:paraId="68766819" w14:textId="77777777">
      <w:pPr>
        <w:ind w:firstLine="720"/>
        <w:jc w:val="both"/>
      </w:pPr>
      <w:r>
        <w:t>Potrivit legii, aceasta obligaţie concretă revenea primarului prin prisma atribuţiilor sale stabilite de art. 63 alin. 1 lit. d) si art. 63 alin.5 lit.h din Legea nr. 215/2001, texte normative citate şi de instanţa de fond, încă în fapt au fost partajate de către viceprimar şi compartimentul agricol.</w:t>
      </w:r>
    </w:p>
    <w:p w:rsidR="00AE07BB" w14:paraId="218481F7" w14:textId="77777777">
      <w:pPr>
        <w:ind w:firstLine="720"/>
        <w:jc w:val="both"/>
      </w:pPr>
      <w:r>
        <w:t>Mai mult, instanţa de fond reţine că datele referitoare la deşeurile de ambalaje pe anul 2014 şi anul 2015 (36, 37, 71, 72) poartă atât semnătura primarului, cât şi a pârâtului, viceprimar la acea dată.</w:t>
      </w:r>
    </w:p>
    <w:p w:rsidR="00AE07BB" w14:paraId="737AB65F" w14:textId="77777777">
      <w:pPr>
        <w:ind w:firstLine="720"/>
        <w:jc w:val="both"/>
      </w:pPr>
      <w:r>
        <w:t>Ca atare, în condiţiile în care în anul de referinţă 2015 inclusiv primarul îndeplinea atribuţii pe care pretinde că le-a delegat vice-primarului, cu atât mai mult nu se poate stabili cu certitudine cine avea obligaţia de raportare a datelor privitoare la deşeurile de ambalaje pentru anul 2015, ce avea termenul limită de 25 februarie 2016.</w:t>
      </w:r>
    </w:p>
    <w:p w:rsidR="00AE07BB" w14:paraId="45B34BF4" w14:textId="77777777">
      <w:pPr>
        <w:ind w:firstLine="720"/>
        <w:jc w:val="both"/>
      </w:pPr>
      <w:r>
        <w:t>Faptul că apelanta a ales să cheme în judecată pârâtul – în calitatea sa de viceprimar de la acea dată – nu înseamnă că aceste chestiuni au fost lămurite, câtă vreme nici un argument şi nici o probă nu susţine de ce viceprimarul şi nu o persoana din cadrul compartimentului agricol sau chiar primarul de la acea vreme nu sunt culpabile pentru neîndeplinirea acestei obligaţii.</w:t>
      </w:r>
    </w:p>
    <w:p w:rsidR="00AE07BB" w14:paraId="0A75A9C8" w14:textId="77777777">
      <w:pPr>
        <w:ind w:firstLine="720"/>
        <w:jc w:val="both"/>
      </w:pPr>
      <w:r>
        <w:t>Nici faptul că persoana ce ocupa funcţia de viceprimar la data controlului Curţii de Conturi a declarat  prin  nota de relaţii că pârâtul a avut şi are atribuţii pe partea de mediu nu duce la o concluzie contrară, această afirmaţie necontrazicând concluziile privind situaţia de fapt mai sus expuse.</w:t>
      </w:r>
    </w:p>
    <w:p w:rsidR="00AE07BB" w14:paraId="5EFF24D6" w14:textId="778940AF">
      <w:pPr>
        <w:ind w:firstLine="720"/>
        <w:jc w:val="both"/>
      </w:pPr>
      <w:r>
        <w:t>Astfel, chiar admiţând că a existat o delegare verbală a unor atribuţii către viceprimar, acest fapt nu îl exonerează pe primar de obligaţia de a organiza activitatea într-o manieră care să permită stabilirea cu precizie a obligaţiilor şi responsabilităţilor fiecărei persoane care îşi desfăşoară activitatea în primărie, evitând suprapunerea de atribuţii.</w:t>
      </w:r>
    </w:p>
    <w:p w:rsidR="00AE07BB" w14:paraId="7D351502" w14:textId="77777777">
      <w:pPr>
        <w:ind w:firstLine="720"/>
        <w:jc w:val="both"/>
      </w:pPr>
      <w:r>
        <w:t>Or, în condiţiile în care nu a existat o delegare scrisă din partea primarului către viceprimar, în care să fie trecute în mod concret atribuţiile delegate acestuia, distincte de cele ce reveneau şi erau exercitate în fapt de către compartimentul agricol, nu se poate stabili în mod cert cui îi revenea obligaţia de raportare a datelor privitoare la deşeurile de ambalaje pentru anul 2015.</w:t>
      </w:r>
    </w:p>
    <w:p w:rsidR="00AE07BB" w14:paraId="7873E3CF" w14:textId="77777777">
      <w:pPr>
        <w:shd w:val="clear" w:color="auto" w:fill="FFFFFF"/>
        <w:tabs>
          <w:tab w:val="left" w:pos="0"/>
        </w:tabs>
        <w:ind w:right="38"/>
        <w:jc w:val="both"/>
      </w:pPr>
      <w:r>
        <w:tab/>
        <w:t xml:space="preserve">Curtea conchide aşadar că argumentele tribunalului sunt pe deplin valabile şi judicios expuse, însuşindu-le ca atare, fără a le mai reitera, inclusiv concluzia potrivit căreia, în situaţia în care nu exista în mod cert o persoană desemnată cu depunerea declaraţiei răspunderea revine primarului, care prin lege are atribuţii în domeniul protecţiei mediului, cu tot ceea ce implică aceasta. </w:t>
      </w:r>
    </w:p>
    <w:p w:rsidR="00AE07BB" w14:paraId="10F78698" w14:textId="04F3D418">
      <w:pPr>
        <w:ind w:firstLine="708"/>
        <w:jc w:val="both"/>
      </w:pPr>
      <w:r>
        <w:t xml:space="preserve">În consecinţă, faţă de ansamblul considerentelor expuse, în temeiul art. 480 alin.1 C.pr.civilă, Curtea va respinge ca nefondat apelul declarat de reclamanta COMUNA </w:t>
      </w:r>
      <w:r w:rsidR="00361AF9">
        <w:t xml:space="preserve">1 </w:t>
      </w:r>
      <w:r>
        <w:t xml:space="preserve">împotriva sentinţei civile nr. </w:t>
      </w:r>
      <w:r w:rsidR="00361AF9">
        <w:t>......</w:t>
      </w:r>
      <w:r>
        <w:t>/</w:t>
      </w:r>
      <w:r w:rsidR="00361AF9">
        <w:t xml:space="preserve">............... </w:t>
      </w:r>
      <w:r>
        <w:t xml:space="preserve"> a Tribunalului </w:t>
      </w:r>
      <w:r w:rsidR="00361AF9">
        <w:t xml:space="preserve">............ </w:t>
      </w:r>
      <w:r>
        <w:t xml:space="preserve">, pronunţată în dosar nr. </w:t>
      </w:r>
      <w:r w:rsidR="00361AF9">
        <w:t>13</w:t>
      </w:r>
      <w:r>
        <w:t>, pe care o va păstra.</w:t>
      </w:r>
    </w:p>
    <w:p w:rsidR="00AE07BB" w14:paraId="02F33B95" w14:textId="77777777">
      <w:pPr>
        <w:jc w:val="both"/>
      </w:pPr>
    </w:p>
    <w:p w:rsidR="00AE07BB" w14:paraId="484165BF" w14:textId="77777777">
      <w:pPr>
        <w:jc w:val="center"/>
      </w:pPr>
    </w:p>
    <w:p w:rsidRPr="00361AF9" w:rsidR="00AE07BB" w14:paraId="0FE92716" w14:textId="77777777">
      <w:pPr>
        <w:jc w:val="center"/>
        <w:rPr>
          <w:rStyle w:val="Fontdeparagrafimplicit"/>
          <w:b/>
          <w:lang w:val="pt-PT"/>
        </w:rPr>
      </w:pPr>
      <w:r w:rsidRPr="00361AF9">
        <w:rPr>
          <w:rStyle w:val="Fontdeparagrafimplicit"/>
          <w:b/>
          <w:lang w:val="pt-PT"/>
        </w:rPr>
        <w:t>PENTRU ACESTE MOTIVE</w:t>
      </w:r>
    </w:p>
    <w:p w:rsidRPr="00361AF9" w:rsidR="00AE07BB" w14:paraId="7E8D212C" w14:textId="77777777">
      <w:pPr>
        <w:jc w:val="center"/>
        <w:rPr>
          <w:rStyle w:val="Fontdeparagrafimplicit"/>
          <w:b/>
          <w:lang w:val="pt-PT"/>
        </w:rPr>
      </w:pPr>
      <w:r w:rsidRPr="00361AF9">
        <w:rPr>
          <w:rStyle w:val="Fontdeparagrafimplicit"/>
          <w:b/>
          <w:lang w:val="pt-PT"/>
        </w:rPr>
        <w:t>ÎN NUMELE LEGII</w:t>
      </w:r>
    </w:p>
    <w:p w:rsidRPr="00361AF9" w:rsidR="00AE07BB" w14:paraId="073E9F4E" w14:textId="77777777">
      <w:pPr>
        <w:jc w:val="center"/>
        <w:rPr>
          <w:rStyle w:val="Fontdeparagrafimplicit"/>
          <w:b/>
          <w:lang w:val="pt-PT"/>
        </w:rPr>
      </w:pPr>
      <w:r w:rsidRPr="00361AF9">
        <w:rPr>
          <w:rStyle w:val="Fontdeparagrafimplicit"/>
          <w:b/>
          <w:lang w:val="pt-PT"/>
        </w:rPr>
        <w:t>D E C I D E</w:t>
      </w:r>
    </w:p>
    <w:p w:rsidRPr="00361AF9" w:rsidR="00AE07BB" w14:paraId="087232CE" w14:textId="77777777">
      <w:pPr>
        <w:jc w:val="center"/>
        <w:rPr>
          <w:rStyle w:val="Fontdeparagrafimplicit"/>
          <w:b/>
          <w:lang w:val="pt-PT"/>
        </w:rPr>
      </w:pPr>
    </w:p>
    <w:p w:rsidR="00AE07BB" w14:paraId="2013B68B" w14:textId="67836E16">
      <w:pPr>
        <w:jc w:val="both"/>
      </w:pPr>
      <w:r>
        <w:tab/>
        <w:t xml:space="preserve">Respinge ca nefondat apelul declarat de reclamanta COMUNA </w:t>
      </w:r>
      <w:r w:rsidR="00361AF9">
        <w:t xml:space="preserve">1 </w:t>
      </w:r>
      <w:r>
        <w:t xml:space="preserve">cu sediul în </w:t>
      </w:r>
      <w:r w:rsidR="00361AF9">
        <w:t xml:space="preserve">........... </w:t>
      </w:r>
      <w:r>
        <w:t xml:space="preserve">, strada </w:t>
      </w:r>
      <w:r w:rsidR="00361AF9">
        <w:t>...........</w:t>
      </w:r>
      <w:r>
        <w:t xml:space="preserve"> nr. </w:t>
      </w:r>
      <w:r w:rsidR="00361AF9">
        <w:t>......</w:t>
      </w:r>
      <w:r>
        <w:t xml:space="preserve">, judeţul </w:t>
      </w:r>
      <w:r w:rsidR="00361AF9">
        <w:t xml:space="preserve">............... </w:t>
      </w:r>
      <w:r>
        <w:t xml:space="preserve">împotriva sentinţei civile nr. </w:t>
      </w:r>
      <w:r w:rsidR="00361AF9">
        <w:t>......</w:t>
      </w:r>
      <w:r>
        <w:t>/</w:t>
      </w:r>
      <w:r w:rsidR="00361AF9">
        <w:t xml:space="preserve">............... </w:t>
      </w:r>
      <w:r>
        <w:t xml:space="preserve"> a Tribunalului </w:t>
      </w:r>
      <w:r w:rsidR="00361AF9">
        <w:t>............</w:t>
      </w:r>
      <w:r>
        <w:t xml:space="preserve">, pronunţată în dosar nr. </w:t>
      </w:r>
      <w:r w:rsidR="00361AF9">
        <w:t>13</w:t>
      </w:r>
      <w:r>
        <w:t>, pe care o păstrează.</w:t>
      </w:r>
    </w:p>
    <w:p w:rsidR="00AE07BB" w14:paraId="2F4EC4B2" w14:textId="77777777">
      <w:pPr>
        <w:jc w:val="both"/>
      </w:pPr>
      <w:r>
        <w:tab/>
        <w:t>Definitivă.</w:t>
      </w:r>
    </w:p>
    <w:p w:rsidR="00AE07BB" w14:paraId="7BDC9E1A" w14:textId="225B311C">
      <w:pPr>
        <w:jc w:val="both"/>
      </w:pPr>
      <w:r>
        <w:tab/>
        <w:t xml:space="preserve">Pronunţată în şedinţa publică din </w:t>
      </w:r>
      <w:r w:rsidR="00361AF9">
        <w:t>............</w:t>
      </w:r>
      <w:r>
        <w:t>.</w:t>
      </w:r>
    </w:p>
    <w:p w:rsidR="00AE07BB" w14:paraId="59AA498C" w14:textId="77777777">
      <w:pPr>
        <w:jc w:val="both"/>
      </w:pPr>
    </w:p>
    <w:p w:rsidRPr="00361AF9" w:rsidR="00AE07BB" w14:paraId="74D474AB" w14:textId="77777777">
      <w:pPr>
        <w:ind w:left="-540" w:firstLine="708"/>
        <w:rPr>
          <w:rStyle w:val="Fontdeparagrafimplicit"/>
          <w:b/>
          <w:sz w:val="22"/>
          <w:lang w:val="pt-PT"/>
        </w:rPr>
      </w:pPr>
      <w:r w:rsidRPr="00361AF9">
        <w:rPr>
          <w:rStyle w:val="Fontdeparagrafimplicit"/>
          <w:b/>
          <w:lang w:val="pt-PT"/>
        </w:rPr>
        <w:t xml:space="preserve">   </w:t>
      </w:r>
      <w:r w:rsidRPr="00361AF9">
        <w:rPr>
          <w:rStyle w:val="Fontdeparagrafimplicit"/>
          <w:b/>
          <w:sz w:val="22"/>
          <w:lang w:val="pt-PT"/>
        </w:rPr>
        <w:t>PREŞEDINTE                                JUDECĂTOR</w:t>
      </w:r>
      <w:r w:rsidRPr="00361AF9">
        <w:rPr>
          <w:rStyle w:val="Fontdeparagrafimplicit"/>
          <w:b/>
          <w:sz w:val="22"/>
          <w:lang w:val="pt-PT"/>
        </w:rPr>
        <w:tab/>
        <w:t xml:space="preserve">              </w:t>
      </w:r>
      <w:r w:rsidRPr="00361AF9">
        <w:rPr>
          <w:rStyle w:val="Fontdeparagrafimplicit"/>
          <w:b/>
          <w:sz w:val="22"/>
          <w:lang w:val="pt-PT"/>
        </w:rPr>
        <w:tab/>
        <w:t xml:space="preserve">                    GREFIER</w:t>
      </w:r>
    </w:p>
    <w:p w:rsidRPr="00341370" w:rsidR="00AE07BB" w:rsidP="00361AF9" w14:paraId="158CCB25" w14:textId="7CA0762B">
      <w:pPr>
        <w:ind w:left="-540" w:firstLine="1260"/>
        <w:jc w:val="both"/>
        <w:rPr>
          <w:rStyle w:val="Fontdeparagrafimplicit"/>
          <w:sz w:val="22"/>
          <w:lang w:val="pt-PT"/>
        </w:rPr>
      </w:pPr>
      <w:r w:rsidRPr="00341370">
        <w:rPr>
          <w:rStyle w:val="Fontdeparagrafimplicit"/>
          <w:b/>
          <w:sz w:val="22"/>
          <w:lang w:val="pt-PT"/>
        </w:rPr>
        <w:t xml:space="preserve">.............. </w:t>
      </w:r>
      <w:r w:rsidRPr="00341370" w:rsidR="005C21D3">
        <w:rPr>
          <w:rStyle w:val="Fontdeparagrafimplicit"/>
          <w:b/>
          <w:sz w:val="22"/>
          <w:lang w:val="pt-PT"/>
        </w:rPr>
        <w:tab/>
        <w:t xml:space="preserve">     </w:t>
      </w:r>
      <w:r w:rsidRPr="00341370">
        <w:rPr>
          <w:rStyle w:val="Fontdeparagrafimplicit"/>
          <w:b/>
          <w:sz w:val="22"/>
          <w:lang w:val="pt-PT"/>
        </w:rPr>
        <w:tab/>
      </w:r>
      <w:r w:rsidRPr="00341370" w:rsidR="005C21D3">
        <w:rPr>
          <w:rStyle w:val="Fontdeparagrafimplicit"/>
          <w:b/>
          <w:sz w:val="22"/>
          <w:lang w:val="pt-PT"/>
        </w:rPr>
        <w:t xml:space="preserve"> </w:t>
      </w:r>
      <w:r w:rsidRPr="00341370">
        <w:rPr>
          <w:rStyle w:val="Fontdeparagrafimplicit"/>
          <w:b/>
          <w:sz w:val="22"/>
          <w:lang w:val="pt-PT"/>
        </w:rPr>
        <w:t xml:space="preserve">           </w:t>
      </w:r>
      <w:r w:rsidRPr="00341370" w:rsidR="005C21D3">
        <w:rPr>
          <w:rStyle w:val="Fontdeparagrafimplicit"/>
          <w:b/>
          <w:sz w:val="22"/>
          <w:lang w:val="pt-PT"/>
        </w:rPr>
        <w:t xml:space="preserve"> </w:t>
      </w:r>
      <w:r w:rsidRPr="00341370">
        <w:rPr>
          <w:rStyle w:val="Fontdeparagrafimplicit"/>
          <w:b/>
          <w:sz w:val="22"/>
          <w:lang w:val="pt-PT"/>
        </w:rPr>
        <w:t>A0019</w:t>
      </w:r>
      <w:r w:rsidRPr="00341370" w:rsidR="005C21D3">
        <w:rPr>
          <w:rStyle w:val="Fontdeparagrafimplicit"/>
          <w:b/>
          <w:sz w:val="22"/>
          <w:lang w:val="pt-PT"/>
        </w:rPr>
        <w:t xml:space="preserve">               </w:t>
      </w:r>
      <w:r w:rsidRPr="00341370">
        <w:rPr>
          <w:rStyle w:val="Fontdeparagrafimplicit"/>
          <w:b/>
          <w:sz w:val="22"/>
          <w:lang w:val="pt-PT"/>
        </w:rPr>
        <w:t xml:space="preserve">                                           </w:t>
      </w:r>
      <w:r w:rsidRPr="00341370" w:rsidR="005C21D3">
        <w:rPr>
          <w:rStyle w:val="Fontdeparagrafimplicit"/>
          <w:b/>
          <w:sz w:val="22"/>
          <w:lang w:val="pt-PT"/>
        </w:rPr>
        <w:t xml:space="preserve"> </w:t>
      </w:r>
      <w:r w:rsidRPr="00341370">
        <w:rPr>
          <w:rStyle w:val="Fontdeparagrafimplicit"/>
          <w:b/>
          <w:sz w:val="22"/>
          <w:lang w:val="pt-PT"/>
        </w:rPr>
        <w:t xml:space="preserve">................. </w:t>
      </w:r>
    </w:p>
    <w:p w:rsidRPr="00341370" w:rsidR="00AE07BB" w14:paraId="555A0A34" w14:textId="77777777">
      <w:pPr>
        <w:ind w:left="-540" w:firstLine="708"/>
        <w:rPr>
          <w:rStyle w:val="Fontdeparagrafimplicit"/>
          <w:sz w:val="22"/>
          <w:lang w:val="pt-PT"/>
        </w:rPr>
      </w:pPr>
    </w:p>
    <w:p w:rsidRPr="00341370" w:rsidR="00AE07BB" w14:paraId="7A465CD5" w14:textId="77777777">
      <w:pPr>
        <w:jc w:val="center"/>
        <w:rPr>
          <w:rStyle w:val="Fontdeparagrafimplicit"/>
          <w:lang w:val="pt-PT"/>
        </w:rPr>
      </w:pPr>
    </w:p>
    <w:p w:rsidRPr="00341370" w:rsidR="00AE07BB" w14:paraId="78643F74" w14:textId="77777777">
      <w:pPr>
        <w:jc w:val="center"/>
        <w:rPr>
          <w:rStyle w:val="Fontdeparagrafimplicit"/>
          <w:lang w:val="pt-PT"/>
        </w:rPr>
      </w:pPr>
    </w:p>
    <w:p w:rsidRPr="00341370" w:rsidR="00AE07BB" w14:paraId="38E32A85" w14:textId="77777777">
      <w:pPr>
        <w:jc w:val="center"/>
        <w:rPr>
          <w:rStyle w:val="Fontdeparagrafimplicit"/>
          <w:lang w:val="pt-PT"/>
        </w:rPr>
      </w:pPr>
    </w:p>
    <w:p w:rsidRPr="00341370" w:rsidR="00AE07BB" w14:paraId="7DE30103" w14:textId="4515B514">
      <w:pPr>
        <w:rPr>
          <w:rStyle w:val="Fontdeparagrafimplicit"/>
          <w:sz w:val="16"/>
          <w:lang w:val="pt-PT"/>
        </w:rPr>
      </w:pPr>
      <w:r w:rsidRPr="00341370">
        <w:rPr>
          <w:rStyle w:val="Fontdeparagrafimplicit"/>
          <w:sz w:val="16"/>
          <w:lang w:val="pt-PT"/>
        </w:rPr>
        <w:t xml:space="preserve">Red. </w:t>
      </w:r>
      <w:r w:rsidRPr="00341370" w:rsidR="00361AF9">
        <w:rPr>
          <w:rStyle w:val="Fontdeparagrafimplicit"/>
          <w:sz w:val="16"/>
          <w:lang w:val="pt-PT"/>
        </w:rPr>
        <w:t>A0019</w:t>
      </w:r>
      <w:r w:rsidRPr="00341370">
        <w:rPr>
          <w:rStyle w:val="Fontdeparagrafimplicit"/>
          <w:sz w:val="16"/>
          <w:lang w:val="pt-PT"/>
        </w:rPr>
        <w:t>./Tehn.</w:t>
      </w:r>
      <w:r w:rsidR="007D0EE5">
        <w:rPr>
          <w:rStyle w:val="Fontdeparagrafimplicit"/>
          <w:sz w:val="16"/>
          <w:lang w:val="pt-PT"/>
        </w:rPr>
        <w:t>A0019</w:t>
      </w:r>
      <w:r w:rsidRPr="00341370" w:rsidR="00361AF9">
        <w:rPr>
          <w:rStyle w:val="Fontdeparagrafimplicit"/>
          <w:sz w:val="16"/>
          <w:lang w:val="pt-PT"/>
        </w:rPr>
        <w:t/>
      </w:r>
    </w:p>
    <w:p w:rsidRPr="00361AF9" w:rsidR="00AE07BB" w14:paraId="08AAC1FC" w14:textId="2B1D83F8">
      <w:pPr>
        <w:rPr>
          <w:rStyle w:val="Fontdeparagrafimplicit"/>
          <w:sz w:val="16"/>
          <w:lang w:val="en-US"/>
        </w:rPr>
      </w:pPr>
      <w:r w:rsidRPr="00361AF9">
        <w:rPr>
          <w:rStyle w:val="Fontdeparagrafimplicit"/>
          <w:sz w:val="16"/>
          <w:lang w:val="en-US"/>
        </w:rPr>
        <w:t xml:space="preserve">Jud. fond: </w:t>
      </w:r>
      <w:r w:rsidR="00361AF9">
        <w:rPr>
          <w:rStyle w:val="Fontdeparagrafimplicit"/>
          <w:sz w:val="16"/>
          <w:lang w:val="en-US"/>
        </w:rPr>
        <w:t>………</w:t>
      </w:r>
      <w:r w:rsidR="00361AF9">
        <w:rPr>
          <w:rStyle w:val="Fontdeparagrafimplicit"/>
          <w:sz w:val="16"/>
          <w:lang w:val="en-US"/>
        </w:rPr>
        <w:t>…..</w:t>
      </w:r>
    </w:p>
    <w:p w:rsidR="00AE07BB" w14:paraId="19E0979F" w14:textId="3F0C9897">
      <w:pPr>
        <w:rPr>
          <w:rStyle w:val="Fontdeparagrafimplicit"/>
          <w:sz w:val="16"/>
        </w:rPr>
      </w:pPr>
      <w:r w:rsidRPr="00361AF9">
        <w:rPr>
          <w:rStyle w:val="Fontdeparagrafimplicit"/>
          <w:sz w:val="16"/>
          <w:lang w:val="pt-PT"/>
        </w:rPr>
        <w:t xml:space="preserve">4 ex./ </w:t>
      </w:r>
      <w:r w:rsidR="00361AF9">
        <w:rPr>
          <w:rStyle w:val="Fontdeparagrafimplicit"/>
          <w:sz w:val="16"/>
          <w:lang w:val="pt-PT"/>
        </w:rPr>
        <w:t>...............</w:t>
      </w:r>
    </w:p>
    <w:sectPr>
      <w:footerReference w:type="even" r:id="rId4"/>
      <w:footerReference w:type="default" r:id="rId5"/>
      <w:pgSz w:w="11906" w:h="16838"/>
      <w:pgMar w:top="851" w:right="851" w:bottom="851"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E07BB" w14:paraId="2C46CC6D" w14:textId="77777777">
    <w:pPr>
      <w:pStyle w:val="Subsol"/>
      <w:framePr w:wrap="around" w:hAnchor="margin" w:vAnchor="text" w:xAlign="center"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rsidR="00AE07BB" w14:paraId="331D36D5" w14:textId="77777777">
    <w:pPr>
      <w:pStyle w:val="Subsol"/>
      <w:rPr>
        <w:rStyle w:val="Numrdepagi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E07BB" w14:paraId="1B72B7E2" w14:textId="77777777">
    <w:pPr>
      <w:pStyle w:val="Subsol"/>
      <w:framePr w:wrap="around" w:hAnchor="margin" w:vAnchor="text" w:xAlign="center"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rsidR="00AE07BB" w14:paraId="1B050D08" w14:textId="77777777">
    <w:pPr>
      <w:pStyle w:val="Subsol"/>
      <w:rPr>
        <w:rStyle w:val="Numrdepagin"/>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07BB"/>
    <w:rsid w:val="00341370"/>
    <w:rsid w:val="00361AF9"/>
    <w:rsid w:val="00406152"/>
    <w:rsid w:val="00545821"/>
    <w:rsid w:val="005A2CC4"/>
    <w:rsid w:val="005A7DA4"/>
    <w:rsid w:val="005C21D3"/>
    <w:rsid w:val="0068749C"/>
    <w:rsid w:val="00717F6D"/>
    <w:rsid w:val="007D0EE5"/>
    <w:rsid w:val="009D7F9B"/>
    <w:rsid w:val="00A60DF5"/>
    <w:rsid w:val="00AE07BB"/>
    <w:rsid w:val="00D85B6F"/>
    <w:rsid w:val="00F20067"/>
  </w:rsids>
  <w:docVars>
    <w:docVar w:name="url" w:val="http://bd-cjca:80/ecris_cdms/document_upload.aspx?id_document=3300000001259908&amp;id_departament=14&amp;id_sesiune=1518876&amp;id_user=157&amp;id_institutie=33&amp;actiune=modifica"/>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104C59FE"/>
  <w15:docId w15:val="{9CC26CD6-E51F-49BE-9723-17C59D22D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customStyle="1" w:styleId="Titlu2">
    <w:name w:val="Titlu 2"/>
    <w:basedOn w:val="Normal"/>
    <w:next w:val="Normal"/>
    <w:qFormat/>
    <w:pPr>
      <w:keepNext/>
      <w:spacing w:before="240" w:after="60"/>
      <w:outlineLvl w:val="1"/>
    </w:pPr>
    <w:rPr>
      <w:rFonts w:ascii="Arial" w:hAnsi="Arial"/>
      <w:b/>
      <w:i/>
      <w:sz w:val="28"/>
    </w:rPr>
  </w:style>
  <w:style w:type="paragraph" w:styleId="NormalWeb">
    <w:name w:val="Normal (Web)"/>
    <w:basedOn w:val="Normal"/>
    <w:pPr>
      <w:spacing w:before="100" w:beforeAutospacing="1" w:after="100" w:afterAutospacing="1"/>
    </w:pPr>
  </w:style>
  <w:style w:type="paragraph" w:customStyle="1" w:styleId="CaracterCaracter">
    <w:name w:val="Caracter Caracter"/>
    <w:basedOn w:val="Normal"/>
    <w:link w:val="Fontdeparagrafimplicit"/>
    <w:rPr>
      <w:lang w:val="pl-PL"/>
    </w:rPr>
  </w:style>
  <w:style w:type="paragraph" w:customStyle="1" w:styleId="Subsol">
    <w:name w:val="Subsol"/>
    <w:basedOn w:val="Normal"/>
    <w:pPr>
      <w:tabs>
        <w:tab w:val="center" w:pos="4536"/>
        <w:tab w:val="right" w:pos="9072"/>
      </w:tabs>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aliases w:val=" Caracter Caracter Caracter Caracter"/>
    <w:link w:val="CaracterCaracter"/>
    <w:rPr>
      <w:lang w:val="pl-PL"/>
    </w:rPr>
  </w:style>
  <w:style w:type="character" w:customStyle="1" w:styleId="Numrdepagin">
    <w:name w:val="Număr de pagină"/>
    <w:basedOn w:val="Fontdeparagrafimplicit"/>
    <w:rPr>
      <w:lang w:val="pl-PL"/>
    </w:rPr>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34</ap:TotalTime>
  <ap:Pages>5</ap:Pages>
  <ap:Words>2439</ap:Words>
  <ap:Characters>13905</ap:Characters>
  <ap:Application>Microsoft Office Word</ap:Application>
  <ap:DocSecurity>0</ap:DocSecurity>
  <ap:Lines>115</ap:Lines>
  <ap:Paragraphs>32</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16312</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lastPrinted>2019-10-29T11:41:00.0000000Z</lastPrinted>
  <dc:subject/>
  <dc:description/>
  <keywords/>
  <category/>
  <contentStatus/>
  <dc:identifier/>
  <dc:language/>
  <version/>
</coreProperties>
</file>