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40599" w14:textId="0D980D05" w:rsidR="000F20D1" w:rsidRDefault="00680E3E">
      <w:pPr>
        <w:rPr>
          <w:rStyle w:val="Fontdeparagrafimplicit1"/>
          <w:rFonts w:ascii="Garamond" w:hAnsi="Garamond"/>
        </w:rPr>
      </w:pPr>
      <w:r>
        <w:rPr>
          <w:rStyle w:val="Fontdeparagrafimplicit1"/>
          <w:rFonts w:ascii="Garamond" w:hAnsi="Garamond"/>
        </w:rPr>
        <w:t>Cod ECLI    ECLI:RO:CA</w:t>
      </w:r>
      <w:r w:rsidR="0077237E">
        <w:rPr>
          <w:rStyle w:val="Fontdeparagrafimplicit1"/>
          <w:rFonts w:ascii="Garamond" w:hAnsi="Garamond"/>
        </w:rPr>
        <w:t>...</w:t>
      </w:r>
      <w:r>
        <w:rPr>
          <w:rStyle w:val="Fontdeparagrafimplicit1"/>
          <w:rFonts w:ascii="Garamond" w:hAnsi="Garamond"/>
        </w:rPr>
        <w:t>:</w:t>
      </w:r>
      <w:r w:rsidR="0077237E">
        <w:rPr>
          <w:rStyle w:val="Fontdeparagrafimplicit1"/>
          <w:rFonts w:ascii="Garamond" w:hAnsi="Garamond"/>
        </w:rPr>
        <w:t>...</w:t>
      </w:r>
    </w:p>
    <w:p w14:paraId="7B57C886" w14:textId="56F34F2C" w:rsidR="000F20D1" w:rsidRDefault="00680E3E">
      <w:pPr>
        <w:rPr>
          <w:rStyle w:val="Fontdeparagrafimplicit1"/>
          <w:b/>
        </w:rPr>
      </w:pPr>
      <w:r>
        <w:rPr>
          <w:rStyle w:val="Fontdeparagrafimplicit1"/>
          <w:b/>
        </w:rPr>
        <w:t xml:space="preserve">Dosar nr. </w:t>
      </w:r>
      <w:r w:rsidR="0077237E">
        <w:rPr>
          <w:rStyle w:val="Fontdeparagrafimplicit1"/>
          <w:b/>
        </w:rPr>
        <w:t>....</w:t>
      </w:r>
      <w:r w:rsidR="00764FA7">
        <w:rPr>
          <w:rStyle w:val="Fontdeparagrafimplicit1"/>
          <w:b/>
        </w:rPr>
        <w:t>8</w:t>
      </w:r>
    </w:p>
    <w:p w14:paraId="71B4A5F4" w14:textId="77777777" w:rsidR="000F20D1" w:rsidRDefault="00680E3E">
      <w:pPr>
        <w:ind w:right="283"/>
        <w:jc w:val="center"/>
        <w:rPr>
          <w:rStyle w:val="Fontdeparagrafimplicit1"/>
          <w:b/>
        </w:rPr>
      </w:pPr>
      <w:r>
        <w:rPr>
          <w:rStyle w:val="Fontdeparagrafimplicit1"/>
          <w:b/>
        </w:rPr>
        <w:t>R O M Â N I A</w:t>
      </w:r>
    </w:p>
    <w:p w14:paraId="3A4F636C" w14:textId="77777777" w:rsidR="000F20D1" w:rsidRDefault="000F20D1">
      <w:pPr>
        <w:ind w:right="283"/>
        <w:jc w:val="center"/>
        <w:rPr>
          <w:rStyle w:val="Fontdeparagrafimplicit1"/>
          <w:b/>
        </w:rPr>
      </w:pPr>
    </w:p>
    <w:p w14:paraId="12A601BA" w14:textId="28861580" w:rsidR="000F20D1" w:rsidRDefault="00680E3E">
      <w:pPr>
        <w:ind w:right="283"/>
        <w:jc w:val="center"/>
        <w:rPr>
          <w:rStyle w:val="Fontdeparagrafimplicit1"/>
          <w:b/>
        </w:rPr>
      </w:pPr>
      <w:r>
        <w:rPr>
          <w:rStyle w:val="Fontdeparagrafimplicit1"/>
          <w:b/>
        </w:rPr>
        <w:t xml:space="preserve">CURTEA DE APEL </w:t>
      </w:r>
      <w:r w:rsidR="0077237E">
        <w:rPr>
          <w:rStyle w:val="Fontdeparagrafimplicit1"/>
          <w:b/>
        </w:rPr>
        <w:t>X</w:t>
      </w:r>
    </w:p>
    <w:p w14:paraId="059CE7BC" w14:textId="3CE7E003" w:rsidR="000F20D1" w:rsidRDefault="00680E3E">
      <w:pPr>
        <w:ind w:right="283"/>
        <w:jc w:val="center"/>
        <w:rPr>
          <w:rStyle w:val="Fontdeparagrafimplicit1"/>
          <w:b/>
        </w:rPr>
      </w:pPr>
      <w:r>
        <w:rPr>
          <w:rStyle w:val="Fontdeparagrafimplicit1"/>
          <w:b/>
        </w:rPr>
        <w:t xml:space="preserve">SECŢIA </w:t>
      </w:r>
      <w:r w:rsidR="0077237E">
        <w:rPr>
          <w:rStyle w:val="Fontdeparagrafimplicit1"/>
          <w:b/>
        </w:rPr>
        <w:t>...</w:t>
      </w:r>
      <w:r>
        <w:rPr>
          <w:rStyle w:val="Fontdeparagrafimplicit1"/>
          <w:b/>
        </w:rPr>
        <w:t xml:space="preserve"> CONTENCIOS ADMINISTRATIV ŞI FISCAL</w:t>
      </w:r>
    </w:p>
    <w:p w14:paraId="6F72BC62" w14:textId="0C0B6CF2" w:rsidR="000F20D1" w:rsidRDefault="00680E3E">
      <w:pPr>
        <w:keepNext/>
        <w:ind w:right="283"/>
        <w:jc w:val="center"/>
        <w:outlineLvl w:val="1"/>
        <w:rPr>
          <w:rStyle w:val="Fontdeparagrafimplicit1"/>
          <w:rFonts w:ascii="Garamond" w:hAnsi="Garamond"/>
          <w:u w:val="single"/>
          <w:lang w:val="en-US"/>
        </w:rPr>
      </w:pPr>
      <w:r>
        <w:rPr>
          <w:rStyle w:val="Fontdeparagrafimplicit1"/>
          <w:b/>
          <w:u w:val="single"/>
        </w:rPr>
        <w:t xml:space="preserve">Sentinţa civilă nr. </w:t>
      </w:r>
      <w:r w:rsidR="0077237E">
        <w:rPr>
          <w:rStyle w:val="Fontdeparagrafimplicit1"/>
          <w:b/>
          <w:u w:val="single"/>
        </w:rPr>
        <w:t>...</w:t>
      </w:r>
    </w:p>
    <w:p w14:paraId="1FB1F86F" w14:textId="2CB205D8" w:rsidR="000F20D1" w:rsidRDefault="00680E3E">
      <w:pPr>
        <w:ind w:right="283"/>
        <w:jc w:val="center"/>
        <w:rPr>
          <w:rStyle w:val="Fontdeparagrafimplicit1"/>
          <w:b/>
        </w:rPr>
      </w:pPr>
      <w:r>
        <w:rPr>
          <w:rStyle w:val="Fontdeparagrafimplicit1"/>
          <w:b/>
        </w:rPr>
        <w:t xml:space="preserve">Ședința publică din data de </w:t>
      </w:r>
      <w:r w:rsidR="0077237E">
        <w:rPr>
          <w:rStyle w:val="Fontdeparagrafimplicit1"/>
          <w:b/>
          <w:u w:val="single"/>
        </w:rPr>
        <w:t>....</w:t>
      </w:r>
    </w:p>
    <w:p w14:paraId="0994857B" w14:textId="77777777" w:rsidR="000F20D1" w:rsidRDefault="00680E3E">
      <w:pPr>
        <w:ind w:right="283"/>
        <w:jc w:val="center"/>
      </w:pPr>
      <w:r>
        <w:t>Curtea constituită din:</w:t>
      </w:r>
    </w:p>
    <w:p w14:paraId="21D17A48" w14:textId="1C8BB3FD" w:rsidR="000F20D1" w:rsidRDefault="00680E3E">
      <w:pPr>
        <w:ind w:right="283"/>
        <w:jc w:val="center"/>
        <w:rPr>
          <w:rStyle w:val="Fontdeparagrafimplicit1"/>
          <w:b/>
        </w:rPr>
      </w:pPr>
      <w:r>
        <w:rPr>
          <w:rStyle w:val="Fontdeparagrafimplicit1"/>
          <w:b/>
        </w:rPr>
        <w:t xml:space="preserve">Preşedinte: </w:t>
      </w:r>
      <w:r w:rsidR="0077237E">
        <w:rPr>
          <w:rStyle w:val="Fontdeparagrafimplicit1"/>
          <w:b/>
        </w:rPr>
        <w:t>A0017</w:t>
      </w:r>
      <w:r>
        <w:rPr>
          <w:rStyle w:val="Fontdeparagrafimplicit1"/>
          <w:b/>
        </w:rPr>
        <w:t xml:space="preserve"> </w:t>
      </w:r>
    </w:p>
    <w:p w14:paraId="7C4CD147" w14:textId="25C2AEEB" w:rsidR="000F20D1" w:rsidRDefault="00680E3E">
      <w:pPr>
        <w:ind w:right="283"/>
        <w:jc w:val="center"/>
        <w:rPr>
          <w:rStyle w:val="Fontdeparagrafimplicit1"/>
          <w:b/>
        </w:rPr>
      </w:pPr>
      <w:r>
        <w:rPr>
          <w:rStyle w:val="Fontdeparagrafimplicit1"/>
          <w:b/>
        </w:rPr>
        <w:t xml:space="preserve">Grefier:  </w:t>
      </w:r>
      <w:r w:rsidR="0077237E">
        <w:rPr>
          <w:rStyle w:val="Fontdeparagrafimplicit1"/>
          <w:b/>
        </w:rPr>
        <w:t>...</w:t>
      </w:r>
    </w:p>
    <w:p w14:paraId="2A0588AE" w14:textId="77777777" w:rsidR="000F20D1" w:rsidRDefault="000F20D1">
      <w:pPr>
        <w:jc w:val="center"/>
        <w:rPr>
          <w:rStyle w:val="Fontdeparagrafimplicit1"/>
        </w:rPr>
      </w:pPr>
    </w:p>
    <w:p w14:paraId="315946AA" w14:textId="77777777" w:rsidR="000F20D1" w:rsidRDefault="000F20D1">
      <w:pPr>
        <w:rPr>
          <w:rStyle w:val="Fontdeparagrafimplicit1"/>
        </w:rPr>
      </w:pPr>
    </w:p>
    <w:p w14:paraId="48F8BE3A" w14:textId="296835E0" w:rsidR="000F20D1" w:rsidRDefault="00680E3E">
      <w:pPr>
        <w:ind w:firstLine="708"/>
        <w:jc w:val="both"/>
        <w:rPr>
          <w:rStyle w:val="Fontdeparagrafimplicit1"/>
          <w:i/>
        </w:rPr>
      </w:pPr>
      <w:r>
        <w:t xml:space="preserve">Pe rol se află soluţionarea cererii în contencios administrativ şi fiscal formulate de </w:t>
      </w:r>
      <w:bookmarkStart w:id="0" w:name="_Hlk163814689"/>
      <w:r>
        <w:t xml:space="preserve">reclamantele </w:t>
      </w:r>
      <w:r>
        <w:rPr>
          <w:rStyle w:val="Fontdeparagrafimplicit1"/>
          <w:b/>
        </w:rPr>
        <w:t xml:space="preserve">S.C. </w:t>
      </w:r>
      <w:r w:rsidR="0077237E">
        <w:rPr>
          <w:rStyle w:val="Fontdeparagrafimplicit1"/>
          <w:b/>
        </w:rPr>
        <w:t>AK</w:t>
      </w:r>
      <w:r>
        <w:rPr>
          <w:rStyle w:val="Fontdeparagrafimplicit1"/>
          <w:b/>
        </w:rPr>
        <w:t xml:space="preserve"> S.A. </w:t>
      </w:r>
      <w:r>
        <w:t xml:space="preserve">şi </w:t>
      </w:r>
      <w:r>
        <w:rPr>
          <w:rStyle w:val="Fontdeparagrafimplicit1"/>
          <w:b/>
        </w:rPr>
        <w:t xml:space="preserve">AK 2 SA </w:t>
      </w:r>
      <w:r w:rsidR="0077237E">
        <w:rPr>
          <w:rStyle w:val="Fontdeparagrafimplicit1"/>
          <w:b/>
        </w:rPr>
        <w:t>A</w:t>
      </w:r>
      <w:r>
        <w:rPr>
          <w:rStyle w:val="Fontdeparagrafimplicit1"/>
          <w:b/>
        </w:rPr>
        <w:t xml:space="preserve"> SUCURSALA </w:t>
      </w:r>
      <w:r w:rsidR="0077237E">
        <w:rPr>
          <w:rStyle w:val="Fontdeparagrafimplicit1"/>
          <w:b/>
        </w:rPr>
        <w:t>X</w:t>
      </w:r>
      <w:r>
        <w:rPr>
          <w:rStyle w:val="Fontdeparagrafimplicit1"/>
          <w:b/>
        </w:rPr>
        <w:t xml:space="preserve"> ROMÂNIA (FOSTĂ </w:t>
      </w:r>
      <w:r w:rsidR="0077237E">
        <w:rPr>
          <w:rStyle w:val="Fontdeparagrafimplicit1"/>
          <w:b/>
        </w:rPr>
        <w:t>AK</w:t>
      </w:r>
      <w:r>
        <w:rPr>
          <w:rStyle w:val="Fontdeparagrafimplicit1"/>
          <w:b/>
        </w:rPr>
        <w:t xml:space="preserve">  SA  </w:t>
      </w:r>
      <w:r w:rsidR="0077237E">
        <w:rPr>
          <w:rStyle w:val="Fontdeparagrafimplicit1"/>
          <w:b/>
        </w:rPr>
        <w:t>A</w:t>
      </w:r>
      <w:r>
        <w:rPr>
          <w:rStyle w:val="Fontdeparagrafimplicit1"/>
          <w:b/>
        </w:rPr>
        <w:t xml:space="preserve">  SUCURSALA  </w:t>
      </w:r>
      <w:r w:rsidR="0077237E">
        <w:rPr>
          <w:rStyle w:val="Fontdeparagrafimplicit1"/>
          <w:b/>
        </w:rPr>
        <w:t>X</w:t>
      </w:r>
      <w:r>
        <w:rPr>
          <w:rStyle w:val="Fontdeparagrafimplicit1"/>
          <w:b/>
        </w:rPr>
        <w:t xml:space="preserve"> ROMÂNIA), </w:t>
      </w:r>
      <w:r>
        <w:t xml:space="preserve">în contradictoriu cu pârâţii </w:t>
      </w:r>
      <w:r>
        <w:rPr>
          <w:rStyle w:val="Fontdeparagrafimplicit1"/>
          <w:b/>
        </w:rPr>
        <w:t xml:space="preserve">ADMINISTRAŢIA </w:t>
      </w:r>
      <w:r w:rsidR="0077237E">
        <w:rPr>
          <w:rStyle w:val="Fontdeparagrafimplicit1"/>
          <w:b/>
        </w:rPr>
        <w:t>Z</w:t>
      </w:r>
      <w:r>
        <w:rPr>
          <w:rStyle w:val="Fontdeparagrafimplicit1"/>
          <w:b/>
        </w:rPr>
        <w:t xml:space="preserve"> A FINANŢELOR PUBLICE PRIN DGRFP </w:t>
      </w:r>
      <w:r w:rsidR="0077237E">
        <w:rPr>
          <w:rStyle w:val="Fontdeparagrafimplicit1"/>
          <w:b/>
        </w:rPr>
        <w:t>X</w:t>
      </w:r>
      <w:r>
        <w:rPr>
          <w:rStyle w:val="Fontdeparagrafimplicit1"/>
          <w:b/>
        </w:rPr>
        <w:t xml:space="preserve"> </w:t>
      </w:r>
      <w:r>
        <w:t xml:space="preserve">şi </w:t>
      </w:r>
      <w:r>
        <w:rPr>
          <w:rStyle w:val="Fontdeparagrafimplicit1"/>
          <w:b/>
        </w:rPr>
        <w:t>MINISTERUL FINANŢELOR PUBLICE</w:t>
      </w:r>
      <w:bookmarkEnd w:id="0"/>
      <w:r>
        <w:rPr>
          <w:rStyle w:val="Fontdeparagrafimplicit1"/>
          <w:b/>
        </w:rPr>
        <w:t xml:space="preserve">, </w:t>
      </w:r>
      <w:r>
        <w:t>având ca obiect „</w:t>
      </w:r>
      <w:r>
        <w:rPr>
          <w:rStyle w:val="Fontdeparagrafimplicit1"/>
          <w:i/>
        </w:rPr>
        <w:t>excepţie nelegalitate act administrativ”.</w:t>
      </w:r>
    </w:p>
    <w:p w14:paraId="09A68214" w14:textId="15A06E09" w:rsidR="000F20D1" w:rsidRDefault="00680E3E">
      <w:pPr>
        <w:ind w:firstLine="708"/>
        <w:jc w:val="both"/>
      </w:pPr>
      <w:r>
        <w:t xml:space="preserve">La apelul nominal făcut în şedinţa publică de azi se prezintă </w:t>
      </w:r>
      <w:bookmarkStart w:id="1" w:name="_Hlk163812910"/>
      <w:r>
        <w:t xml:space="preserve">reclamanta </w:t>
      </w:r>
      <w:bookmarkStart w:id="2" w:name="_Hlk163812728"/>
      <w:r>
        <w:t xml:space="preserve">AK 2 SA </w:t>
      </w:r>
      <w:r w:rsidR="0077237E">
        <w:t>A</w:t>
      </w:r>
      <w:r>
        <w:t xml:space="preserve"> Sucursala </w:t>
      </w:r>
      <w:r w:rsidR="0077237E">
        <w:t>X</w:t>
      </w:r>
      <w:r>
        <w:t xml:space="preserve"> România</w:t>
      </w:r>
      <w:bookmarkEnd w:id="2"/>
      <w:r>
        <w:t xml:space="preserve">, prin avocat </w:t>
      </w:r>
      <w:bookmarkEnd w:id="1"/>
      <w:r w:rsidR="0077237E">
        <w:t>...</w:t>
      </w:r>
      <w:r>
        <w:t>, în baza împuternicirii avocaţiale depuse la fila nr. 10 din dosar, lipsă fiind celelalte părţi.</w:t>
      </w:r>
    </w:p>
    <w:p w14:paraId="53D8E5EC" w14:textId="77777777" w:rsidR="000F20D1" w:rsidRDefault="00680E3E">
      <w:pPr>
        <w:ind w:firstLine="708"/>
        <w:jc w:val="both"/>
      </w:pPr>
      <w:r>
        <w:t>Procedura de citare este legal îndeplinită.</w:t>
      </w:r>
    </w:p>
    <w:p w14:paraId="42F97277" w14:textId="77777777" w:rsidR="000F20D1" w:rsidRDefault="00680E3E">
      <w:pPr>
        <w:ind w:firstLine="708"/>
        <w:jc w:val="both"/>
      </w:pPr>
      <w:r>
        <w:t xml:space="preserve">S-a făcut referatul cauzei de către grefierul de ședință, conform art. 119 alin. 1 din R.O.I.I.J., prezentând pe scurt obiectul pricinii și stadiul în care se află judecata acesteia, comunicând şi modul în care s-a îndeplinit procedura de citare a persoanelor chemate la proces, după care: </w:t>
      </w:r>
    </w:p>
    <w:p w14:paraId="76A91000" w14:textId="0B3BBD15" w:rsidR="000F20D1" w:rsidRDefault="00680E3E">
      <w:pPr>
        <w:ind w:firstLine="708"/>
        <w:jc w:val="both"/>
      </w:pPr>
      <w:r>
        <w:t xml:space="preserve">Curtea pune în discuţie cererea </w:t>
      </w:r>
      <w:bookmarkStart w:id="3" w:name="_Hlk163813013"/>
      <w:r>
        <w:t xml:space="preserve">reclamantei AK 2 SA </w:t>
      </w:r>
      <w:r w:rsidR="0077237E">
        <w:t>A</w:t>
      </w:r>
      <w:r>
        <w:t xml:space="preserve"> Sucursala </w:t>
      </w:r>
      <w:r w:rsidR="0077237E">
        <w:t>X</w:t>
      </w:r>
      <w:r>
        <w:t xml:space="preserve"> România de repunere a cauzei pe rol</w:t>
      </w:r>
      <w:bookmarkEnd w:id="3"/>
      <w:r>
        <w:t>.</w:t>
      </w:r>
    </w:p>
    <w:p w14:paraId="4ED7C8DC" w14:textId="3D872F3C" w:rsidR="000F20D1" w:rsidRDefault="00680E3E">
      <w:pPr>
        <w:ind w:firstLine="708"/>
        <w:jc w:val="both"/>
      </w:pPr>
      <w:r>
        <w:t xml:space="preserve">Având cuvântul, reclamanta AK 2 SA </w:t>
      </w:r>
      <w:r w:rsidR="0077237E">
        <w:t>A</w:t>
      </w:r>
      <w:r>
        <w:t xml:space="preserve"> Sucursala </w:t>
      </w:r>
      <w:r w:rsidR="0077237E">
        <w:t>X</w:t>
      </w:r>
      <w:r>
        <w:t xml:space="preserve"> România, prin avocat, solicită admiterea cererii de repunere a cauzei pe rol, având în vedere soluţia pronunţată de Înalta Curte de Casaţie şi Justiţie şi motivul pentru care s-a dispus suspendarea.</w:t>
      </w:r>
    </w:p>
    <w:p w14:paraId="47417950" w14:textId="5A6E4812" w:rsidR="000F20D1" w:rsidRDefault="00680E3E">
      <w:pPr>
        <w:ind w:firstLine="708"/>
        <w:jc w:val="both"/>
      </w:pPr>
      <w:r>
        <w:t xml:space="preserve">Curtea, deliberând, </w:t>
      </w:r>
      <w:r>
        <w:rPr>
          <w:rStyle w:val="Fontdeparagrafimplicit1"/>
          <w:i/>
        </w:rPr>
        <w:t>admite cererea de repunere a cauzei pe rol</w:t>
      </w:r>
      <w:r>
        <w:t xml:space="preserve"> formulată de reclamanta AK 2 SA </w:t>
      </w:r>
      <w:r w:rsidR="0077237E">
        <w:t>A</w:t>
      </w:r>
      <w:r>
        <w:t xml:space="preserve"> Sucursala </w:t>
      </w:r>
      <w:r w:rsidR="0077237E">
        <w:t>X</w:t>
      </w:r>
      <w:r>
        <w:t xml:space="preserve"> România şi repune cauza pe rol, constatând că au încetat motivele care au stat la baza suspendării judecăţii, fiind soluţionat în mod irevocabil dosarul nr. </w:t>
      </w:r>
      <w:r w:rsidR="0077237E">
        <w:t>...</w:t>
      </w:r>
      <w:r>
        <w:t>/2009.</w:t>
      </w:r>
    </w:p>
    <w:p w14:paraId="35D7C04A" w14:textId="655E3B58" w:rsidR="000F20D1" w:rsidRDefault="00680E3E">
      <w:pPr>
        <w:ind w:firstLine="708"/>
        <w:jc w:val="both"/>
      </w:pPr>
      <w:r>
        <w:t xml:space="preserve">Totodată, Curtea pune în discuţie, în raport de soluţia pronunţată în dosarul nr. </w:t>
      </w:r>
      <w:r w:rsidR="0077237E">
        <w:t>...</w:t>
      </w:r>
      <w:r>
        <w:t xml:space="preserve">/2009, calificarea excepţiei rămânerii fără obiect invocate de reclamanta AK 2 SA </w:t>
      </w:r>
      <w:r w:rsidR="0077237E">
        <w:t>A</w:t>
      </w:r>
      <w:r>
        <w:t xml:space="preserve"> Sucursala </w:t>
      </w:r>
      <w:r w:rsidR="0077237E">
        <w:t>X</w:t>
      </w:r>
      <w:r>
        <w:t xml:space="preserve"> România ca fiind excepţia lipsei interesului.</w:t>
      </w:r>
    </w:p>
    <w:p w14:paraId="30F8A2A3" w14:textId="0114B142" w:rsidR="000F20D1" w:rsidRDefault="00680E3E">
      <w:pPr>
        <w:ind w:firstLine="708"/>
        <w:jc w:val="both"/>
      </w:pPr>
      <w:r>
        <w:t xml:space="preserve">Având cuvântul, reclamanta AK 2 SA </w:t>
      </w:r>
      <w:r w:rsidR="0077237E">
        <w:t>A</w:t>
      </w:r>
      <w:r>
        <w:t xml:space="preserve"> Sucursala </w:t>
      </w:r>
      <w:r w:rsidR="0077237E">
        <w:t>X</w:t>
      </w:r>
      <w:r>
        <w:t xml:space="preserve"> România, prin avocat, arată că lasă la aprecierea instanţei cu privire la calificarea excepţiei rămânerii fără obiect ca fiind excepţia lipsei de interes.</w:t>
      </w:r>
    </w:p>
    <w:p w14:paraId="4D841331" w14:textId="77777777" w:rsidR="000F20D1" w:rsidRDefault="00680E3E">
      <w:pPr>
        <w:ind w:firstLine="708"/>
        <w:jc w:val="both"/>
      </w:pPr>
      <w:r>
        <w:t>Curtea acordă cuvântul asupra excepţiei rămânerii fără obiect şi asupra excepţiei lipsei de interes.</w:t>
      </w:r>
    </w:p>
    <w:p w14:paraId="5EE11FAE" w14:textId="7DE7EDF2" w:rsidR="000F20D1" w:rsidRDefault="00680E3E">
      <w:pPr>
        <w:ind w:firstLine="708"/>
        <w:jc w:val="both"/>
      </w:pPr>
      <w:r>
        <w:t xml:space="preserve">Reclamanta AK 2 SA </w:t>
      </w:r>
      <w:r w:rsidR="0077237E">
        <w:t>A</w:t>
      </w:r>
      <w:r>
        <w:t xml:space="preserve"> Sucursala </w:t>
      </w:r>
      <w:r w:rsidR="0077237E">
        <w:t>X</w:t>
      </w:r>
      <w:r>
        <w:t xml:space="preserve"> România, prin avocat, învederează faptul că interesul său de a repune prezenta cauza pe rol derivă din faptul că la baza acestuia există o contestaţie la executare care trebuie soluţionată, prin raportare la decizia pronunţată de Înalta Curte de Casaţie şi Justiţie. </w:t>
      </w:r>
    </w:p>
    <w:p w14:paraId="7D895117" w14:textId="77777777" w:rsidR="000F20D1" w:rsidRDefault="00680E3E">
      <w:pPr>
        <w:ind w:firstLine="708"/>
        <w:jc w:val="both"/>
      </w:pPr>
      <w:r>
        <w:t xml:space="preserve">De asemenea, arată că, întrucât excepţia de nelegalitate s-a referit la acel proces-verbal care coincide ca număr şi dată cu cel în legătură cu care Înalta Curte de Casaţie şi Justiţie a constatat nulitatea, apreciază că excepţia vizând în sens material acest înscris rămâne fără obiect, însă, prin raportate la soluţia care înseamnă o anularea, se poate reţine că reclamanta nu ar mai avea interes de a invoca din nou o nelegalitate, având în vedere că actul </w:t>
      </w:r>
      <w:r>
        <w:lastRenderedPageBreak/>
        <w:t>a fost deja anulat. Astfel, în principal, arată că menţine excepţia lipsei de obiect, iar în subsidiar, apreciază că ar putea fi incidentă şi o lipsă de interes.</w:t>
      </w:r>
    </w:p>
    <w:p w14:paraId="17F8DB5D" w14:textId="77777777" w:rsidR="000F20D1" w:rsidRDefault="00680E3E">
      <w:pPr>
        <w:ind w:firstLine="709"/>
        <w:jc w:val="both"/>
      </w:pPr>
      <w:r>
        <w:t>Curtea reţine cauza spre soluţionare.</w:t>
      </w:r>
    </w:p>
    <w:p w14:paraId="410449F0" w14:textId="77777777" w:rsidR="000F20D1" w:rsidRDefault="000F20D1">
      <w:pPr>
        <w:ind w:firstLine="708"/>
        <w:jc w:val="both"/>
      </w:pPr>
    </w:p>
    <w:p w14:paraId="5C955D25" w14:textId="77777777" w:rsidR="000F20D1" w:rsidRDefault="00680E3E">
      <w:pPr>
        <w:jc w:val="center"/>
        <w:rPr>
          <w:rStyle w:val="Fontdeparagrafimplicit1"/>
          <w:b/>
        </w:rPr>
      </w:pPr>
      <w:r>
        <w:rPr>
          <w:rStyle w:val="Fontdeparagrafimplicit1"/>
          <w:b/>
        </w:rPr>
        <w:t xml:space="preserve">CURTEA </w:t>
      </w:r>
    </w:p>
    <w:p w14:paraId="69232FED" w14:textId="77777777" w:rsidR="000F20D1" w:rsidRDefault="000F20D1">
      <w:pPr>
        <w:jc w:val="center"/>
        <w:rPr>
          <w:rStyle w:val="Fontdeparagrafimplicit1"/>
          <w:b/>
        </w:rPr>
      </w:pPr>
    </w:p>
    <w:p w14:paraId="05F28EFD" w14:textId="77777777" w:rsidR="000F20D1" w:rsidRDefault="00680E3E">
      <w:pPr>
        <w:jc w:val="both"/>
      </w:pPr>
      <w:r>
        <w:rPr>
          <w:rStyle w:val="Fontdeparagrafimplicit1"/>
          <w:b/>
        </w:rPr>
        <w:tab/>
        <w:t>Analizând, prioritar, excepţia rămânerii fără obiect</w:t>
      </w:r>
      <w:r>
        <w:t xml:space="preserve"> a litigiului de faţă privind excepţia de nelegalitate, reţine următoarele:</w:t>
      </w:r>
    </w:p>
    <w:p w14:paraId="45642500" w14:textId="77777777" w:rsidR="000F20D1" w:rsidRDefault="00680E3E">
      <w:pPr>
        <w:jc w:val="both"/>
        <w:rPr>
          <w:rStyle w:val="Fontdeparagrafimplicit1"/>
          <w:i/>
          <w:u w:val="single"/>
        </w:rPr>
      </w:pPr>
      <w:r>
        <w:tab/>
      </w:r>
      <w:r>
        <w:rPr>
          <w:rStyle w:val="Fontdeparagrafimplicit1"/>
          <w:i/>
          <w:u w:val="single"/>
        </w:rPr>
        <w:t>Istoricul litigiului:</w:t>
      </w:r>
    </w:p>
    <w:p w14:paraId="2DEC4778" w14:textId="77777777" w:rsidR="000F20D1" w:rsidRDefault="00680E3E">
      <w:pPr>
        <w:ind w:firstLine="708"/>
        <w:jc w:val="both"/>
      </w:pPr>
      <w:r>
        <w:t>Cu titlu prealabil, Curtea evidenţiază că litigiul, în raport cu data pornirii lui în faţa judecătoriei (6.2.2009) se supune legii procesuale reprezentate de vechiul Cod de procedură civilă şi art. 4 al Legii nr. 554/2004 în forma în vigoare la data de 6.2.2009.</w:t>
      </w:r>
    </w:p>
    <w:p w14:paraId="5C7E9198" w14:textId="330036AE" w:rsidR="000F20D1" w:rsidRDefault="00680E3E">
      <w:pPr>
        <w:ind w:firstLine="708"/>
        <w:jc w:val="both"/>
      </w:pPr>
      <w:r>
        <w:t xml:space="preserve">Reclamantele S.C. </w:t>
      </w:r>
      <w:r w:rsidR="0077237E">
        <w:t>AK</w:t>
      </w:r>
      <w:r>
        <w:t xml:space="preserve"> S.A. şi AK 2 SA </w:t>
      </w:r>
      <w:r w:rsidR="0077237E">
        <w:t>A</w:t>
      </w:r>
      <w:r>
        <w:t xml:space="preserve"> SUCURSALA </w:t>
      </w:r>
      <w:r w:rsidR="0077237E">
        <w:t>X</w:t>
      </w:r>
      <w:r>
        <w:t xml:space="preserve"> ROMÂNIA (FOSTĂ </w:t>
      </w:r>
      <w:r w:rsidR="0077237E">
        <w:t>AK</w:t>
      </w:r>
      <w:r>
        <w:t xml:space="preserve">  SA  </w:t>
      </w:r>
      <w:r w:rsidR="0077237E">
        <w:t>A</w:t>
      </w:r>
      <w:r>
        <w:t xml:space="preserve">  SUCURSALA  </w:t>
      </w:r>
      <w:r w:rsidR="0077237E">
        <w:t>X</w:t>
      </w:r>
      <w:r>
        <w:t xml:space="preserve"> ROMÂNIA) în contradictoriu cu intimata Administraţia Finanţelor Publice </w:t>
      </w:r>
      <w:r w:rsidR="0077237E">
        <w:t>Z</w:t>
      </w:r>
      <w:r>
        <w:t xml:space="preserve"> </w:t>
      </w:r>
      <w:r w:rsidR="0077237E">
        <w:t>X</w:t>
      </w:r>
      <w:r>
        <w:t xml:space="preserve"> au sesizat Judecătoria </w:t>
      </w:r>
      <w:r w:rsidR="0077237E">
        <w:t>Z</w:t>
      </w:r>
      <w:r>
        <w:t xml:space="preserve"> </w:t>
      </w:r>
      <w:r w:rsidR="0077237E">
        <w:t>X</w:t>
      </w:r>
      <w:r>
        <w:t xml:space="preserve"> la data de 6.2.2009, cu o contestaţie la executare înregistrată cu nr. de dosar </w:t>
      </w:r>
      <w:r w:rsidR="0077237E">
        <w:t>...</w:t>
      </w:r>
      <w:r>
        <w:t xml:space="preserve">/2009. </w:t>
      </w:r>
    </w:p>
    <w:p w14:paraId="7EA46D99" w14:textId="20BBC1C0" w:rsidR="000F20D1" w:rsidRDefault="00680E3E">
      <w:pPr>
        <w:ind w:firstLine="708"/>
        <w:jc w:val="both"/>
      </w:pPr>
      <w:r>
        <w:t xml:space="preserve">În cadrul acelui litigiu, reclamantele au invocat excepţia de nelegalitate a actului administrativ „Official Report dated on 23 July 2008” redactat în limba engleză (Raport oficial din 23 iulie 2008 sau Proces-verbal de constatare din 23 iulie 2009) înregistrat cu nr. </w:t>
      </w:r>
      <w:r w:rsidR="0077237E">
        <w:t>...</w:t>
      </w:r>
      <w:r>
        <w:t>/25.07.2008 emis de Ministerul Finanţelor Publice – Oficiul de Plăţi şi Contractare PHARE.</w:t>
      </w:r>
    </w:p>
    <w:p w14:paraId="050D90AE" w14:textId="6EA84693" w:rsidR="000F20D1" w:rsidRDefault="00680E3E">
      <w:pPr>
        <w:ind w:firstLine="708"/>
        <w:jc w:val="both"/>
      </w:pPr>
      <w:r>
        <w:t xml:space="preserve">Prin încheierea din data de </w:t>
      </w:r>
      <w:r w:rsidR="0077237E">
        <w:t>...</w:t>
      </w:r>
      <w:r>
        <w:t xml:space="preserve"> 2009 pronunţată de Judecătoria </w:t>
      </w:r>
      <w:r w:rsidR="0077237E">
        <w:t>Z</w:t>
      </w:r>
      <w:r>
        <w:t xml:space="preserve"> </w:t>
      </w:r>
      <w:r w:rsidR="0077237E">
        <w:t>X</w:t>
      </w:r>
      <w:r>
        <w:t xml:space="preserve"> în dosarul nr. </w:t>
      </w:r>
      <w:r w:rsidR="0077237E">
        <w:t>...</w:t>
      </w:r>
      <w:r>
        <w:t xml:space="preserve">/2009, respectiva judecătorie a sesizat Curtea de Apel </w:t>
      </w:r>
      <w:r w:rsidR="0077237E">
        <w:t>X</w:t>
      </w:r>
      <w:r>
        <w:t xml:space="preserve"> pentru soluţionarea excepţiei de nelegalitate a actului administrativ „Official Report dated on 23 July 2008”. </w:t>
      </w:r>
    </w:p>
    <w:p w14:paraId="74740DB1" w14:textId="471DC559" w:rsidR="000F20D1" w:rsidRDefault="00680E3E">
      <w:pPr>
        <w:ind w:firstLine="708"/>
        <w:jc w:val="both"/>
      </w:pPr>
      <w:r>
        <w:t xml:space="preserve">Excepţia de nelegalitate a fost înregistrată pe rolul Curţii de Apel </w:t>
      </w:r>
      <w:r w:rsidR="0077237E">
        <w:t>X</w:t>
      </w:r>
      <w:r>
        <w:t xml:space="preserve">, Secţia </w:t>
      </w:r>
      <w:r w:rsidR="0077237E">
        <w:t>...</w:t>
      </w:r>
      <w:r>
        <w:t xml:space="preserve"> la data de </w:t>
      </w:r>
      <w:r w:rsidR="0077237E">
        <w:t>...</w:t>
      </w:r>
      <w:r>
        <w:t xml:space="preserve">.2009. Prin note (f. 48 şi urm), Ministerul Finanţelor Publice – pârât (emitentul actului contestat prin excepţia de nelegalitate) a invocat excepţia inadmisibilităţii excepţiei de nelegalitate, iar pe fond a solicitat respingerea ca nefondată a excepţiei de nelegalitate. </w:t>
      </w:r>
    </w:p>
    <w:p w14:paraId="233E3F21" w14:textId="2AD6512A" w:rsidR="000F20D1" w:rsidRDefault="00680E3E">
      <w:pPr>
        <w:ind w:firstLine="708"/>
        <w:jc w:val="both"/>
      </w:pPr>
      <w:r>
        <w:t xml:space="preserve">Prin încheierea din data de </w:t>
      </w:r>
      <w:r w:rsidR="008F38CA">
        <w:t>...</w:t>
      </w:r>
      <w:r>
        <w:t xml:space="preserve"> martie 2010, Curtea de Apel </w:t>
      </w:r>
      <w:r w:rsidR="0077237E">
        <w:t>X</w:t>
      </w:r>
      <w:r>
        <w:t xml:space="preserve"> Secţia </w:t>
      </w:r>
      <w:r w:rsidR="0077237E">
        <w:t>...</w:t>
      </w:r>
      <w:r>
        <w:t xml:space="preserve"> a respins excepţia inadmisibilităţii excepţiei de nelegalitate şi a dispus suspendarea judecăţii cauzei în baza art. 244 alin. 1 pct. 1 Cod procedură civilă (vechi), până la soluţionarea irevocabilă a dosarului nr. </w:t>
      </w:r>
      <w:r w:rsidR="0077237E">
        <w:t>...</w:t>
      </w:r>
      <w:r>
        <w:t xml:space="preserve">/2009 al Curţii de Apel </w:t>
      </w:r>
      <w:r w:rsidR="0077237E">
        <w:t>X</w:t>
      </w:r>
      <w:r>
        <w:t xml:space="preserve">, Secţia </w:t>
      </w:r>
      <w:r w:rsidR="0077237E">
        <w:t>...</w:t>
      </w:r>
      <w:r>
        <w:t xml:space="preserve"> Contencios administrativ şi fiscal. În cuprinsul încheierii de suspendare, instanţa a reţinut că dosarul nr. </w:t>
      </w:r>
      <w:r w:rsidR="0077237E">
        <w:t>...</w:t>
      </w:r>
      <w:r>
        <w:t xml:space="preserve">/2009 are ca obiect constatarea nulităţii actului administrativ „Official Report dated on 23 July 2008” redactat în limba engleză (Raport oficial din 23 iulie 2008 sau Proces-verbal de constatare din 23 iulie 2009), pentru aceleaşi motive ca şi cele invocate de reclamantă în cauza de faţă în susţinerea excepţiei de nelegalitate a aceluiaşi act, precum şi faptul că există inclusiv o identitate de părţi în cele două dosare. </w:t>
      </w:r>
    </w:p>
    <w:p w14:paraId="2608AA55" w14:textId="248DC6CA" w:rsidR="000F20D1" w:rsidRDefault="00680E3E">
      <w:pPr>
        <w:ind w:firstLine="708"/>
        <w:jc w:val="both"/>
      </w:pPr>
      <w:r>
        <w:t xml:space="preserve">Dosarul a parcurs o procedură de verificare periodică a motivelor care au stat la baza suspendării. Dosarul nr. </w:t>
      </w:r>
      <w:r w:rsidR="0077237E">
        <w:t>...</w:t>
      </w:r>
      <w:r>
        <w:t xml:space="preserve">/2009 a fost preluat cu nr. </w:t>
      </w:r>
      <w:r w:rsidR="0077237E">
        <w:t>...</w:t>
      </w:r>
      <w:r>
        <w:t xml:space="preserve">/2009* pe Secţia </w:t>
      </w:r>
      <w:r w:rsidR="0077237E">
        <w:t>...</w:t>
      </w:r>
      <w:r>
        <w:t xml:space="preserve"> Contencios Administrativ şi Fiscal astfel cum rezultă din procesul-verbal din 16.03.2023, fila 4 dosar. Dosarul nr. </w:t>
      </w:r>
      <w:r w:rsidR="0077237E">
        <w:t>...</w:t>
      </w:r>
      <w:r>
        <w:t xml:space="preserve">/2009* a fost repus pe rol la termenul din </w:t>
      </w:r>
      <w:r w:rsidR="0077237E">
        <w:t>...</w:t>
      </w:r>
      <w:r>
        <w:t xml:space="preserve">.4.2024, instanţa constatând că au încetat motivele care au stat la baza suspendării litigiului, respectiv a fost soluţionat irevocabil dosarul nr. </w:t>
      </w:r>
      <w:r w:rsidR="0077237E">
        <w:t>...</w:t>
      </w:r>
      <w:r>
        <w:t xml:space="preserve">/2009. </w:t>
      </w:r>
    </w:p>
    <w:p w14:paraId="357B5473" w14:textId="77777777" w:rsidR="000F20D1" w:rsidRDefault="00680E3E">
      <w:pPr>
        <w:ind w:firstLine="708"/>
        <w:jc w:val="both"/>
      </w:pPr>
      <w:r>
        <w:rPr>
          <w:rStyle w:val="Fontdeparagrafimplicit1"/>
          <w:i/>
          <w:u w:val="single"/>
        </w:rPr>
        <w:t>Cu privire la excepţia rămânerii fără obiect a litigiului de faţă</w:t>
      </w:r>
      <w:r>
        <w:t>:</w:t>
      </w:r>
    </w:p>
    <w:p w14:paraId="576383E3" w14:textId="77777777" w:rsidR="000F20D1" w:rsidRDefault="00680E3E">
      <w:pPr>
        <w:ind w:firstLine="708"/>
        <w:jc w:val="both"/>
        <w:rPr>
          <w:rStyle w:val="Fontdeparagrafimplicit1"/>
        </w:rPr>
      </w:pPr>
      <w:r>
        <w:t xml:space="preserve">Cu titlu prealabil, Curtea subliniază că rămânerea fără obiect a cererii nu este o soluţie consacrată legislativ. Însă, există o practică judiciară constantă care consacră această soluţie. Înalta Curte de Casație și Justiție a hotărât, de exemplu, că soluția de respingere a cererii ca rămasă fără obiect, atunci când ceea ce s-a dedus judecăţii a fost deja executat de pârât (pârâţi) de bună voie, înainte de finalizarea procesului, urmare unei împrejurări intervenite ulterior introducerii cererii de chemare în judecată, consacrată de practica judiciară anterioară noului Cod  civil, dar neconsacrată legislativ, își menţine aplicabilitatea şi se justifică şi sub imperiul noului Cod de procedură civilă, fiind dedusă pe cale de interpretare din art. 194 lit. </w:t>
      </w:r>
      <w:r>
        <w:lastRenderedPageBreak/>
        <w:t>c) C. proc. civ. (corespondent al art. 112 pct. 3 din vechiul C. proc. civ.) -</w:t>
      </w:r>
      <w:r>
        <w:rPr>
          <w:rStyle w:val="Fontdeparagrafimplicit1"/>
          <w:i/>
        </w:rPr>
        <w:t xml:space="preserve"> Decizia nr. 2749 din data de 21 octombrie 2016 pronunțată în recurs de Secția de contencios administrativ și fiscal a Înaltei Curţi de Casaţie, </w:t>
      </w:r>
      <w:hyperlink r:id="rId6" w:history="1">
        <w:r w:rsidR="000F20D1">
          <w:rPr>
            <w:rStyle w:val="Hyperlink"/>
            <w:i/>
          </w:rPr>
          <w:t>www.csj.ro</w:t>
        </w:r>
      </w:hyperlink>
      <w:r>
        <w:rPr>
          <w:rStyle w:val="Fontdeparagrafimplicit1"/>
          <w:i/>
        </w:rPr>
        <w:t>.</w:t>
      </w:r>
    </w:p>
    <w:p w14:paraId="1FC77994" w14:textId="2B56F7B7" w:rsidR="000F20D1" w:rsidRDefault="00680E3E">
      <w:pPr>
        <w:ind w:firstLine="708"/>
        <w:jc w:val="both"/>
      </w:pPr>
      <w:r>
        <w:t xml:space="preserve">În  cauză, rămânerea fără obiect a litigiului sau faptul că litigiu devine lipsit de obiect (pe parcursul lui) derivă din aceea că, anterior soluţionării excepţiei de nelegalitate a actului administrativ „Official Report dated on 23 July 2008” redactat în limba engleză (Raport oficial din 23 iulie 2008 sau Proces-verbal de constatare din 23 iulie 2009), acest act a fost anulat în mod definitiv de instanţa de contencios administrativ în cadrul dosarului nr. </w:t>
      </w:r>
      <w:r w:rsidR="0077237E">
        <w:t>...</w:t>
      </w:r>
      <w:r>
        <w:t xml:space="preserve">/2009 al Curţii de Apel </w:t>
      </w:r>
      <w:r w:rsidR="0077237E">
        <w:t>X</w:t>
      </w:r>
      <w:r>
        <w:t xml:space="preserve">, Secţia </w:t>
      </w:r>
      <w:r w:rsidR="0077237E">
        <w:t>...</w:t>
      </w:r>
      <w:r>
        <w:t xml:space="preserve"> Contencios administrativ şi fiscal. </w:t>
      </w:r>
    </w:p>
    <w:p w14:paraId="428FDBA3" w14:textId="396DE0CE" w:rsidR="000F20D1" w:rsidRDefault="00680E3E">
      <w:pPr>
        <w:ind w:firstLine="708"/>
        <w:jc w:val="both"/>
        <w:rPr>
          <w:rStyle w:val="Fontdeparagrafimplicit1"/>
          <w:i/>
        </w:rPr>
      </w:pPr>
      <w:r>
        <w:t xml:space="preserve">Rezultă din extrasul ECRIS (f. 6 dosar) că prin decizia nr. </w:t>
      </w:r>
      <w:r w:rsidR="0077237E">
        <w:t>...</w:t>
      </w:r>
      <w:r>
        <w:t xml:space="preserve">.2023 (instanţa de faţă nu are informaţii din sistemul informatizat Ecris privind motivarea acestei decizii) pronunţată în dosarul nr. </w:t>
      </w:r>
      <w:r w:rsidR="0077237E">
        <w:t>...</w:t>
      </w:r>
      <w:r>
        <w:t>/2009, Înalta Curte de Casaţie a dispus următoarele: „</w:t>
      </w:r>
      <w:r>
        <w:rPr>
          <w:rStyle w:val="Fontdeparagrafimplicit1"/>
          <w:i/>
        </w:rPr>
        <w:t xml:space="preserve">Admite recursul declarat de recurenta-reclamantă AK 2 SA împotriva sentinţei nr. </w:t>
      </w:r>
      <w:r w:rsidR="0077237E">
        <w:rPr>
          <w:rStyle w:val="Fontdeparagrafimplicit1"/>
          <w:i/>
        </w:rPr>
        <w:t>...</w:t>
      </w:r>
      <w:r>
        <w:rPr>
          <w:rStyle w:val="Fontdeparagrafimplicit1"/>
          <w:i/>
        </w:rPr>
        <w:t xml:space="preserve"> din </w:t>
      </w:r>
      <w:r w:rsidR="0077237E">
        <w:rPr>
          <w:rStyle w:val="Fontdeparagrafimplicit1"/>
          <w:i/>
        </w:rPr>
        <w:t>...</w:t>
      </w:r>
      <w:r>
        <w:rPr>
          <w:rStyle w:val="Fontdeparagrafimplicit1"/>
          <w:i/>
        </w:rPr>
        <w:t xml:space="preserve"> 2014 pronunţate de Curtea de Apel </w:t>
      </w:r>
      <w:r w:rsidR="0077237E">
        <w:rPr>
          <w:rStyle w:val="Fontdeparagrafimplicit1"/>
          <w:i/>
        </w:rPr>
        <w:t>X</w:t>
      </w:r>
      <w:r>
        <w:rPr>
          <w:rStyle w:val="Fontdeparagrafimplicit1"/>
          <w:i/>
        </w:rPr>
        <w:t xml:space="preserve"> – Secţia </w:t>
      </w:r>
      <w:r w:rsidR="0077237E">
        <w:rPr>
          <w:rStyle w:val="Fontdeparagrafimplicit1"/>
          <w:i/>
        </w:rPr>
        <w:t>...</w:t>
      </w:r>
      <w:r>
        <w:rPr>
          <w:rStyle w:val="Fontdeparagrafimplicit1"/>
          <w:i/>
        </w:rPr>
        <w:t xml:space="preserve"> contencios administrativ şi fiscal. Casează sentinţa recurată şi, rejudecând: Admite acţiunea formulată de reclamanta AK 2 SA, în contradictoriu cu pârâtul Ministerul Investiţiilor şi Proiectelor Europene. </w:t>
      </w:r>
      <w:r>
        <w:rPr>
          <w:rStyle w:val="Fontdeparagrafimplicit1"/>
          <w:b/>
          <w:i/>
        </w:rPr>
        <w:t xml:space="preserve">Anulează </w:t>
      </w:r>
      <w:r>
        <w:rPr>
          <w:rStyle w:val="Fontdeparagrafimplicit1"/>
          <w:i/>
        </w:rPr>
        <w:t xml:space="preserve">decizia nr. </w:t>
      </w:r>
      <w:r w:rsidR="009E6235">
        <w:rPr>
          <w:rStyle w:val="Fontdeparagrafimplicit1"/>
          <w:i/>
        </w:rPr>
        <w:t>...</w:t>
      </w:r>
      <w:r>
        <w:rPr>
          <w:rStyle w:val="Fontdeparagrafimplicit1"/>
          <w:i/>
        </w:rPr>
        <w:t xml:space="preserve">/18.08.2008 emisă de Oficiul de Plăţi şi Contractare PHARE din cadrul Ministerului Finanţelor Publice </w:t>
      </w:r>
      <w:r>
        <w:rPr>
          <w:rStyle w:val="Fontdeparagrafimplicit1"/>
          <w:b/>
          <w:i/>
        </w:rPr>
        <w:t xml:space="preserve">şi procesul-verbal din 23 iulie 2008 emis de Oficiul de Plăţi şi Contractare PHARE din cadrul Ministerului Finanţelor Publice, înregistrat la această instituţie sub nr. </w:t>
      </w:r>
      <w:r w:rsidR="0077237E">
        <w:rPr>
          <w:rStyle w:val="Fontdeparagrafimplicit1"/>
          <w:b/>
          <w:i/>
        </w:rPr>
        <w:t>...</w:t>
      </w:r>
      <w:r>
        <w:rPr>
          <w:rStyle w:val="Fontdeparagrafimplicit1"/>
          <w:b/>
          <w:i/>
        </w:rPr>
        <w:t xml:space="preserve"> din 25.07.2008</w:t>
      </w:r>
      <w:r>
        <w:rPr>
          <w:rStyle w:val="Fontdeparagrafimplicit1"/>
          <w:i/>
        </w:rPr>
        <w:t xml:space="preserve">. Exonerează recurenta-reclamantă AK 2 SA de plata sumei de 130.386,97 euro. Irevocabilă. Pronunţată astăzi, </w:t>
      </w:r>
      <w:r w:rsidR="0077237E">
        <w:rPr>
          <w:rStyle w:val="Fontdeparagrafimplicit1"/>
          <w:i/>
        </w:rPr>
        <w:t>...</w:t>
      </w:r>
      <w:r>
        <w:rPr>
          <w:rStyle w:val="Fontdeparagrafimplicit1"/>
          <w:i/>
        </w:rPr>
        <w:t xml:space="preserve"> 2023, prin punerea soluţiei la dispoziţia părţilor prin mijlocirea grefei instanţei”.</w:t>
      </w:r>
    </w:p>
    <w:p w14:paraId="23E9D0E3" w14:textId="77777777" w:rsidR="000F20D1" w:rsidRDefault="00680E3E">
      <w:pPr>
        <w:ind w:firstLine="708"/>
        <w:jc w:val="both"/>
      </w:pPr>
      <w:r>
        <w:t xml:space="preserve">Potrivit art. 4 alin. 1 teza I din Legea nr. 554/2004 (forma în vigoare la data pornirii litigiului în faţa judecătoriei 6.2.2009) „Legalitatea unui act administrativ unilateral cu caracter individual, indiferent de data emiterii acestuia, poate fi cercetată oricând în cadrul unui proces, pe cale de excepţie, din oficiu sau la cererea părţii interesate”. </w:t>
      </w:r>
    </w:p>
    <w:p w14:paraId="5BFF51AE" w14:textId="77777777" w:rsidR="000F20D1" w:rsidRDefault="00680E3E">
      <w:pPr>
        <w:ind w:firstLine="708"/>
        <w:jc w:val="both"/>
      </w:pPr>
      <w:r>
        <w:t>Potrivit art. 4 alin. (4) din acelaşi act normativ „În cazul în care instanţa de contencios administrativ a constatat nelegalitatea actului, instanţa în faţa căreia s-a ridicat excepţia va soluţiona cauza, fără a ţine seama de actul a cărui nelegalitate a fost constatată”.</w:t>
      </w:r>
    </w:p>
    <w:p w14:paraId="6CED6968" w14:textId="73033D3D" w:rsidR="000F20D1" w:rsidRDefault="00680E3E">
      <w:pPr>
        <w:ind w:firstLine="708"/>
        <w:jc w:val="both"/>
      </w:pPr>
      <w:r>
        <w:t>Curtea observă că, urmare anulării actului administrativ</w:t>
      </w:r>
      <w:r>
        <w:rPr>
          <w:rStyle w:val="Fontdeparagrafimplicit1"/>
          <w:b/>
          <w:i/>
        </w:rPr>
        <w:t xml:space="preserve"> </w:t>
      </w:r>
      <w:r>
        <w:rPr>
          <w:rStyle w:val="Fontdeparagrafimplicit1"/>
          <w:i/>
        </w:rPr>
        <w:t xml:space="preserve">procesul-verbal din 23 iulie 2008 emis de Oficiul de Plăţi şi Contractare PHARE din cadrul Ministerului Finanţelor Publice, înregistrat la această instituţie sub nr. </w:t>
      </w:r>
      <w:r w:rsidR="0077237E">
        <w:rPr>
          <w:rStyle w:val="Fontdeparagrafimplicit1"/>
          <w:i/>
        </w:rPr>
        <w:t>...</w:t>
      </w:r>
      <w:r>
        <w:rPr>
          <w:rStyle w:val="Fontdeparagrafimplicit1"/>
          <w:i/>
        </w:rPr>
        <w:t xml:space="preserve"> din 25.07.2008,</w:t>
      </w:r>
      <w:r>
        <w:t xml:space="preserve"> care face şi obiectul excepţiei de nelegalitate în litigiul de faţă, actul a fost înlăturat din ordinea juridică, acesta nu mai produce efecte juridice, iar nulitatea produce efecte în mod retroactiv, de la momentul emiterii actului respectiv constatându-se că acesta a fost emis cu încălcarea dispoziţiilor legale. </w:t>
      </w:r>
    </w:p>
    <w:p w14:paraId="6AF1BBE1" w14:textId="77777777" w:rsidR="000F20D1" w:rsidRDefault="00680E3E">
      <w:pPr>
        <w:ind w:firstLine="708"/>
        <w:jc w:val="both"/>
      </w:pPr>
      <w:r>
        <w:t xml:space="preserve">Spre deosebire de nulitate, prin efectul admiterii unei excepţii de nelegalitate, actul nu este anulat, ci doar se constată nelegalitatea acestuia, cu efectul prevăzut la art. 4 alin. 4 din Legea nr. 554/2004, anume că instanţa investită cu litigiul principal va soluţiona cauza fără a ţine seama de actul a cărui nelegalitate a fost constatată. Astfel, deşi nu este anulat, actul cu privire la care s-a admis excepţia de nelegalitate, este înlăturat (nu se ţine seama de el) din cauza principală. </w:t>
      </w:r>
    </w:p>
    <w:p w14:paraId="56C1A5BE" w14:textId="6E6E0D69" w:rsidR="000F20D1" w:rsidRDefault="00680E3E">
      <w:pPr>
        <w:ind w:firstLine="708"/>
        <w:jc w:val="both"/>
      </w:pPr>
      <w:r>
        <w:t xml:space="preserve">Or, atâta vreme cât reclamanta a obţinut deja în mod irevocabil anularea actului a cărui excepţie de nelegalitate a invocat-o, rezultă că actul a fost înlăturat din ordinea juridică în mod retroactiv prin efectul anulării. Prin urmare, litigiul de faţă a rămas fără obiect, prin obiect înţelegându-se însuşi actul administrativ atacat cu excepţia de nelegalitate. Aşadar, lipsa de obiect a excepţiei de nelegalitate, rezultă din „lipsa” în prezent a </w:t>
      </w:r>
      <w:r>
        <w:rPr>
          <w:rStyle w:val="Fontdeparagrafimplicit1"/>
          <w:i/>
        </w:rPr>
        <w:t xml:space="preserve">procesului-verbal din 23 iulie 2008 emis de Oficiul de Plăţi şi Contractare PHARE din cadrul Ministerului Finanţelor Publice, înregistrat la această instituţie sub nr. </w:t>
      </w:r>
      <w:r w:rsidR="0077237E">
        <w:rPr>
          <w:rStyle w:val="Fontdeparagrafimplicit1"/>
          <w:i/>
        </w:rPr>
        <w:t>...</w:t>
      </w:r>
      <w:r>
        <w:rPr>
          <w:rStyle w:val="Fontdeparagrafimplicit1"/>
          <w:i/>
        </w:rPr>
        <w:t xml:space="preserve"> din 25.07.2008, </w:t>
      </w:r>
      <w:r>
        <w:t>rezultată prin anularea acestui act în mod retroactiv într-un alt litigiu, aşa cum s-a  arătat.</w:t>
      </w:r>
    </w:p>
    <w:p w14:paraId="5E003F5E" w14:textId="77777777" w:rsidR="000F20D1" w:rsidRDefault="00680E3E">
      <w:pPr>
        <w:ind w:firstLine="708"/>
        <w:jc w:val="both"/>
      </w:pPr>
      <w:r>
        <w:t xml:space="preserve">În concluzie, Curtea va admite excepţia rămânerii fără obiect şi va respinge excepţia de nelegalitate ca rămasă fără obiect. </w:t>
      </w:r>
    </w:p>
    <w:p w14:paraId="4A8BCEB7" w14:textId="77777777" w:rsidR="000F20D1" w:rsidRDefault="000F20D1">
      <w:pPr>
        <w:jc w:val="center"/>
        <w:rPr>
          <w:rStyle w:val="Fontdeparagrafimplicit1"/>
          <w:b/>
        </w:rPr>
      </w:pPr>
    </w:p>
    <w:p w14:paraId="70862CF3" w14:textId="77777777" w:rsidR="000F20D1" w:rsidRDefault="00680E3E">
      <w:pPr>
        <w:jc w:val="center"/>
        <w:rPr>
          <w:rStyle w:val="Fontdeparagrafimplicit1"/>
          <w:b/>
        </w:rPr>
      </w:pPr>
      <w:r>
        <w:rPr>
          <w:rStyle w:val="Fontdeparagrafimplicit1"/>
          <w:b/>
        </w:rPr>
        <w:t>PENTRU ACESTE MOTIVE,</w:t>
      </w:r>
      <w:r>
        <w:rPr>
          <w:rStyle w:val="Fontdeparagrafimplicit1"/>
          <w:b/>
        </w:rPr>
        <w:br/>
        <w:t>ÎN NUMELE LEGII</w:t>
      </w:r>
    </w:p>
    <w:p w14:paraId="66776AC0" w14:textId="77777777" w:rsidR="000F20D1" w:rsidRDefault="00680E3E">
      <w:pPr>
        <w:jc w:val="center"/>
        <w:rPr>
          <w:rStyle w:val="Fontdeparagrafimplicit1"/>
          <w:b/>
        </w:rPr>
      </w:pPr>
      <w:r>
        <w:rPr>
          <w:rStyle w:val="Fontdeparagrafimplicit1"/>
          <w:b/>
        </w:rPr>
        <w:t>HOTĂRĂŞTE:</w:t>
      </w:r>
    </w:p>
    <w:p w14:paraId="0E4726FD" w14:textId="77777777" w:rsidR="000F20D1" w:rsidRDefault="000F20D1">
      <w:pPr>
        <w:jc w:val="both"/>
        <w:rPr>
          <w:rStyle w:val="Fontdeparagrafimplicit1"/>
        </w:rPr>
      </w:pPr>
    </w:p>
    <w:p w14:paraId="5AAF6637" w14:textId="77777777" w:rsidR="000F20D1" w:rsidRDefault="00680E3E">
      <w:pPr>
        <w:ind w:firstLine="709"/>
        <w:jc w:val="both"/>
      </w:pPr>
      <w:r>
        <w:t>Admite excepţia rămânerii fără obiect.</w:t>
      </w:r>
    </w:p>
    <w:p w14:paraId="15F12F90" w14:textId="3A412F65" w:rsidR="000F20D1" w:rsidRDefault="00680E3E">
      <w:pPr>
        <w:ind w:firstLine="709"/>
        <w:jc w:val="both"/>
      </w:pPr>
      <w:r>
        <w:t xml:space="preserve">Respinge excepţia de nelegalitate invocată în cauza privind pe reclamantele </w:t>
      </w:r>
      <w:r>
        <w:rPr>
          <w:rStyle w:val="Fontdeparagrafimplicit1"/>
          <w:b/>
        </w:rPr>
        <w:t xml:space="preserve">S.C. </w:t>
      </w:r>
      <w:r w:rsidR="0077237E">
        <w:rPr>
          <w:rStyle w:val="Fontdeparagrafimplicit1"/>
          <w:b/>
        </w:rPr>
        <w:t>AK</w:t>
      </w:r>
      <w:r>
        <w:rPr>
          <w:rStyle w:val="Fontdeparagrafimplicit1"/>
          <w:b/>
        </w:rPr>
        <w:t xml:space="preserve"> S.A. </w:t>
      </w:r>
      <w:r>
        <w:t xml:space="preserve">cu sediul procesul ales în Str. </w:t>
      </w:r>
      <w:r w:rsidR="0077237E">
        <w:t>...</w:t>
      </w:r>
      <w:r>
        <w:t xml:space="preserve"> nr. </w:t>
      </w:r>
      <w:r w:rsidR="0077237E">
        <w:t>...</w:t>
      </w:r>
      <w:r>
        <w:t>, subsol,</w:t>
      </w:r>
      <w:r>
        <w:rPr>
          <w:rStyle w:val="Fontdeparagrafimplicit1"/>
          <w:b/>
        </w:rPr>
        <w:t xml:space="preserve"> </w:t>
      </w:r>
      <w:r w:rsidR="0077237E">
        <w:t>Z</w:t>
      </w:r>
      <w:r>
        <w:t xml:space="preserve">, </w:t>
      </w:r>
      <w:r w:rsidR="0077237E">
        <w:t>X</w:t>
      </w:r>
      <w:r>
        <w:t xml:space="preserve"> şi </w:t>
      </w:r>
      <w:r>
        <w:rPr>
          <w:rStyle w:val="Fontdeparagrafimplicit1"/>
          <w:b/>
        </w:rPr>
        <w:t xml:space="preserve">AK 2 SA </w:t>
      </w:r>
      <w:r w:rsidR="0077237E">
        <w:rPr>
          <w:rStyle w:val="Fontdeparagrafimplicit1"/>
          <w:b/>
        </w:rPr>
        <w:t>A</w:t>
      </w:r>
      <w:r>
        <w:rPr>
          <w:rStyle w:val="Fontdeparagrafimplicit1"/>
          <w:b/>
        </w:rPr>
        <w:t xml:space="preserve"> SUCURSALA </w:t>
      </w:r>
      <w:r w:rsidR="0077237E">
        <w:rPr>
          <w:rStyle w:val="Fontdeparagrafimplicit1"/>
          <w:b/>
        </w:rPr>
        <w:t>X</w:t>
      </w:r>
      <w:r>
        <w:rPr>
          <w:rStyle w:val="Fontdeparagrafimplicit1"/>
          <w:b/>
        </w:rPr>
        <w:t xml:space="preserve"> ROMÂNIA (FOSTĂ </w:t>
      </w:r>
      <w:r w:rsidR="0077237E">
        <w:rPr>
          <w:rStyle w:val="Fontdeparagrafimplicit1"/>
          <w:b/>
        </w:rPr>
        <w:t>AK</w:t>
      </w:r>
      <w:r>
        <w:rPr>
          <w:rStyle w:val="Fontdeparagrafimplicit1"/>
          <w:b/>
        </w:rPr>
        <w:t xml:space="preserve">  SA  </w:t>
      </w:r>
      <w:r w:rsidR="0077237E">
        <w:rPr>
          <w:rStyle w:val="Fontdeparagrafimplicit1"/>
          <w:b/>
        </w:rPr>
        <w:t>A</w:t>
      </w:r>
      <w:r>
        <w:rPr>
          <w:rStyle w:val="Fontdeparagrafimplicit1"/>
          <w:b/>
        </w:rPr>
        <w:t xml:space="preserve">  SUCURSALA  </w:t>
      </w:r>
      <w:r w:rsidR="0077237E">
        <w:rPr>
          <w:rStyle w:val="Fontdeparagrafimplicit1"/>
          <w:b/>
        </w:rPr>
        <w:t>X</w:t>
      </w:r>
      <w:r>
        <w:rPr>
          <w:rStyle w:val="Fontdeparagrafimplicit1"/>
          <w:b/>
        </w:rPr>
        <w:t xml:space="preserve"> ROMÂNIA) </w:t>
      </w:r>
      <w:r>
        <w:t xml:space="preserve">cu sediul în </w:t>
      </w:r>
      <w:bookmarkStart w:id="4" w:name="_Hlk163815023"/>
      <w:r>
        <w:t xml:space="preserve">Str. </w:t>
      </w:r>
      <w:r w:rsidR="0077237E">
        <w:t>...</w:t>
      </w:r>
      <w:r>
        <w:t xml:space="preserve"> nr. </w:t>
      </w:r>
      <w:r w:rsidR="0077237E">
        <w:t>...</w:t>
      </w:r>
      <w:r>
        <w:t xml:space="preserve">, </w:t>
      </w:r>
      <w:r w:rsidR="0077237E">
        <w:t>..</w:t>
      </w:r>
      <w:r>
        <w:t>,</w:t>
      </w:r>
      <w:r>
        <w:rPr>
          <w:rStyle w:val="Fontdeparagrafimplicit1"/>
          <w:b/>
        </w:rPr>
        <w:t xml:space="preserve"> </w:t>
      </w:r>
      <w:r w:rsidR="0077237E">
        <w:t>Z</w:t>
      </w:r>
      <w:r>
        <w:t xml:space="preserve">, </w:t>
      </w:r>
      <w:r w:rsidR="0077237E">
        <w:t>X</w:t>
      </w:r>
      <w:bookmarkEnd w:id="4"/>
      <w:r>
        <w:t xml:space="preserve">, în contradictoriu cu pârâţii </w:t>
      </w:r>
      <w:r>
        <w:rPr>
          <w:rStyle w:val="Fontdeparagrafimplicit1"/>
          <w:b/>
        </w:rPr>
        <w:t xml:space="preserve">ADMINISTRAŢIA </w:t>
      </w:r>
      <w:r w:rsidR="0077237E">
        <w:rPr>
          <w:rStyle w:val="Fontdeparagrafimplicit1"/>
          <w:b/>
        </w:rPr>
        <w:t>Z</w:t>
      </w:r>
      <w:r>
        <w:rPr>
          <w:rStyle w:val="Fontdeparagrafimplicit1"/>
          <w:b/>
        </w:rPr>
        <w:t xml:space="preserve"> A FINANŢELOR PUBLICE PRIN DGRFP </w:t>
      </w:r>
      <w:r w:rsidR="0077237E">
        <w:rPr>
          <w:rStyle w:val="Fontdeparagrafimplicit1"/>
          <w:b/>
        </w:rPr>
        <w:t>X</w:t>
      </w:r>
      <w:r>
        <w:rPr>
          <w:rStyle w:val="Fontdeparagrafimplicit1"/>
          <w:b/>
        </w:rPr>
        <w:t xml:space="preserve"> </w:t>
      </w:r>
      <w:r>
        <w:t>cu sediul în</w:t>
      </w:r>
      <w:r>
        <w:rPr>
          <w:rStyle w:val="Fontdeparagrafimplicit1"/>
          <w:b/>
        </w:rPr>
        <w:t xml:space="preserve"> </w:t>
      </w:r>
      <w:r>
        <w:t xml:space="preserve">Str. </w:t>
      </w:r>
      <w:r w:rsidR="0077237E">
        <w:t>..</w:t>
      </w:r>
      <w:r>
        <w:t xml:space="preserve"> nr. </w:t>
      </w:r>
      <w:r w:rsidR="0077237E">
        <w:t>..</w:t>
      </w:r>
      <w:r>
        <w:t>,</w:t>
      </w:r>
      <w:r>
        <w:rPr>
          <w:rStyle w:val="Fontdeparagrafimplicit1"/>
          <w:b/>
        </w:rPr>
        <w:t xml:space="preserve"> </w:t>
      </w:r>
      <w:r w:rsidR="0077237E">
        <w:t>...</w:t>
      </w:r>
      <w:r>
        <w:t xml:space="preserve">, </w:t>
      </w:r>
      <w:r w:rsidR="0077237E">
        <w:t>X</w:t>
      </w:r>
      <w:r>
        <w:t xml:space="preserve"> şi </w:t>
      </w:r>
      <w:r>
        <w:rPr>
          <w:rStyle w:val="Fontdeparagrafimplicit1"/>
          <w:b/>
        </w:rPr>
        <w:t xml:space="preserve">MINISTERUL FINANŢELOR PUBLICE </w:t>
      </w:r>
      <w:r>
        <w:t xml:space="preserve">cu sediul în str. </w:t>
      </w:r>
      <w:r w:rsidR="0077237E">
        <w:t>...</w:t>
      </w:r>
      <w:r>
        <w:t xml:space="preserve"> nr. </w:t>
      </w:r>
      <w:r w:rsidR="0077237E">
        <w:t>..</w:t>
      </w:r>
      <w:r>
        <w:t>,</w:t>
      </w:r>
      <w:r>
        <w:rPr>
          <w:rStyle w:val="Fontdeparagrafimplicit1"/>
          <w:b/>
        </w:rPr>
        <w:t xml:space="preserve"> </w:t>
      </w:r>
      <w:r w:rsidR="0077237E">
        <w:t>...</w:t>
      </w:r>
      <w:r>
        <w:t xml:space="preserve">, </w:t>
      </w:r>
      <w:r w:rsidR="0077237E">
        <w:t>X</w:t>
      </w:r>
      <w:r>
        <w:t>, ca rămasă fără obiect.</w:t>
      </w:r>
    </w:p>
    <w:p w14:paraId="60BA6A26" w14:textId="77777777" w:rsidR="000F20D1" w:rsidRDefault="00680E3E">
      <w:pPr>
        <w:ind w:firstLine="709"/>
        <w:jc w:val="both"/>
      </w:pPr>
      <w:r>
        <w:t>Cu recurs în termen de 5 zile de la comunicare.</w:t>
      </w:r>
    </w:p>
    <w:p w14:paraId="6A870E8A" w14:textId="05023B6F" w:rsidR="000F20D1" w:rsidRDefault="00680E3E">
      <w:pPr>
        <w:ind w:firstLine="709"/>
        <w:jc w:val="both"/>
        <w:rPr>
          <w:rStyle w:val="Fontdeparagrafimplicit1"/>
          <w:b/>
        </w:rPr>
      </w:pPr>
      <w:r>
        <w:t xml:space="preserve">Pronunţată în şedinţă publică azi, </w:t>
      </w:r>
      <w:r w:rsidR="0077237E">
        <w:rPr>
          <w:rStyle w:val="Fontdeparagrafimplicit1"/>
          <w:b/>
        </w:rPr>
        <w:t>...</w:t>
      </w:r>
      <w:r>
        <w:rPr>
          <w:rStyle w:val="Fontdeparagrafimplicit1"/>
          <w:b/>
        </w:rPr>
        <w:t xml:space="preserve">2024. </w:t>
      </w:r>
    </w:p>
    <w:p w14:paraId="5A45C30F" w14:textId="77777777" w:rsidR="000F20D1" w:rsidRDefault="000F20D1">
      <w:pPr>
        <w:ind w:firstLine="709"/>
        <w:jc w:val="both"/>
        <w:rPr>
          <w:rStyle w:val="Fontdeparagrafimplicit1"/>
        </w:rPr>
      </w:pPr>
    </w:p>
    <w:p w14:paraId="41590B1D" w14:textId="77777777" w:rsidR="000F20D1" w:rsidRDefault="00680E3E">
      <w:pPr>
        <w:rPr>
          <w:rStyle w:val="Fontdeparagrafimplicit1"/>
          <w:b/>
        </w:rPr>
      </w:pPr>
      <w:r>
        <w:t xml:space="preserve">                  </w:t>
      </w:r>
      <w:r>
        <w:rPr>
          <w:rStyle w:val="Fontdeparagrafimplicit1"/>
          <w:b/>
        </w:rPr>
        <w:t xml:space="preserve">Preşedinte                                                                             Grefier                                                                                                                        </w:t>
      </w:r>
    </w:p>
    <w:p w14:paraId="100C2A42" w14:textId="2CB3F70D" w:rsidR="000F20D1" w:rsidRDefault="00680E3E">
      <w:r>
        <w:t xml:space="preserve">       </w:t>
      </w:r>
      <w:r w:rsidR="0077237E">
        <w:t xml:space="preserve">                    </w:t>
      </w:r>
      <w:r>
        <w:t xml:space="preserve">   </w:t>
      </w:r>
      <w:r w:rsidR="0077237E">
        <w:t>A0017</w:t>
      </w:r>
      <w:r>
        <w:t xml:space="preserve">                              </w:t>
      </w:r>
      <w:r w:rsidR="0077237E">
        <w:t xml:space="preserve">                      </w:t>
      </w:r>
      <w:r>
        <w:t xml:space="preserve">                     </w:t>
      </w:r>
      <w:r w:rsidR="0077237E">
        <w:t>...</w:t>
      </w:r>
    </w:p>
    <w:p w14:paraId="3DBDEDD5" w14:textId="77777777" w:rsidR="000F20D1" w:rsidRDefault="000F20D1"/>
    <w:p w14:paraId="3A59E5A3" w14:textId="77777777" w:rsidR="000F20D1" w:rsidRDefault="000F20D1"/>
    <w:p w14:paraId="25CB6F37" w14:textId="77777777" w:rsidR="000F20D1" w:rsidRDefault="000F20D1"/>
    <w:p w14:paraId="08765206" w14:textId="77777777" w:rsidR="000F20D1" w:rsidRDefault="000F20D1"/>
    <w:p w14:paraId="3E3556C5" w14:textId="77777777" w:rsidR="000F20D1" w:rsidRDefault="000F20D1"/>
    <w:p w14:paraId="1F4E8BF3" w14:textId="5040DF28" w:rsidR="000F20D1" w:rsidRDefault="00680E3E">
      <w:pPr>
        <w:jc w:val="both"/>
        <w:rPr>
          <w:rStyle w:val="Fontdeparagrafimplicit1"/>
          <w:i/>
        </w:rPr>
      </w:pPr>
      <w:r>
        <w:rPr>
          <w:rStyle w:val="Fontdeparagrafimplicit1"/>
          <w:i/>
        </w:rPr>
        <w:t>Red./Thred./</w:t>
      </w:r>
      <w:r w:rsidR="0077237E">
        <w:rPr>
          <w:rStyle w:val="Fontdeparagrafimplicit1"/>
          <w:i/>
        </w:rPr>
        <w:t>A0017</w:t>
      </w:r>
      <w:r>
        <w:rPr>
          <w:rStyle w:val="Fontdeparagrafimplicit1"/>
          <w:i/>
        </w:rPr>
        <w:t>./6 ex.</w:t>
      </w:r>
    </w:p>
    <w:p w14:paraId="235BAE97" w14:textId="77777777" w:rsidR="000F20D1" w:rsidRDefault="00680E3E">
      <w:pPr>
        <w:jc w:val="both"/>
        <w:rPr>
          <w:rStyle w:val="Fontdeparagrafimplicit1"/>
          <w:i/>
          <w:sz w:val="20"/>
        </w:rPr>
      </w:pPr>
      <w:r>
        <w:rPr>
          <w:rStyle w:val="Fontdeparagrafimplicit1"/>
          <w:i/>
        </w:rPr>
        <w:t>Com. 4 ex./………………..</w:t>
      </w:r>
    </w:p>
    <w:p w14:paraId="0F458B02" w14:textId="77777777" w:rsidR="000F20D1" w:rsidRDefault="000F20D1">
      <w:pPr>
        <w:rPr>
          <w:rStyle w:val="Fontdeparagrafimplicit1"/>
        </w:rPr>
      </w:pPr>
    </w:p>
    <w:p w14:paraId="79F28F62" w14:textId="77777777" w:rsidR="000F20D1" w:rsidRDefault="000F20D1">
      <w:pPr>
        <w:rPr>
          <w:rStyle w:val="Fontdeparagrafimplicit1"/>
        </w:rPr>
      </w:pPr>
    </w:p>
    <w:p w14:paraId="6973A3A0" w14:textId="77777777" w:rsidR="000F20D1" w:rsidRDefault="000F20D1">
      <w:pPr>
        <w:rPr>
          <w:rStyle w:val="Fontdeparagrafimplicit1"/>
        </w:rPr>
      </w:pPr>
    </w:p>
    <w:p w14:paraId="1459293D" w14:textId="77777777" w:rsidR="000F20D1" w:rsidRDefault="000F20D1">
      <w:pPr>
        <w:rPr>
          <w:rStyle w:val="Fontdeparagrafimplicit1"/>
        </w:rPr>
      </w:pPr>
    </w:p>
    <w:p w14:paraId="3B8FC328" w14:textId="77777777" w:rsidR="000F20D1" w:rsidRDefault="000F20D1">
      <w:pPr>
        <w:rPr>
          <w:rStyle w:val="Fontdeparagrafimplicit1"/>
        </w:rPr>
      </w:pPr>
    </w:p>
    <w:p w14:paraId="153E9FA3" w14:textId="77777777" w:rsidR="000F20D1" w:rsidRDefault="000F20D1">
      <w:pPr>
        <w:rPr>
          <w:rStyle w:val="Fontdeparagrafimplicit1"/>
        </w:rPr>
      </w:pPr>
    </w:p>
    <w:sectPr w:rsidR="000F20D1">
      <w:footerReference w:type="default" r:id="rId7"/>
      <w:pgSz w:w="11906" w:h="16838"/>
      <w:pgMar w:top="993"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048E4" w14:textId="77777777" w:rsidR="004A453F" w:rsidRDefault="004A453F">
      <w:r>
        <w:separator/>
      </w:r>
    </w:p>
  </w:endnote>
  <w:endnote w:type="continuationSeparator" w:id="0">
    <w:p w14:paraId="1FA14C85" w14:textId="77777777" w:rsidR="004A453F" w:rsidRDefault="004A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B2B6" w14:textId="77777777" w:rsidR="000F20D1" w:rsidRDefault="00680E3E">
    <w:pPr>
      <w:pStyle w:val="Subsol1"/>
      <w:jc w:val="center"/>
    </w:pPr>
    <w:r>
      <w:fldChar w:fldCharType="begin"/>
    </w:r>
    <w:r>
      <w:instrText>PAGE   \* MERGEFORMAT</w:instrText>
    </w:r>
    <w:r>
      <w:fldChar w:fldCharType="separate"/>
    </w:r>
    <w:r>
      <w:t>#</w:t>
    </w:r>
    <w:r>
      <w:fldChar w:fldCharType="end"/>
    </w:r>
  </w:p>
  <w:p w14:paraId="7085EBD3" w14:textId="77777777" w:rsidR="000F20D1" w:rsidRDefault="000F20D1">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F72CE" w14:textId="77777777" w:rsidR="004A453F" w:rsidRDefault="004A453F">
      <w:r>
        <w:separator/>
      </w:r>
    </w:p>
  </w:footnote>
  <w:footnote w:type="continuationSeparator" w:id="0">
    <w:p w14:paraId="7FF33379" w14:textId="77777777" w:rsidR="004A453F" w:rsidRDefault="004A4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993928&amp;id_departament=54&amp;id_sesiune=5601225&amp;id_user=1406&amp;id_institutie=2&amp;actiune=modifica"/>
  </w:docVars>
  <w:rsids>
    <w:rsidRoot w:val="000F20D1"/>
    <w:rsid w:val="00073E9F"/>
    <w:rsid w:val="000F20D1"/>
    <w:rsid w:val="001B081E"/>
    <w:rsid w:val="00463A6E"/>
    <w:rsid w:val="004A453F"/>
    <w:rsid w:val="005F02D0"/>
    <w:rsid w:val="00680D10"/>
    <w:rsid w:val="00680E3E"/>
    <w:rsid w:val="00764FA7"/>
    <w:rsid w:val="0077237E"/>
    <w:rsid w:val="008F38CA"/>
    <w:rsid w:val="009E6235"/>
    <w:rsid w:val="00ED5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6FED3"/>
  <w15:docId w15:val="{A79D809C-C2CE-43CB-884B-4D62D98C4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13"/>
        <w:tab w:val="right" w:pos="9026"/>
      </w:tabs>
    </w:pPr>
    <w:rPr>
      <w:rFonts w:ascii="Calibri" w:hAnsi="Calibri"/>
      <w:sz w:val="22"/>
    </w:rPr>
  </w:style>
  <w:style w:type="character" w:styleId="LineNumber">
    <w:name w:val="line number"/>
    <w:basedOn w:val="DefaultParagraphFont"/>
    <w:semiHidden/>
  </w:style>
  <w:style w:type="character" w:styleId="Hyperlink">
    <w:name w:val="Hyperlink"/>
    <w:rPr>
      <w:color w:val="0563C1"/>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j.r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1893</Words>
  <Characters>10792</Characters>
  <Application>Microsoft Office Word</Application>
  <DocSecurity>0</DocSecurity>
  <Lines>89</Lines>
  <Paragraphs>25</Paragraphs>
  <ScaleCrop>false</ScaleCrop>
  <Manager/>
  <Company/>
  <LinksUpToDate>false</LinksUpToDate>
  <CharactersWithSpaces>12660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6</cp:revision>
  <dcterms:created xsi:type="dcterms:W3CDTF">2026-09-02T12:23:00Z</dcterms:created>
  <dcterms:modified xsi:type="dcterms:W3CDTF">2026-09-13T07:53:00Z</dcterms:modified>
  <cp:category/>
  <dc:identifier/>
  <cp:contentStatus/>
  <dc:language/>
  <cp:version/>
</cp:coreProperties>
</file>