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ED74FF" w:rsidP="00A1337C"/>
    <w:p w:rsidRPr="00AF7AAA" w:rsidR="002B3585" w:rsidP="00A1337C">
      <w:pPr>
        <w:rPr>
          <w:b/>
          <w:bCs/>
        </w:rPr>
      </w:pPr>
      <w:r w:rsidRPr="008060F9" w:rsidR="00ED74FF">
        <w:rPr>
          <w:b/>
          <w:bCs/>
        </w:rPr>
        <w:t>HOT. 7</w:t>
      </w:r>
    </w:p>
    <w:p w:rsidRPr="00A1337C" w:rsidR="00A1337C" w:rsidP="00A1337C">
      <w:r w:rsidRPr="00A1337C">
        <w:t xml:space="preserve">Dosar nr. </w:t>
      </w:r>
      <w:r w:rsidR="002B3585">
        <w:t>...</w:t>
      </w:r>
    </w:p>
    <w:p w:rsidRPr="00A1337C" w:rsidR="00A1337C" w:rsidP="00A1337C">
      <w:pPr>
        <w:jc w:val="center"/>
      </w:pPr>
      <w:r w:rsidRPr="00A1337C">
        <w:t>R O M Â N I A</w:t>
      </w:r>
    </w:p>
    <w:p w:rsidRPr="00A1337C" w:rsidR="00A1337C" w:rsidP="00A1337C">
      <w:pPr>
        <w:jc w:val="center"/>
      </w:pPr>
    </w:p>
    <w:p w:rsidRPr="00A1337C" w:rsidR="00A1337C" w:rsidP="00A1337C">
      <w:pPr>
        <w:jc w:val="center"/>
      </w:pPr>
      <w:r w:rsidRPr="00A1337C">
        <w:t xml:space="preserve">CURTEA DE APEL </w:t>
      </w:r>
      <w:r w:rsidR="002B3585">
        <w:t>...</w:t>
      </w:r>
    </w:p>
    <w:p w:rsidRPr="00A1337C" w:rsidR="00A1337C" w:rsidP="00A1337C">
      <w:pPr>
        <w:jc w:val="center"/>
        <w:rPr>
          <w:lang w:val="en-US"/>
        </w:rPr>
      </w:pPr>
      <w:r w:rsidRPr="00A1337C">
        <w:t xml:space="preserve">SECŢIA </w:t>
      </w:r>
      <w:r w:rsidR="002B3585">
        <w:t>...</w:t>
      </w:r>
    </w:p>
    <w:p w:rsidRPr="00A1337C" w:rsidR="00A1337C" w:rsidP="00A1337C"/>
    <w:p w:rsidRPr="00A1337C" w:rsidR="00A1337C" w:rsidP="00A1337C">
      <w:pPr>
        <w:jc w:val="center"/>
        <w:rPr>
          <w:b/>
          <w:bCs/>
        </w:rPr>
      </w:pPr>
      <w:r w:rsidRPr="00A1337C">
        <w:rPr>
          <w:b/>
          <w:bCs/>
        </w:rPr>
        <w:t xml:space="preserve">SENTINŢA Nr. </w:t>
      </w:r>
      <w:r w:rsidR="002B3585">
        <w:rPr>
          <w:b/>
          <w:bCs/>
        </w:rPr>
        <w:t>...</w:t>
      </w:r>
    </w:p>
    <w:p w:rsidRPr="00A1337C" w:rsidR="00A1337C" w:rsidP="00A1337C">
      <w:pPr>
        <w:jc w:val="center"/>
      </w:pPr>
      <w:r w:rsidRPr="00A1337C">
        <w:t>Şedinţa </w:t>
      </w:r>
      <w:bookmarkStart w:name="tip_sedinta" w:id="0"/>
      <w:r w:rsidRPr="00A1337C">
        <w:t>publică</w:t>
      </w:r>
      <w:bookmarkEnd w:id="0"/>
      <w:r w:rsidRPr="00A1337C">
        <w:t xml:space="preserve"> de la </w:t>
      </w:r>
      <w:r w:rsidR="002B3585">
        <w:t>...</w:t>
      </w:r>
      <w:r w:rsidRPr="00A1337C">
        <w:t xml:space="preserve"> </w:t>
      </w:r>
    </w:p>
    <w:p w:rsidRPr="00A1337C" w:rsidR="00A1337C" w:rsidP="00A1337C">
      <w:pPr>
        <w:jc w:val="center"/>
      </w:pPr>
      <w:r w:rsidRPr="00A1337C">
        <w:t>Completul compus din:</w:t>
      </w:r>
    </w:p>
    <w:p w:rsidRPr="00A1337C" w:rsidR="00A1337C" w:rsidP="00A1337C">
      <w:pPr>
        <w:jc w:val="center"/>
      </w:pPr>
      <w:r w:rsidRPr="00A1337C">
        <w:t xml:space="preserve">PREŞEDINTE </w:t>
      </w:r>
      <w:r w:rsidR="002B3585">
        <w:t>A0007</w:t>
      </w:r>
    </w:p>
    <w:p w:rsidRPr="00A1337C" w:rsidR="00A1337C" w:rsidP="00A1337C">
      <w:pPr>
        <w:jc w:val="center"/>
      </w:pPr>
      <w:r w:rsidRPr="00A1337C">
        <w:t xml:space="preserve">Grefier </w:t>
      </w:r>
      <w:r w:rsidR="002B3585">
        <w:t>...</w:t>
      </w:r>
    </w:p>
    <w:p w:rsidRPr="00A1337C" w:rsidR="00A1337C" w:rsidP="00A1337C">
      <w:pPr>
        <w:jc w:val="center"/>
      </w:pPr>
    </w:p>
    <w:p w:rsidRPr="00A1337C" w:rsidR="00A1337C" w:rsidP="00A1337C">
      <w:pPr>
        <w:ind w:firstLine="708"/>
        <w:jc w:val="both"/>
      </w:pPr>
      <w:r w:rsidRPr="00A1337C">
        <w:t xml:space="preserve">Pe rol se află soluţionarea cererii de chemare în judecată formulată de reclamanta </w:t>
      </w:r>
      <w:r w:rsidRPr="00164688" w:rsidR="00164688">
        <w:rPr>
          <w:b/>
          <w:bCs/>
        </w:rPr>
        <w:t>X</w:t>
      </w:r>
      <w:r w:rsidRPr="00A1337C">
        <w:t xml:space="preserve">-PROCUROR ÎN CADRUL PARCHETULUI DE PE LÂNGĂ TRIBUNALUL </w:t>
      </w:r>
      <w:r w:rsidR="00164688">
        <w:t>...</w:t>
      </w:r>
      <w:r w:rsidRPr="00A1337C">
        <w:t xml:space="preserve"> în contradictoriu cu pârâtul MINISTERUL PUBLIC-PARCHETUL DE PE LÂNGĂ ÎNALTA CURTE DE CASAŢIE ŞI JUSTIŢIE, având ca obiect litigiu privind magistraţii. </w:t>
      </w:r>
    </w:p>
    <w:p w:rsidRPr="00A1337C" w:rsidR="00A1337C" w:rsidP="00A1337C">
      <w:pPr>
        <w:ind w:firstLine="708"/>
        <w:jc w:val="both"/>
      </w:pPr>
      <w:r w:rsidRPr="00A1337C">
        <w:t xml:space="preserve">La apelul nominal făcut în şedinţa </w:t>
      </w:r>
      <w:bookmarkStart w:name="tip_sedinta_copie_1" w:id="1"/>
      <w:r w:rsidRPr="00A1337C">
        <w:t>publică</w:t>
      </w:r>
      <w:bookmarkEnd w:id="1"/>
      <w:r w:rsidRPr="00A1337C">
        <w:t>, părţile au lipsit.</w:t>
      </w:r>
    </w:p>
    <w:p w:rsidRPr="00A1337C" w:rsidR="00A1337C" w:rsidP="00A1337C">
      <w:pPr>
        <w:ind w:firstLine="708"/>
        <w:jc w:val="both"/>
      </w:pPr>
      <w:r w:rsidRPr="00A1337C">
        <w:t xml:space="preserve">Procedura de citare este </w:t>
      </w:r>
      <w:bookmarkStart w:name="tip_procedura" w:id="2"/>
      <w:r w:rsidRPr="00A1337C">
        <w:t>legal</w:t>
      </w:r>
      <w:bookmarkEnd w:id="2"/>
      <w:r w:rsidRPr="00A1337C">
        <w:t xml:space="preserve"> îndeplinită.</w:t>
      </w:r>
    </w:p>
    <w:p w:rsidRPr="00A1337C" w:rsidR="00A1337C" w:rsidP="00A1337C">
      <w:pPr>
        <w:ind w:firstLine="708"/>
        <w:jc w:val="both"/>
      </w:pPr>
      <w:r w:rsidRPr="00A1337C">
        <w:t xml:space="preserve">S-a făcut </w:t>
      </w:r>
      <w:bookmarkStart w:name="tip_doc_despre_cauza" w:id="3"/>
      <w:r w:rsidRPr="00A1337C">
        <w:t>referatul</w:t>
      </w:r>
      <w:bookmarkEnd w:id="3"/>
      <w:r w:rsidRPr="00A1337C">
        <w:t xml:space="preserve"> cauzei de către </w:t>
      </w:r>
      <w:bookmarkStart w:name="functia_celui_care_f" w:id="4"/>
      <w:r w:rsidRPr="00A1337C">
        <w:t>grefier</w:t>
      </w:r>
      <w:bookmarkEnd w:id="4"/>
      <w:r w:rsidRPr="00A1337C">
        <w:t xml:space="preserve">ul de şedinţă, </w:t>
      </w:r>
      <w:bookmarkStart w:name="combo_invedereaza" w:id="5"/>
      <w:r w:rsidRPr="00A1337C">
        <w:t>care învederează</w:t>
      </w:r>
      <w:bookmarkEnd w:id="5"/>
      <w:r w:rsidRPr="00A1337C">
        <w:t xml:space="preserve"> modalitatea de îndeplinire a procedurii de citare, precum şi faptul că în cauză s-a solicitat judecarea în lipsă, după care,</w:t>
      </w:r>
    </w:p>
    <w:p w:rsidRPr="00A1337C" w:rsidR="00A1337C" w:rsidP="00A1337C">
      <w:pPr>
        <w:jc w:val="both"/>
      </w:pPr>
      <w:r w:rsidRPr="00A1337C">
        <w:tab/>
        <w:t xml:space="preserve">Curtea, în temeiul disp. art. 131 C.Proc.Civ., stabileşte competenţa de soluţionare a cauzei ca aparţinând Curţii de Apel </w:t>
      </w:r>
      <w:r w:rsidR="00164688">
        <w:t>...</w:t>
      </w:r>
      <w:r w:rsidRPr="00A1337C">
        <w:t xml:space="preserve">- Secţia </w:t>
      </w:r>
      <w:r w:rsidR="00164688">
        <w:t>...</w:t>
      </w:r>
      <w:r w:rsidRPr="00A1337C">
        <w:t>, în raport de disp. art. 10 din L</w:t>
      </w:r>
      <w:r w:rsidRPr="00A1337C">
        <w:t>e</w:t>
      </w:r>
      <w:r w:rsidRPr="00A1337C">
        <w:t>gea nr. 554/2004.</w:t>
      </w:r>
    </w:p>
    <w:p w:rsidRPr="00A1337C" w:rsidR="00A1337C" w:rsidP="00A1337C">
      <w:pPr>
        <w:jc w:val="both"/>
      </w:pPr>
      <w:r w:rsidRPr="00A1337C">
        <w:tab/>
        <w:t>Curtea, în temeiul disp. art. 255 şi 258 C.Proc.Civ., urmează a încuviinţa proba cu înscrisurile aflate la dosarul cauzei, şi, nemaifiind cereri prealabile de formulat, rămâne în pronunţare asupra excepţiei prescripţiei invocată prin întâmpinare şi asupra fondului cauzei.</w:t>
      </w:r>
    </w:p>
    <w:p w:rsidRPr="00A1337C" w:rsidR="00A1337C" w:rsidP="00A1337C">
      <w:pPr>
        <w:jc w:val="center"/>
      </w:pPr>
    </w:p>
    <w:p w:rsidRPr="00A1337C" w:rsidR="00A1337C" w:rsidP="00A1337C">
      <w:pPr>
        <w:jc w:val="center"/>
      </w:pPr>
    </w:p>
    <w:p w:rsidRPr="00A1337C" w:rsidR="00A1337C" w:rsidP="00A1337C">
      <w:pPr>
        <w:jc w:val="center"/>
      </w:pPr>
      <w:r w:rsidRPr="00A1337C">
        <w:t>CURTEA</w:t>
      </w:r>
    </w:p>
    <w:p w:rsidRPr="00A1337C" w:rsidR="00A1337C" w:rsidP="00A1337C">
      <w:pPr>
        <w:jc w:val="center"/>
      </w:pPr>
    </w:p>
    <w:p w:rsidRPr="00A1337C" w:rsidR="00A1337C" w:rsidP="00A1337C">
      <w:pPr>
        <w:ind w:firstLine="709"/>
        <w:jc w:val="both"/>
      </w:pPr>
      <w:r w:rsidRPr="00A1337C">
        <w:t>Asupra cauzei de faţă, constată următoarele:</w:t>
      </w:r>
    </w:p>
    <w:p w:rsidRPr="00A1337C" w:rsidR="00A1337C" w:rsidP="00A1337C">
      <w:pPr>
        <w:ind w:firstLine="709"/>
        <w:jc w:val="both"/>
      </w:pPr>
      <w:r w:rsidRPr="00A1337C">
        <w:t xml:space="preserve">Prin cererea înregistrată pe rolul Curţii de Apel </w:t>
      </w:r>
      <w:r w:rsidR="00164688">
        <w:t>...</w:t>
      </w:r>
      <w:r w:rsidRPr="00A1337C">
        <w:t xml:space="preserve">- Secţia </w:t>
      </w:r>
      <w:r w:rsidR="00164688">
        <w:t>...</w:t>
      </w:r>
      <w:r w:rsidRPr="00A1337C">
        <w:t xml:space="preserve"> la data de </w:t>
      </w:r>
      <w:r w:rsidR="00164688">
        <w:t>...</w:t>
      </w:r>
      <w:r w:rsidRPr="00A1337C">
        <w:t>, sub nr.</w:t>
      </w:r>
      <w:r w:rsidR="00164688">
        <w:t>...</w:t>
      </w:r>
      <w:r w:rsidRPr="00A1337C">
        <w:t xml:space="preserve">, reclamanta </w:t>
      </w:r>
      <w:r w:rsidRPr="00164688" w:rsidR="00164688">
        <w:rPr>
          <w:b/>
          <w:bCs/>
        </w:rPr>
        <w:t>X</w:t>
      </w:r>
      <w:r w:rsidRPr="00A1337C">
        <w:t xml:space="preserve">-PROCUROR ÎN CADRUL PARCHETULUI DE PE LÂNGĂ TRIBUNALUL </w:t>
      </w:r>
      <w:r w:rsidR="00164688">
        <w:t>...</w:t>
      </w:r>
      <w:r w:rsidRPr="00A1337C">
        <w:t xml:space="preserve"> în contradictoriu cu pârâtul MINISTERUL PUBLIC-PARCHETUL DE PE LÂNGĂ ÎNALTA CURTE DE CASAŢIE ŞI JUSTIŢIE a solicitat obligarea pârâtului să emită un nou ordin de încadrare, in care indemnizația de încadrare să fie stabilită conform Legii nr.71/2015 și a OUG nr.20/2016, începând cu data de 18.11.2016 și în continuare, și după intrarea in vigoare a Legii cadru de salarizare nr.153/2017, luând în considerare coeficientii de multiplicare 19,000-23, 000 prevăzuţi în Anexa I lit. A, punctele 6-13 din OUG 27/2006</w:t>
      </w:r>
      <w:r w:rsidRPr="00A1337C">
        <w:t xml:space="preserve"> (diferenţe de drepturi salariale în raport de indemnizațiile procurorilor DNA și DIICOT)</w:t>
      </w:r>
    </w:p>
    <w:p w:rsidRPr="00A1337C" w:rsidR="00A1337C" w:rsidP="00A1337C">
      <w:pPr>
        <w:ind w:firstLine="709"/>
        <w:jc w:val="both"/>
      </w:pPr>
      <w:r w:rsidRPr="00A1337C">
        <w:t>În motivare, a susţinut că potrivit sentinței civile nr.</w:t>
      </w:r>
      <w:r w:rsidR="00164688">
        <w:t>...</w:t>
      </w:r>
      <w:r w:rsidRPr="00A1337C">
        <w:t xml:space="preserve"> din data de 21.09.2020 pronunțată de Tribunalul </w:t>
      </w:r>
      <w:r w:rsidR="00164688">
        <w:t>...</w:t>
      </w:r>
      <w:r w:rsidRPr="00A1337C">
        <w:t xml:space="preserve"> în dosar nr.</w:t>
      </w:r>
      <w:r w:rsidR="00164688">
        <w:t>...</w:t>
      </w:r>
      <w:r w:rsidRPr="00A1337C">
        <w:t>, executorie la aceeași dată și definitivă la data de 19.05.2021 prin decizia nr</w:t>
      </w:r>
      <w:r w:rsidRPr="00A1337C">
        <w:t xml:space="preserve">. </w:t>
      </w:r>
      <w:r w:rsidR="00164688">
        <w:t>...</w:t>
      </w:r>
      <w:r w:rsidRPr="00A1337C">
        <w:t xml:space="preserve"> a Curții de Apel </w:t>
      </w:r>
      <w:r w:rsidR="00164688">
        <w:t>...</w:t>
      </w:r>
      <w:r w:rsidRPr="00A1337C">
        <w:t xml:space="preserve">, au fost obligați pârâții Parchetul de pe lângă Înalta Curte de Casație și Justitie, Parchetul de pe lângă Curtea de Apel </w:t>
      </w:r>
      <w:r w:rsidR="00164688">
        <w:t>...</w:t>
      </w:r>
      <w:r w:rsidRPr="00A1337C">
        <w:t xml:space="preserve"> și Parchetul de pe lângă Tribunalul </w:t>
      </w:r>
      <w:r w:rsidR="00164688">
        <w:t>...</w:t>
      </w:r>
      <w:r w:rsidRPr="00A1337C">
        <w:t xml:space="preserve"> la reîncadrarea și rec</w:t>
      </w:r>
      <w:r w:rsidRPr="00A1337C">
        <w:t>alcularea indemnizației de încadrare, conform Legii nr.71/2015 și a OUG nr.20/2016, începând cu 18.11.2016 și în continuare, după intrarea în vigoare a Legii cadru de salarizare nr.153/2017, luând în considerare coeficientul de multiplicare 19,000 (diferențe de drepturi salariale în raport de indemnizațiile procurorilor DNA și DIICOT - OUG nr. 27/2006). Totodată au fost obligați pârâții la plata către reclamantă a diferențelor salariale rezultate dintre noua indemnizație de încadrare și indemnizația actuală</w:t>
      </w:r>
      <w:r w:rsidRPr="00A1337C">
        <w:t xml:space="preserve"> de încadrare, începând cu 18.11.2016 și în continuare, până la încetarea condițiilor de acordare, sumă ce va fi actualizată cu indicele de inflație și la care se va aplica dobânda legală penalizatoare, până la data plății efective.</w:t>
      </w:r>
    </w:p>
    <w:p w:rsidRPr="00A1337C" w:rsidR="00A1337C" w:rsidP="00A1337C">
      <w:pPr>
        <w:spacing w:line="259" w:lineRule="auto"/>
        <w:ind w:firstLine="709"/>
        <w:jc w:val="both"/>
        <w:rPr>
          <w:rFonts w:eastAsia="Calibri"/>
          <w:lang w:eastAsia="en-US"/>
        </w:rPr>
      </w:pPr>
      <w:r w:rsidRPr="00A1337C">
        <w:rPr>
          <w:rFonts w:eastAsia="Calibri"/>
          <w:lang w:eastAsia="en-US"/>
        </w:rPr>
        <w:t>A subliniat că la nivel național, au fost pronun</w:t>
      </w:r>
      <w:r w:rsidRPr="00A1337C">
        <w:rPr>
          <w:rFonts w:eastAsia="Calibri"/>
          <w:lang w:eastAsia="en-US"/>
        </w:rPr>
        <w:t xml:space="preserve">țate o serie de hotărâri judecătorești prin care au fost recunoscute colegilor procurori și judecători aceste drepturi salariale, iar prin sentința civila nr.147/30.07.2020 pronunțată in dosar nr.97/54/2020, Curtea de Apel Craiova </w:t>
      </w:r>
      <w:r w:rsidRPr="00A1337C">
        <w:rPr>
          <w:rFonts w:eastAsia="Calibri"/>
          <w:lang w:eastAsia="en-US"/>
        </w:rPr>
        <w:t>a admis acțiunea unui judecător și a fost obligat Ministerul Justiției să emită ordin de încadrare începând cu data de 01.10.2015 si in continuare, cu luarea in considerare a coeficientului de multiplicare 19. Ca atare, la nivelul familiei ocupațională justiție există la acest moment magistrați, cu același grad  care sunt salarizați discriminator.</w:t>
      </w:r>
    </w:p>
    <w:p w:rsidRPr="00A1337C" w:rsidR="00A1337C" w:rsidP="00A1337C">
      <w:pPr>
        <w:spacing w:line="259" w:lineRule="auto"/>
        <w:jc w:val="both"/>
        <w:rPr>
          <w:rFonts w:eastAsia="Calibri"/>
          <w:lang w:eastAsia="en-US"/>
        </w:rPr>
      </w:pPr>
      <w:r w:rsidRPr="00A1337C">
        <w:rPr>
          <w:rFonts w:eastAsia="Calibri"/>
          <w:lang w:eastAsia="en-US"/>
        </w:rPr>
        <w:tab/>
        <w:t>Prin Decizia nr.794/15.12.2016, publicată în M.Of. nr.1029/21 decembrie 2016, Curtea Constituțională a admis excepția de neconstituționalitate și s-a constatat c</w:t>
      </w:r>
      <w:r w:rsidRPr="00A1337C">
        <w:rPr>
          <w:rFonts w:eastAsia="Calibri"/>
          <w:lang w:eastAsia="en-US"/>
        </w:rPr>
        <w:t xml:space="preserve">ă </w:t>
      </w:r>
      <w:r w:rsidRPr="00A1337C">
        <w:rPr>
          <w:rFonts w:eastAsia="Calibri"/>
          <w:lang w:eastAsia="en-US"/>
        </w:rPr>
        <w:t>dispozițiile art. 31 alin. 12 din OUG nr. 57/2015 privind salarizarea personalului plătit din fonduri publice în anul 2016, prorogarea unor termene, precum și unele măsuri fiscal-bugetare sunt neconstituționale.</w:t>
      </w:r>
    </w:p>
    <w:p w:rsidRPr="00A1337C" w:rsidR="00A1337C" w:rsidP="00A1337C">
      <w:pPr>
        <w:spacing w:line="259" w:lineRule="auto"/>
        <w:jc w:val="both"/>
        <w:rPr>
          <w:rFonts w:eastAsia="Calibri"/>
          <w:lang w:eastAsia="en-US"/>
        </w:rPr>
      </w:pPr>
      <w:r w:rsidRPr="00A1337C">
        <w:rPr>
          <w:rFonts w:eastAsia="Calibri"/>
          <w:lang w:eastAsia="en-US"/>
        </w:rPr>
        <w:tab/>
        <w:t xml:space="preserve">În cuprinsul deciziei, Curtea Constituțională a constatat că, potrivit Ordonanței de </w:t>
      </w:r>
      <w:r w:rsidRPr="00A1337C">
        <w:rPr>
          <w:rFonts w:eastAsia="Calibri"/>
          <w:lang w:eastAsia="en-US"/>
        </w:rPr>
        <w:t xml:space="preserve">Urgentă a Guvernului nr. 20/2016, începând cu luna august 2016, pentru fiecare funcție, grad/ treaptă, gradație, vechime in funcție sau in specialitate, salariul de bază sau indemnizația de încadrare urma să fie </w:t>
      </w:r>
      <w:r w:rsidRPr="00A1337C">
        <w:rPr>
          <w:rFonts w:eastAsia="Calibri"/>
          <w:lang w:eastAsia="en-US"/>
        </w:rPr>
        <w:t>același, respectiv aceeași, stabilită la nivel maxim. S-a statuat în sensul că pentru respectarea principiului constituțional al egalității in faţa legii, nivelul maxim al salariului de bază, indemnizației de încadrare, prevăzut de OUG nr.57/2015, corespunzător fiecărei funcții, grad/ treaptă. gradație, vechime in funcție sau în specialitate, trebuie să includă majorările (indexările) stabilite prin hotărâri judecătorești și să fie același pentru tot personalul salarizat potrivit dispozițiilor de lege aplic</w:t>
      </w:r>
      <w:r w:rsidRPr="00A1337C">
        <w:rPr>
          <w:rFonts w:eastAsia="Calibri"/>
          <w:lang w:eastAsia="en-US"/>
        </w:rPr>
        <w:t>abile în cadrul aceleiași categorii profesionale, respectiv familii ocupaționale prevăzute de Legea-cadru nr.284/2010 privind salarizarea unitară a personalului plătit din fonduri publice.</w:t>
      </w:r>
    </w:p>
    <w:p w:rsidRPr="00A1337C" w:rsidR="00A1337C" w:rsidP="00A1337C">
      <w:pPr>
        <w:spacing w:line="259" w:lineRule="auto"/>
        <w:jc w:val="both"/>
        <w:rPr>
          <w:rFonts w:eastAsia="Calibri"/>
          <w:lang w:eastAsia="en-US"/>
        </w:rPr>
      </w:pPr>
      <w:r w:rsidRPr="00A1337C">
        <w:rPr>
          <w:rFonts w:eastAsia="Calibri"/>
          <w:lang w:eastAsia="en-US"/>
        </w:rPr>
        <w:tab/>
        <w:t>Curtea Constituțională a concluzionat în sensul că efectul neconstituționalității art. 31 alin.12 din OUG nr. 57/2015 (introdus prin OU</w:t>
      </w:r>
      <w:r w:rsidRPr="00A1337C">
        <w:rPr>
          <w:rFonts w:eastAsia="Calibri"/>
          <w:lang w:eastAsia="en-US"/>
        </w:rPr>
        <w:t>G nr. 43/2016) este acela că „nivelul maxim al salariului de bază/ indemnizației de încadrare", la care se face egalizarea prevăzută de art.31 alin.1 din OUG nr.57 /2015 (introdus prin OU</w:t>
      </w:r>
      <w:r w:rsidRPr="00A1337C">
        <w:rPr>
          <w:rFonts w:eastAsia="Calibri"/>
          <w:lang w:eastAsia="en-US"/>
        </w:rPr>
        <w:t>G nr.20/2016), trebuie să includă și drepturile stabilite sau recunoscute prin hotărâri judecătorești. Așadar, personalul care beneficiază de aceleași condiții trebuie să fie salarizat la nivelul maxim al salariului de bază/ indemnizației de încadrare din cadrul aceleiași categorii profesionale și familii ocupaționale, indiferent de instituție sau autoritate publică.</w:t>
      </w:r>
    </w:p>
    <w:p w:rsidRPr="00A1337C" w:rsidR="00A1337C" w:rsidP="00A1337C">
      <w:pPr>
        <w:spacing w:line="259" w:lineRule="auto"/>
        <w:jc w:val="both"/>
        <w:rPr>
          <w:rFonts w:eastAsia="Calibri"/>
          <w:lang w:eastAsia="en-US"/>
        </w:rPr>
      </w:pPr>
      <w:r w:rsidRPr="00A1337C">
        <w:rPr>
          <w:rFonts w:eastAsia="Calibri"/>
          <w:lang w:eastAsia="en-US"/>
        </w:rPr>
        <w:tab/>
        <w:t>Înalta Curte de Casație și Justiție - Completul pentru dezlegarea unor chestiuni de drept, prin Decizia nr.36 din 4 iunie 2018, a stabilit că</w:t>
      </w:r>
      <w:r w:rsidRPr="00A1337C">
        <w:rPr>
          <w:rFonts w:eastAsia="Calibri"/>
          <w:lang w:eastAsia="en-US"/>
        </w:rPr>
        <w:t xml:space="preserve"> ”în interpretarea și aplicarea dispozițiilor art.1 alin. (5 ind. l) din Ordonanța de urgență a Guvernului nr. 83/2014 privind salarizarea personalului plătit din fonduri publice în anul 2015, precum și alte măsuri in domeniul cheltuielilor publice, aprobată cu modificări și completări prin Legea nr.71/2015, cu modificările și completările ulterioare, soluția egalizării indemnizațiilor la nivel maxim are in vedere și majorările și indexările recunoscute prin hotărâri judecătorești unor magistrați sau membri</w:t>
      </w:r>
      <w:r w:rsidRPr="00A1337C">
        <w:rPr>
          <w:rFonts w:eastAsia="Calibri"/>
          <w:lang w:eastAsia="en-US"/>
        </w:rPr>
        <w:t xml:space="preserve"> ai personalului auxiliar, indiferent dacă ordonatorul de credite a emis sau nu ordine de salarizare corespunzătoare. "</w:t>
      </w:r>
    </w:p>
    <w:p w:rsidRPr="00A1337C" w:rsidR="00A1337C" w:rsidP="00A1337C">
      <w:pPr>
        <w:spacing w:line="259" w:lineRule="auto"/>
        <w:jc w:val="both"/>
        <w:rPr>
          <w:rFonts w:eastAsia="Calibri"/>
          <w:lang w:eastAsia="en-US"/>
        </w:rPr>
      </w:pPr>
      <w:r w:rsidRPr="00A1337C">
        <w:rPr>
          <w:rFonts w:eastAsia="Calibri"/>
          <w:lang w:eastAsia="en-US"/>
        </w:rPr>
        <w:tab/>
        <w:t xml:space="preserve">Redând considerentele expuse în decizia menționată la pct. 64-71, reclamanta arată că </w:t>
      </w:r>
    </w:p>
    <w:p w:rsidRPr="00A1337C" w:rsidR="00A1337C" w:rsidP="00A1337C">
      <w:pPr>
        <w:spacing w:line="259" w:lineRule="auto"/>
        <w:jc w:val="both"/>
        <w:rPr>
          <w:rFonts w:eastAsia="Calibri"/>
          <w:lang w:eastAsia="en-US"/>
        </w:rPr>
      </w:pPr>
      <w:r w:rsidRPr="00A1337C">
        <w:rPr>
          <w:rFonts w:eastAsia="Calibri"/>
          <w:lang w:eastAsia="en-US"/>
        </w:rPr>
        <w:t>Înalta Curte de Casație și Justiție, în primul rând, reamintește, cu titlu de principiu, faptul că</w:t>
      </w:r>
      <w:r w:rsidRPr="00A1337C">
        <w:rPr>
          <w:rFonts w:eastAsia="Calibri"/>
          <w:lang w:eastAsia="en-US"/>
        </w:rPr>
        <w:t xml:space="preserve"> forța obligatorie a deciziilor Curții Constituționale prevăzută de art.147 alin. (4) din Constituția României se atașează dispozitivului și considerentelor pe care se întemeiază raționamentul din punct de </w:t>
      </w:r>
      <w:r w:rsidRPr="00A1337C">
        <w:rPr>
          <w:rFonts w:eastAsia="Calibri"/>
          <w:lang w:eastAsia="en-US"/>
        </w:rPr>
        <w:t xml:space="preserve">vedere juridic. In acest sens este relevant faptul că, potrivit Deciziei Plenului Curții Constituționale nr.1/1995 privind obligativitatea deciziilor sale pronunțate în cadrul controlului de constituționalitate, publicată în Monitorul Oficial al României, Partea l , nr. 16 din 26 ianuarie 1995, puterea de lucru judecat ce însoțește actele jurisdicționale, deci și deciziile Curții Constituționale, se atașează nu numai dispozitivului, ci și considerentelor pe care se sprijină soluția adoptată, în verificarea </w:t>
      </w:r>
      <w:r w:rsidRPr="00A1337C">
        <w:rPr>
          <w:rFonts w:eastAsia="Calibri"/>
          <w:lang w:eastAsia="en-US"/>
        </w:rPr>
        <w:t>conformității textelor legale analizate cu prevederile Constituției României. Astfel, Curtea Constituțională reține că atât considerentele, cât și dispozitivul deciziilor sale sunt general obligatorii, potrivit dispozițiilor art.147 alin. (4) din Constituție și se impun cu aceeași forță tuturor subiectelor de drept.</w:t>
      </w:r>
    </w:p>
    <w:p w:rsidRPr="00A1337C" w:rsidR="00A1337C" w:rsidP="00A1337C">
      <w:pPr>
        <w:spacing w:line="259" w:lineRule="auto"/>
        <w:jc w:val="both"/>
        <w:rPr>
          <w:rFonts w:eastAsia="Calibri"/>
          <w:lang w:eastAsia="en-US"/>
        </w:rPr>
      </w:pPr>
      <w:r w:rsidRPr="00A1337C">
        <w:rPr>
          <w:rFonts w:eastAsia="Calibri"/>
          <w:lang w:eastAsia="en-US"/>
        </w:rPr>
        <w:tab/>
        <w:t>Chiar dacă în decizia prezentată mai sus Curtea Constituțională a interpretat un alt text de lege decât cel supus prezentei dezbateri, totuși, se observă că soluția legislativă a egalizării ind</w:t>
      </w:r>
      <w:r w:rsidRPr="00A1337C">
        <w:rPr>
          <w:rFonts w:eastAsia="Calibri"/>
          <w:lang w:eastAsia="en-US"/>
        </w:rPr>
        <w:t>emnizațiilor la nivel maxim a fost adoptată de legiuitor, începând cu data de 9 aprilie 2015, prin introducerea art.1 alin. (5 ind.l) din Ordonanța de urgență a Guvernului nr.83/2014, astfel că toate considerentele expuse de instanța constituțională se verifică și în privința acestui text de lege.</w:t>
      </w:r>
    </w:p>
    <w:p w:rsidRPr="00A1337C" w:rsidR="00A1337C" w:rsidP="00A1337C">
      <w:pPr>
        <w:spacing w:line="259" w:lineRule="auto"/>
        <w:jc w:val="both"/>
        <w:rPr>
          <w:rFonts w:eastAsia="Calibri"/>
          <w:lang w:eastAsia="en-US"/>
        </w:rPr>
      </w:pPr>
      <w:r w:rsidRPr="00A1337C">
        <w:rPr>
          <w:rFonts w:eastAsia="Calibri"/>
          <w:lang w:eastAsia="en-US"/>
        </w:rPr>
        <w:tab/>
        <w:t xml:space="preserve">Prin urmare, a accepta o interpretare contrară ar însemna să fie golit de conținut raționamentul avut in vedere în decizia mai sus citată și să fie negat rolul Curții Constituționale de așezare a interpretărilor </w:t>
      </w:r>
      <w:r w:rsidRPr="00A1337C">
        <w:rPr>
          <w:rFonts w:eastAsia="Calibri"/>
          <w:lang w:eastAsia="en-US"/>
        </w:rPr>
        <w:t>legale in acord cu Legea fundamentală.</w:t>
      </w:r>
    </w:p>
    <w:p w:rsidRPr="00A1337C" w:rsidR="00A1337C" w:rsidP="00A1337C">
      <w:pPr>
        <w:spacing w:line="259" w:lineRule="auto"/>
        <w:jc w:val="both"/>
        <w:rPr>
          <w:rFonts w:eastAsia="Calibri"/>
          <w:lang w:eastAsia="en-US"/>
        </w:rPr>
      </w:pPr>
      <w:r w:rsidRPr="00A1337C">
        <w:rPr>
          <w:rFonts w:eastAsia="Calibri"/>
          <w:lang w:eastAsia="en-US"/>
        </w:rPr>
        <w:tab/>
        <w:t>Din acest motiv, opinia exprimată de instanța de trimitere în sensul că numai existența unor hotărâri judecătorești de acordare a unor majorări salariale unora dintre magistrați sau membri ai personalului auxiliar nu este suficientă pentru a atrage aplicabilitatea art. 1 alin. (5 ind. l ) din Ordonanța de urgență a Guvernului nr.83/2014, în modalitatea stabilirii pentru întreg personalul din justiție a unei valori de referință sect</w:t>
      </w:r>
      <w:r w:rsidRPr="00A1337C">
        <w:rPr>
          <w:rFonts w:eastAsia="Calibri"/>
          <w:lang w:eastAsia="en-US"/>
        </w:rPr>
        <w:t>orială majorate, nu poate fi împărtăș</w:t>
      </w:r>
      <w:r w:rsidRPr="00A1337C">
        <w:rPr>
          <w:rFonts w:eastAsia="Calibri"/>
          <w:lang w:eastAsia="en-US"/>
        </w:rPr>
        <w:t>ită.</w:t>
      </w:r>
    </w:p>
    <w:p w:rsidRPr="00A1337C" w:rsidR="00A1337C" w:rsidP="00A1337C">
      <w:pPr>
        <w:spacing w:line="259" w:lineRule="auto"/>
        <w:jc w:val="both"/>
        <w:rPr>
          <w:rFonts w:eastAsia="Calibri"/>
          <w:lang w:eastAsia="en-US"/>
        </w:rPr>
      </w:pPr>
      <w:r w:rsidRPr="00A1337C">
        <w:rPr>
          <w:rFonts w:eastAsia="Calibri"/>
          <w:lang w:eastAsia="en-US"/>
        </w:rPr>
        <w:tab/>
        <w:t>Chiar dacă în cauză hotărârile judecătorești pronunțate pentru obținerea unor drepturi salariale au efecte doar intre părțile ce au luat parte la judecată, totuși se observă că hotărârile judecătorești prin care s-a recunoscut majorarea indemnizației de încadrare, cum sunt cele prin care s-au stabilit majorările de 2%, 5% și respectiv, 11% acordate magistraților și personalului asimilat, în temeiul Ordonanței Guvernului nr. 10/2007, nu vizează situații de fapt particulare, ci aplicarea unor prevede</w:t>
      </w:r>
      <w:r w:rsidRPr="00A1337C">
        <w:rPr>
          <w:rFonts w:eastAsia="Calibri"/>
          <w:lang w:eastAsia="en-US"/>
        </w:rPr>
        <w:t xml:space="preserve">ri </w:t>
      </w:r>
      <w:r w:rsidRPr="00A1337C">
        <w:rPr>
          <w:rFonts w:eastAsia="Calibri"/>
          <w:lang w:eastAsia="en-US"/>
        </w:rPr>
        <w:t>legale cuprinse în acte normative, care au aplicabilitate generală.</w:t>
      </w:r>
    </w:p>
    <w:p w:rsidRPr="00A1337C" w:rsidR="00A1337C" w:rsidP="00A1337C">
      <w:pPr>
        <w:spacing w:line="259" w:lineRule="auto"/>
        <w:jc w:val="both"/>
        <w:rPr>
          <w:rFonts w:eastAsia="Calibri"/>
          <w:lang w:eastAsia="en-US"/>
        </w:rPr>
      </w:pPr>
      <w:r w:rsidRPr="00A1337C">
        <w:rPr>
          <w:rFonts w:eastAsia="Calibri"/>
          <w:lang w:eastAsia="en-US"/>
        </w:rPr>
        <w:tab/>
        <w:t>Prin urmare, aceste majorări salariale trebuie avute în vedere la stabilirea nivelului maxim de salarizare corespunzător fiecărei funcții, grad/ treaptă, gradație, vechime in muncă și în specialitate, aceasta fiind logica egalizării drepturilor salariale avute în vedere de legiuitor la edictarea textului legal a cărui interpretare se solicită.</w:t>
      </w:r>
    </w:p>
    <w:p w:rsidRPr="00A1337C" w:rsidR="00A1337C" w:rsidP="00A1337C">
      <w:pPr>
        <w:spacing w:line="259" w:lineRule="auto"/>
        <w:jc w:val="both"/>
        <w:rPr>
          <w:rFonts w:eastAsia="Calibri"/>
          <w:lang w:eastAsia="en-US"/>
        </w:rPr>
      </w:pPr>
      <w:r w:rsidRPr="00A1337C">
        <w:rPr>
          <w:rFonts w:eastAsia="Calibri"/>
          <w:lang w:eastAsia="en-US"/>
        </w:rPr>
        <w:tab/>
        <w:t>Dacă s-ar da o altă interpretare, aceasta ar fi contrară scopului și substanței normei,     s-ar</w:t>
      </w:r>
      <w:r w:rsidRPr="00A1337C">
        <w:rPr>
          <w:rFonts w:eastAsia="Calibri"/>
          <w:lang w:eastAsia="en-US"/>
        </w:rPr>
        <w:t xml:space="preserve"> menține inechitățile salariale in cadrul aceleiași categorii de personal și in consecință, ar persista discriminarea pe care legiuitorul a intenționat să o elimine prin edictarea acestei reglementări.</w:t>
      </w:r>
    </w:p>
    <w:p w:rsidRPr="00A1337C" w:rsidR="00A1337C" w:rsidP="00A1337C">
      <w:pPr>
        <w:spacing w:line="259" w:lineRule="auto"/>
        <w:jc w:val="both"/>
        <w:rPr>
          <w:rFonts w:eastAsia="Calibri"/>
          <w:lang w:eastAsia="en-US"/>
        </w:rPr>
      </w:pPr>
      <w:r w:rsidRPr="00A1337C">
        <w:rPr>
          <w:rFonts w:eastAsia="Calibri"/>
          <w:lang w:eastAsia="en-US"/>
        </w:rPr>
        <w:tab/>
        <w:t>In cazul în care diferențele de salarizare dintre magistrați provin din drepturi acordate prin hotărâri judec</w:t>
      </w:r>
      <w:r w:rsidRPr="00A1337C">
        <w:rPr>
          <w:rFonts w:eastAsia="Calibri"/>
          <w:lang w:eastAsia="en-US"/>
        </w:rPr>
        <w:t xml:space="preserve">ătorești, ordonatorul de credite este obligat ca, la stabilirea nivelului maxim ai salariului de bază/ indemnizației de încadrare, din cadrul instituției sau autorității publice, să ia in considerare </w:t>
      </w:r>
      <w:r w:rsidRPr="00A1337C">
        <w:rPr>
          <w:rFonts w:eastAsia="Calibri"/>
          <w:lang w:eastAsia="en-US"/>
        </w:rPr>
        <w:t>si drepturile salariale stabilite sau recunoscute prin hotărâri judecătorești deoarece hotărârea judecătorească, chiar dacă are efecte între părți, interpretează norme de lege cu aplicabilitate generală.</w:t>
      </w:r>
    </w:p>
    <w:p w:rsidRPr="00A1337C" w:rsidR="00A1337C" w:rsidP="00A1337C">
      <w:pPr>
        <w:spacing w:line="259" w:lineRule="auto"/>
        <w:jc w:val="both"/>
        <w:rPr>
          <w:rFonts w:eastAsia="Calibri"/>
          <w:lang w:eastAsia="en-US"/>
        </w:rPr>
      </w:pPr>
      <w:r w:rsidRPr="00A1337C">
        <w:rPr>
          <w:rFonts w:eastAsia="Calibri"/>
          <w:lang w:eastAsia="en-US"/>
        </w:rPr>
        <w:tab/>
        <w:t>Chiar dacă ulterior datei de 03.04.2014, judecătorii având gradul profesional de judecătorie, tribunal, c</w:t>
      </w:r>
      <w:r w:rsidRPr="00A1337C">
        <w:rPr>
          <w:rFonts w:eastAsia="Calibri"/>
          <w:lang w:eastAsia="en-US"/>
        </w:rPr>
        <w:t>urte de apel sau parchet similar nu ar fi salarizați prin aplicarea coeficientului de multiplicare aplicabil procurorilor care își desfășoară activitatea în cadrul D.N.A. sau D.I.I.C.O.T., Legea nr.71/2</w:t>
      </w:r>
      <w:r w:rsidRPr="00A1337C">
        <w:rPr>
          <w:rFonts w:eastAsia="Calibri"/>
          <w:lang w:eastAsia="en-US"/>
        </w:rPr>
        <w:t xml:space="preserve">015 pentru aprobarea Ordonanței de urgență a Guvernului nr.83/2014 privind salarizarea personalului plătit din fonduri publice în anul 2015, precum și alte măsuri în domeniul cheltuielilor publice a avut scopul de a elimina anomaliile legate de aplicarea dispozițiilor legilor de salarizare, care au determinat în domeniul justiției între drepturile salariale încasate de persoane care desfășoară aceeași activitate, printre care și cea care rezultă din diferenţele dintre indemnizațiile procurorilor din cadrul </w:t>
      </w:r>
      <w:r w:rsidRPr="00A1337C">
        <w:rPr>
          <w:rFonts w:eastAsia="Calibri"/>
          <w:lang w:eastAsia="en-US"/>
        </w:rPr>
        <w:t>D.N.A. și D.I.I.C.O.T., respectiv judecătorii în privința cărora s-a constatat că există o situație de discriminare prin hotărâri judecătorești.</w:t>
      </w:r>
    </w:p>
    <w:p w:rsidRPr="00A1337C" w:rsidR="00A1337C" w:rsidP="00A1337C">
      <w:pPr>
        <w:spacing w:line="259" w:lineRule="auto"/>
        <w:jc w:val="both"/>
        <w:rPr>
          <w:rFonts w:eastAsia="Calibri"/>
          <w:lang w:eastAsia="en-US"/>
        </w:rPr>
      </w:pPr>
      <w:r w:rsidRPr="00A1337C">
        <w:rPr>
          <w:rFonts w:eastAsia="Calibri"/>
          <w:lang w:eastAsia="en-US"/>
        </w:rPr>
        <w:tab/>
        <w:t>Așa cum a stabilit Înalta Curte de Casație și Justiție - Completul pentru dezlegarea unor chestiuni de drept, prin Decizia nr.36 din 4 iunie 2018, în interpretarea și aplicarea dispozițiilor art.1 alin. (5 ind. l ) din Ordo</w:t>
      </w:r>
      <w:r w:rsidRPr="00A1337C">
        <w:rPr>
          <w:rFonts w:eastAsia="Calibri"/>
          <w:lang w:eastAsia="en-US"/>
        </w:rPr>
        <w:t>nanța de urgență a Guvernului nr. 83/2014 privind salarizarea personalului plătit din fonduri publice în anul 2015, precum și alte măsuri în do</w:t>
      </w:r>
      <w:r w:rsidRPr="00A1337C">
        <w:rPr>
          <w:rFonts w:eastAsia="Calibri"/>
          <w:lang w:eastAsia="en-US"/>
        </w:rPr>
        <w:t>meniul cheltuielilor publice, aprobată cu modificări și completări prin Legea nr.71/2015, cu modificările și completările ulterioare, soluția egalizării indemnizațiilor la nivel maxim are in vedere și majorările și indexările recunoscute prin hotărâri judecătorești unor magistrați sau membri ai personalului auxiliar, indiferent dacă ordonatorul de credite a emis sau nu ordine de salarizare corespunzătoare.</w:t>
      </w:r>
    </w:p>
    <w:p w:rsidRPr="00A1337C" w:rsidR="00A1337C" w:rsidP="00A1337C">
      <w:pPr>
        <w:spacing w:line="259" w:lineRule="auto"/>
        <w:jc w:val="both"/>
        <w:rPr>
          <w:rFonts w:eastAsia="Calibri"/>
          <w:lang w:eastAsia="en-US"/>
        </w:rPr>
      </w:pPr>
      <w:r w:rsidRPr="00A1337C">
        <w:rPr>
          <w:rFonts w:eastAsia="Calibri"/>
          <w:lang w:eastAsia="en-US"/>
        </w:rPr>
        <w:tab/>
        <w:t xml:space="preserve">Înalta Curte de Casație și Justiție - Completul pentru dezlegarea unor chestiuni de drept a observat </w:t>
      </w:r>
      <w:r w:rsidRPr="00A1337C">
        <w:rPr>
          <w:rFonts w:eastAsia="Calibri"/>
          <w:lang w:eastAsia="en-US"/>
        </w:rPr>
        <w:t>că soluția legislativă a egalizării indemnizațiilor la nivel maxim a fost adoptată de legiuitor, începând cu data de 9 aprilie 2015, prin introducerea art.1 alin. (5 ind. l) din Ordonanța de urgentă a Guvernului nr.83/2014, astfel că toate considerentele expuse de Curtea Constituțională se verifică și in privința acestui text de lege. A accepta o interpretare contrară ar însemna să fie golit de conținut raționamentul avut in vedere în decizia mai sus citată și să fie negat rolul Curții Constituționale de aș</w:t>
      </w:r>
      <w:r w:rsidRPr="00A1337C">
        <w:rPr>
          <w:rFonts w:eastAsia="Calibri"/>
          <w:lang w:eastAsia="en-US"/>
        </w:rPr>
        <w:t>ezare a interpretărilor legale în acord cu legea fundamentală.</w:t>
      </w:r>
    </w:p>
    <w:p w:rsidRPr="00A1337C" w:rsidR="00A1337C" w:rsidP="00A1337C">
      <w:pPr>
        <w:spacing w:line="259" w:lineRule="auto"/>
        <w:jc w:val="both"/>
        <w:rPr>
          <w:rFonts w:eastAsia="Calibri"/>
          <w:lang w:eastAsia="en-US"/>
        </w:rPr>
      </w:pPr>
      <w:r w:rsidRPr="00A1337C">
        <w:rPr>
          <w:rFonts w:eastAsia="Calibri"/>
          <w:lang w:eastAsia="en-US"/>
        </w:rPr>
        <w:tab/>
        <w:t>Astfel, a aprecia că nivelul maxim al salarizării nu poate include drepturile obținute prin hotărâri judecătorești definitive decât dacă au fast emise ordine de salarizare ar însemna să fie lăsată la latitudinea ordonatorilor de credite consecința aplicării sau neaplicării prevederilor legale. Cu alte cuvinte, ar însemna ca neexecutarea unei hotărâri judecătorești definitive să produc</w:t>
      </w:r>
      <w:r w:rsidRPr="00A1337C">
        <w:rPr>
          <w:rFonts w:eastAsia="Calibri"/>
          <w:lang w:eastAsia="en-US"/>
        </w:rPr>
        <w:t>ă consecințe juridice in sensul privării unor titulari de dre</w:t>
      </w:r>
      <w:r w:rsidRPr="00A1337C">
        <w:rPr>
          <w:rFonts w:eastAsia="Calibri"/>
          <w:lang w:eastAsia="en-US"/>
        </w:rPr>
        <w:t>p</w:t>
      </w:r>
      <w:r w:rsidRPr="00A1337C">
        <w:rPr>
          <w:rFonts w:eastAsia="Calibri"/>
          <w:lang w:eastAsia="en-US"/>
        </w:rPr>
        <w:t>turile lor specifice.</w:t>
      </w:r>
    </w:p>
    <w:p w:rsidRPr="00A1337C" w:rsidR="00A1337C" w:rsidP="00A1337C">
      <w:pPr>
        <w:spacing w:line="259" w:lineRule="auto"/>
        <w:jc w:val="both"/>
        <w:rPr>
          <w:rFonts w:eastAsia="Calibri"/>
          <w:lang w:eastAsia="en-US"/>
        </w:rPr>
      </w:pPr>
      <w:r w:rsidRPr="00A1337C">
        <w:rPr>
          <w:rFonts w:eastAsia="Calibri"/>
          <w:lang w:eastAsia="en-US"/>
        </w:rPr>
        <w:tab/>
        <w:t>Decizia Înaltei Curți de Casație și Justiție - Completul pentru dezlegarea unor chestiuni de drept este obligatorie pentru instanțele judecătorești, potrivit dispozițiilor art. 521 alin. (3) din Codul de procedură civilă.</w:t>
      </w:r>
    </w:p>
    <w:p w:rsidRPr="00A1337C" w:rsidR="00A1337C" w:rsidP="00A1337C">
      <w:pPr>
        <w:spacing w:line="259" w:lineRule="auto"/>
        <w:jc w:val="both"/>
        <w:rPr>
          <w:rFonts w:eastAsia="Calibri"/>
          <w:lang w:eastAsia="en-US"/>
        </w:rPr>
      </w:pPr>
      <w:r w:rsidRPr="00A1337C">
        <w:rPr>
          <w:rFonts w:eastAsia="Calibri"/>
          <w:lang w:eastAsia="en-US"/>
        </w:rPr>
        <w:tab/>
        <w:t>Arătă că, deși a form</w:t>
      </w:r>
      <w:r w:rsidRPr="00A1337C">
        <w:rPr>
          <w:rFonts w:eastAsia="Calibri"/>
          <w:lang w:eastAsia="en-US"/>
        </w:rPr>
        <w:t>ulat plângere prealabilă, pârâtul Parchetul de pe lângă Înalta Curte de Casație și Justiție nu a dat curs cererii de emitere a unui nou ordin și nu a dispus reîncadrarea și recalcularea indemnizației de încadrare, cu luarea în considerare a unu</w:t>
      </w:r>
      <w:r w:rsidRPr="00A1337C">
        <w:rPr>
          <w:rFonts w:eastAsia="Calibri"/>
          <w:lang w:eastAsia="en-US"/>
        </w:rPr>
        <w:t>i coeficient de multiplicare conform Anexei I lit. A, punctele 6-13 din OUG 27/2006, conform hotărârii judecătorești prin care reclamanta a câștigat acest drept.</w:t>
      </w:r>
    </w:p>
    <w:p w:rsidRPr="00A1337C" w:rsidR="00A1337C" w:rsidP="00A1337C">
      <w:pPr>
        <w:spacing w:line="259" w:lineRule="auto"/>
        <w:jc w:val="both"/>
        <w:rPr>
          <w:rFonts w:eastAsia="Calibri"/>
          <w:lang w:eastAsia="en-US"/>
        </w:rPr>
      </w:pPr>
      <w:r w:rsidRPr="00A1337C">
        <w:rPr>
          <w:rFonts w:eastAsia="Calibri"/>
          <w:lang w:eastAsia="en-US"/>
        </w:rPr>
        <w:tab/>
        <w:t>În drept, a invocat dispozițiile art. 8, 18 din Legea nr. 554/2004.</w:t>
      </w:r>
    </w:p>
    <w:p w:rsidRPr="00A1337C" w:rsidR="00A1337C" w:rsidP="00A1337C">
      <w:pPr>
        <w:spacing w:line="259" w:lineRule="auto"/>
        <w:jc w:val="both"/>
        <w:rPr>
          <w:rFonts w:eastAsia="Calibri"/>
          <w:lang w:eastAsia="en-US"/>
        </w:rPr>
      </w:pPr>
      <w:r w:rsidRPr="00A1337C">
        <w:rPr>
          <w:rFonts w:eastAsia="Calibri"/>
          <w:lang w:eastAsia="en-US"/>
        </w:rPr>
        <w:tab/>
        <w:t>In dovedire, a solicitat administrarea probei cu înscrisuri, respectiv hotărârile judecătorești anterior menționate, precum și comunicarea efectuată de Parchetul de pe lângă Înalta Curte de Casație și Justiție și compartimentul economico-financiar din cadrul Parchetului de pe lân</w:t>
      </w:r>
      <w:r w:rsidRPr="00A1337C">
        <w:rPr>
          <w:rFonts w:eastAsia="Calibri"/>
          <w:lang w:eastAsia="en-US"/>
        </w:rPr>
        <w:t xml:space="preserve">gă Curtea de Apel </w:t>
      </w:r>
      <w:r w:rsidR="00164688">
        <w:rPr>
          <w:rFonts w:eastAsia="Calibri"/>
          <w:lang w:eastAsia="en-US"/>
        </w:rPr>
        <w:t>...</w:t>
      </w:r>
    </w:p>
    <w:p w:rsidRPr="00A1337C" w:rsidR="00A1337C" w:rsidP="00A1337C">
      <w:pPr>
        <w:spacing w:line="259" w:lineRule="auto"/>
        <w:jc w:val="both"/>
        <w:rPr>
          <w:rFonts w:eastAsia="Calibri"/>
          <w:lang w:eastAsia="en-US"/>
        </w:rPr>
      </w:pPr>
      <w:r w:rsidRPr="00A1337C">
        <w:rPr>
          <w:rFonts w:eastAsia="Calibri"/>
          <w:lang w:eastAsia="en-US"/>
        </w:rPr>
        <w:tab/>
        <w:t>La data de 13 ianuarie 2022, pârâtul Ministerul Public – Parchetul de pe lângă Înalta Curte de Casație și Justiție a formulat</w:t>
      </w:r>
      <w:r w:rsidRPr="00A1337C">
        <w:rPr>
          <w:rFonts w:eastAsia="Calibri"/>
          <w:b/>
          <w:lang w:eastAsia="en-US"/>
        </w:rPr>
        <w:t xml:space="preserve"> întâmpinare</w:t>
      </w:r>
      <w:r w:rsidRPr="00A1337C">
        <w:rPr>
          <w:rFonts w:eastAsia="Calibri"/>
          <w:lang w:eastAsia="en-US"/>
        </w:rPr>
        <w:t>, solicitând admiterea excepției prescripției dreptului material la acțiune, iar pe fond respingerea acțiunii, ca neîntemeiată.</w:t>
      </w:r>
    </w:p>
    <w:p w:rsidRPr="00A1337C" w:rsidR="00A1337C" w:rsidP="00A1337C">
      <w:pPr>
        <w:spacing w:line="259" w:lineRule="auto"/>
        <w:ind w:firstLine="709"/>
        <w:jc w:val="both"/>
        <w:rPr>
          <w:rFonts w:eastAsia="Calibri"/>
          <w:color w:val="FF0000"/>
          <w:lang w:eastAsia="en-US"/>
        </w:rPr>
      </w:pPr>
      <w:r w:rsidRPr="00A1337C">
        <w:rPr>
          <w:rFonts w:eastAsia="Calibri"/>
          <w:lang w:eastAsia="en-US"/>
        </w:rPr>
        <w:t xml:space="preserve">În motivarea excepției prescripției dreptului material la acțiune s-a arătat că, întrucât reclamanta solicită recalcularea indemnizației de încadrare și plata drepturilor aferente începând cu 18.11.2016, iar acțiunea a fost </w:t>
      </w:r>
      <w:r w:rsidRPr="00A1337C">
        <w:rPr>
          <w:rFonts w:eastAsia="Calibri"/>
          <w:lang w:eastAsia="en-US"/>
        </w:rPr>
        <w:t>înregistrată la instanță la 25.11.2021, în baza art. 247 alin. 1 C.p.c., art. 171 și art. 268 alin. 1 lit. c din Codul muncii, art. 2500, art. 2501 alin. 1, art. 2503 alin. 2, art. 2512 alin. 1, art. 2513 și art. 2517 C.civ., se impune admiterea excepției prescripției dreptului material la acțiune pentru pretențiile anterioare datei de 25.11.2018.</w:t>
      </w:r>
    </w:p>
    <w:p w:rsidRPr="00A1337C" w:rsidR="00A1337C" w:rsidP="00A1337C">
      <w:pPr>
        <w:spacing w:line="259" w:lineRule="auto"/>
        <w:ind w:firstLine="709"/>
        <w:jc w:val="both"/>
        <w:rPr>
          <w:rFonts w:eastAsia="Calibri"/>
          <w:lang w:eastAsia="en-US"/>
        </w:rPr>
      </w:pPr>
      <w:r w:rsidRPr="00A1337C">
        <w:rPr>
          <w:rFonts w:eastAsia="Calibri"/>
          <w:lang w:eastAsia="en-US"/>
        </w:rPr>
        <w:t>În ce privește fondul cauzei s-a arătat că sentința civilă nr.</w:t>
      </w:r>
      <w:r w:rsidR="00164688">
        <w:rPr>
          <w:rFonts w:eastAsia="Calibri"/>
          <w:lang w:eastAsia="en-US"/>
        </w:rPr>
        <w:t>...</w:t>
      </w:r>
      <w:r w:rsidRPr="00A1337C">
        <w:rPr>
          <w:rFonts w:eastAsia="Calibri"/>
          <w:lang w:eastAsia="en-US"/>
        </w:rPr>
        <w:t xml:space="preserve"> din 21.09.2020 a Tribunalului </w:t>
      </w:r>
      <w:r w:rsidR="00164688">
        <w:rPr>
          <w:rFonts w:eastAsia="Calibri"/>
          <w:lang w:eastAsia="en-US"/>
        </w:rPr>
        <w:t xml:space="preserve">... </w:t>
      </w:r>
      <w:r w:rsidRPr="00A1337C">
        <w:rPr>
          <w:rFonts w:eastAsia="Calibri"/>
          <w:lang w:eastAsia="en-US"/>
        </w:rPr>
        <w:t>și decizia civilă nr.</w:t>
      </w:r>
      <w:r w:rsidR="00164688">
        <w:rPr>
          <w:rFonts w:eastAsia="Calibri"/>
          <w:lang w:eastAsia="en-US"/>
        </w:rPr>
        <w:t>...</w:t>
      </w:r>
      <w:r w:rsidRPr="00A1337C">
        <w:rPr>
          <w:rFonts w:eastAsia="Calibri"/>
          <w:lang w:eastAsia="en-US"/>
        </w:rPr>
        <w:t xml:space="preserve"> din 19.05.2021 a Curții de Apel </w:t>
      </w:r>
      <w:r w:rsidR="00164688">
        <w:rPr>
          <w:rFonts w:eastAsia="Calibri"/>
          <w:lang w:eastAsia="en-US"/>
        </w:rPr>
        <w:t>...</w:t>
      </w:r>
      <w:r w:rsidRPr="00A1337C">
        <w:rPr>
          <w:rFonts w:eastAsia="Calibri"/>
          <w:lang w:eastAsia="en-US"/>
        </w:rPr>
        <w:t xml:space="preserve"> a</w:t>
      </w:r>
      <w:r w:rsidRPr="00A1337C">
        <w:rPr>
          <w:rFonts w:eastAsia="Calibri"/>
          <w:lang w:eastAsia="en-US"/>
        </w:rPr>
        <w:t>u fost pronunțate într-un litigiu de muncă și nu instituie în sarcina Parchetului de pe lângă Înalta Curte de Casație și Justiție obligația de a emite ordine de salarizare.</w:t>
      </w:r>
    </w:p>
    <w:p w:rsidRPr="00A1337C" w:rsidR="00A1337C" w:rsidP="00A1337C">
      <w:pPr>
        <w:spacing w:line="259" w:lineRule="auto"/>
        <w:ind w:firstLine="709"/>
        <w:jc w:val="both"/>
        <w:rPr>
          <w:rFonts w:eastAsia="Calibri"/>
          <w:lang w:eastAsia="en-US"/>
        </w:rPr>
      </w:pPr>
      <w:r w:rsidRPr="00A1337C">
        <w:rPr>
          <w:rFonts w:eastAsia="Calibri"/>
          <w:lang w:eastAsia="en-US"/>
        </w:rPr>
        <w:t xml:space="preserve"> În conformitate cu art.70 alin.4 din Legea nr. 304/2004, republicată, cu modificările și completările ulterioare, „(4) Procurorul general al Parchetului de pe lângă În</w:t>
      </w:r>
      <w:r w:rsidRPr="00A1337C">
        <w:rPr>
          <w:rFonts w:eastAsia="Calibri"/>
          <w:lang w:eastAsia="en-US"/>
        </w:rPr>
        <w:t>alta Curte de Casație și Justiție este ordonator principal de credite".</w:t>
      </w:r>
    </w:p>
    <w:p w:rsidRPr="00A1337C" w:rsidR="00A1337C" w:rsidP="00A1337C">
      <w:pPr>
        <w:spacing w:line="259" w:lineRule="auto"/>
        <w:jc w:val="both"/>
        <w:rPr>
          <w:rFonts w:eastAsia="Calibri"/>
          <w:lang w:eastAsia="en-US"/>
        </w:rPr>
      </w:pPr>
      <w:r w:rsidRPr="00A1337C">
        <w:rPr>
          <w:rFonts w:eastAsia="Calibri"/>
          <w:lang w:eastAsia="en-US"/>
        </w:rPr>
        <w:tab/>
        <w:t>În speță sunt aplicabile, mutatis mutandis, considerentele Deciziei nr.13 din 13.06.2016 a Înaltei</w:t>
      </w:r>
      <w:r w:rsidRPr="00A1337C">
        <w:rPr>
          <w:rFonts w:eastAsia="Calibri"/>
          <w:lang w:eastAsia="en-US"/>
        </w:rPr>
        <w:t xml:space="preserve"> Curți de Casație și Justiție - Completul competent să judece recursul în interesul legii, publicată în M. Of. nr. 763 din 29.09.2016.</w:t>
      </w:r>
    </w:p>
    <w:p w:rsidRPr="00A1337C" w:rsidR="00A1337C" w:rsidP="00A1337C">
      <w:pPr>
        <w:spacing w:line="259" w:lineRule="auto"/>
        <w:jc w:val="both"/>
        <w:rPr>
          <w:rFonts w:eastAsia="Calibri"/>
          <w:lang w:eastAsia="en-US"/>
        </w:rPr>
      </w:pPr>
      <w:r w:rsidRPr="00A1337C">
        <w:rPr>
          <w:rFonts w:eastAsia="Calibri"/>
          <w:lang w:eastAsia="en-US"/>
        </w:rPr>
        <w:tab/>
        <w:t>Redând considerentele reținute de instanța supremă în decizia menționată la punctele 47-52, precum și dispozițiile art. 4 alin. 2 și 3, art. 14, art. 22 alin. 1, art. 29 alin. 3, art. 47 alin. 6 și art. 71 din Legea nr. 500/2002,, precum și ar</w:t>
      </w:r>
      <w:r w:rsidRPr="00A1337C">
        <w:rPr>
          <w:rFonts w:eastAsia="Calibri"/>
          <w:lang w:eastAsia="en-US"/>
        </w:rPr>
        <w:t>t. 1 din OG 22/2002 și art. 39 din OUG 114/2018, intimatul a arătat că din economia considerentelor și dispozițiilor legale citate re</w:t>
      </w:r>
      <w:r w:rsidRPr="00A1337C">
        <w:rPr>
          <w:rFonts w:eastAsia="Calibri"/>
          <w:lang w:eastAsia="en-US"/>
        </w:rPr>
        <w:t>zultă, în esență, că redistribuirea creditelor bugetare de către ordonatorul principal de credite se poate face doar dacă este prevăzută de lege;   ordonatorul principal de credite poate utiliza creditele bugetare numai în limita prevederilor și destinațiilor aprobate.</w:t>
      </w:r>
    </w:p>
    <w:p w:rsidRPr="00A1337C" w:rsidR="00A1337C" w:rsidP="00A1337C">
      <w:pPr>
        <w:spacing w:line="259" w:lineRule="auto"/>
        <w:jc w:val="both"/>
        <w:rPr>
          <w:rFonts w:eastAsia="Calibri"/>
          <w:lang w:eastAsia="en-US"/>
        </w:rPr>
      </w:pPr>
      <w:r w:rsidRPr="00A1337C">
        <w:rPr>
          <w:rFonts w:eastAsia="Calibri"/>
          <w:lang w:eastAsia="en-US"/>
        </w:rPr>
        <w:tab/>
        <w:t xml:space="preserve">De asemenea, în raport de dispozițiile art.39 din OUG 114/2018 executarea sentinței civile nr. </w:t>
      </w:r>
      <w:r w:rsidR="00164688">
        <w:rPr>
          <w:rFonts w:eastAsia="Calibri"/>
          <w:lang w:eastAsia="en-US"/>
        </w:rPr>
        <w:t xml:space="preserve">... </w:t>
      </w:r>
      <w:r w:rsidRPr="00A1337C">
        <w:rPr>
          <w:rFonts w:eastAsia="Calibri"/>
          <w:lang w:eastAsia="en-US"/>
        </w:rPr>
        <w:t xml:space="preserve">din 26.11.2020 a Tribunalului </w:t>
      </w:r>
      <w:r w:rsidR="00164688">
        <w:rPr>
          <w:rFonts w:eastAsia="Calibri"/>
          <w:lang w:eastAsia="en-US"/>
        </w:rPr>
        <w:t>...</w:t>
      </w:r>
      <w:r w:rsidRPr="00A1337C">
        <w:rPr>
          <w:rFonts w:eastAsia="Calibri"/>
          <w:lang w:eastAsia="en-US"/>
        </w:rPr>
        <w:t xml:space="preserve"> (prin care au fost acordate drepturi salariale), altf</w:t>
      </w:r>
      <w:r w:rsidRPr="00A1337C">
        <w:rPr>
          <w:rFonts w:eastAsia="Calibri"/>
          <w:lang w:eastAsia="en-US"/>
        </w:rPr>
        <w:t>el decât în condițiile art. 39 din O.U.G. nr.114/2018, este nelegală.</w:t>
      </w:r>
    </w:p>
    <w:p w:rsidRPr="00A1337C" w:rsidR="00A1337C" w:rsidP="00A1337C">
      <w:pPr>
        <w:spacing w:line="259" w:lineRule="auto"/>
        <w:ind w:firstLine="709"/>
        <w:jc w:val="both"/>
        <w:rPr>
          <w:rFonts w:eastAsia="Calibri"/>
          <w:lang w:eastAsia="en-US"/>
        </w:rPr>
      </w:pPr>
      <w:r w:rsidRPr="00A1337C">
        <w:rPr>
          <w:rFonts w:eastAsia="Calibri"/>
          <w:lang w:eastAsia="en-US"/>
        </w:rPr>
        <w:t>Conform art.79</w:t>
      </w:r>
      <w:r w:rsidRPr="00A1337C">
        <w:rPr>
          <w:rFonts w:eastAsia="Calibri"/>
          <w:vertAlign w:val="superscript"/>
          <w:lang w:eastAsia="en-US"/>
        </w:rPr>
        <w:t>1</w:t>
      </w:r>
      <w:r w:rsidRPr="00A1337C">
        <w:rPr>
          <w:rFonts w:eastAsia="Calibri"/>
          <w:lang w:eastAsia="en-US"/>
        </w:rPr>
        <w:t xml:space="preserve"> alin.1 și art. 80 alin. 2 din Legea nr. 304/2004, Direcția de Investigare a Infracțiunilor de Criminalitate Organizată și Terorism și Direcția Națională Anticorupție funcționează în cadrul Parchetului de pe lângă Înalta Curte de Casație și Justiție.</w:t>
      </w:r>
    </w:p>
    <w:p w:rsidRPr="00A1337C" w:rsidR="00A1337C" w:rsidP="00A1337C">
      <w:pPr>
        <w:spacing w:line="259" w:lineRule="auto"/>
        <w:jc w:val="both"/>
        <w:rPr>
          <w:rFonts w:eastAsia="Calibri"/>
          <w:lang w:eastAsia="en-US"/>
        </w:rPr>
      </w:pPr>
      <w:r w:rsidRPr="00A1337C">
        <w:rPr>
          <w:rFonts w:eastAsia="Calibri"/>
          <w:lang w:eastAsia="en-US"/>
        </w:rPr>
        <w:tab/>
        <w:t>Asimilarea salarizării procurorilor care își desfășoară activitatea în cadrul celor două Direcții cu cea a procurorilor din Parchetul de pe lângă Înalta Curte de Casație și Ju</w:t>
      </w:r>
      <w:r w:rsidRPr="00A1337C">
        <w:rPr>
          <w:rFonts w:eastAsia="Calibri"/>
          <w:lang w:eastAsia="en-US"/>
        </w:rPr>
        <w:t>stiție s-a făcut în urma obținerii de către primii a unei trepte ierarhice superioare și a unui grad profesional superior, prin interviul susținut în vederea numirii în structurile respective.</w:t>
      </w:r>
    </w:p>
    <w:p w:rsidRPr="00A1337C" w:rsidR="00A1337C" w:rsidP="00A1337C">
      <w:pPr>
        <w:spacing w:line="259" w:lineRule="auto"/>
        <w:jc w:val="both"/>
        <w:rPr>
          <w:rFonts w:eastAsia="Calibri"/>
          <w:lang w:eastAsia="en-US"/>
        </w:rPr>
      </w:pPr>
      <w:r w:rsidRPr="00A1337C">
        <w:rPr>
          <w:rFonts w:eastAsia="Calibri"/>
          <w:lang w:eastAsia="en-US"/>
        </w:rPr>
        <w:tab/>
        <w:t>În consecință, salarizarea procurorilor din D.I.I.C.O.T. și D.N.A. are la bază nivelul Parchetului de pe lângă Înalta Curte de Casație și Justiție.</w:t>
      </w:r>
    </w:p>
    <w:p w:rsidRPr="00A1337C" w:rsidR="00A1337C" w:rsidP="00A1337C">
      <w:pPr>
        <w:spacing w:line="259" w:lineRule="auto"/>
        <w:jc w:val="both"/>
        <w:rPr>
          <w:rFonts w:eastAsia="Calibri"/>
          <w:lang w:eastAsia="en-US"/>
        </w:rPr>
      </w:pPr>
      <w:r w:rsidRPr="00A1337C">
        <w:rPr>
          <w:rFonts w:eastAsia="Calibri"/>
          <w:lang w:eastAsia="en-US"/>
        </w:rPr>
        <w:tab/>
        <w:t>Procurorii din celelalte parchete, chiar dacă participă la ședințele de judecată în cauzele instrumentate de D.I.I.C.O.T. și D.N.A., nu efectuează și urmărirea penală, c</w:t>
      </w:r>
      <w:r w:rsidRPr="00A1337C">
        <w:rPr>
          <w:rFonts w:eastAsia="Calibri"/>
          <w:lang w:eastAsia="en-US"/>
        </w:rPr>
        <w:t>u caracteristicile și dificultățile specifice cauzelor de crimă organizată și terorism, respectiv de combatere a corupției.</w:t>
      </w:r>
    </w:p>
    <w:p w:rsidRPr="00A1337C" w:rsidR="00A1337C" w:rsidP="00A1337C">
      <w:pPr>
        <w:spacing w:line="259" w:lineRule="auto"/>
        <w:jc w:val="both"/>
        <w:rPr>
          <w:rFonts w:eastAsia="Calibri"/>
          <w:lang w:eastAsia="en-US"/>
        </w:rPr>
      </w:pPr>
      <w:r w:rsidRPr="00A1337C">
        <w:rPr>
          <w:rFonts w:eastAsia="Calibri"/>
          <w:lang w:eastAsia="en-US"/>
        </w:rPr>
        <w:tab/>
        <w:t>În atare condiții, argumentul invocat de reclamant, în sensul că salarizarea procurorilor din cadrul celor două Direcții are la bază doar criteriul apartenentei la un domeniu restrâns în realizarea justiției, respectiv specificul infracțiunilor, este nefondat.</w:t>
      </w:r>
    </w:p>
    <w:p w:rsidRPr="00A1337C" w:rsidR="00A1337C" w:rsidP="00A1337C">
      <w:pPr>
        <w:spacing w:line="259" w:lineRule="auto"/>
        <w:ind w:firstLine="709"/>
        <w:jc w:val="both"/>
        <w:rPr>
          <w:rFonts w:eastAsia="Calibri"/>
          <w:lang w:eastAsia="en-US"/>
        </w:rPr>
      </w:pPr>
      <w:r w:rsidRPr="00A1337C">
        <w:rPr>
          <w:rFonts w:eastAsia="Calibri"/>
          <w:lang w:eastAsia="en-US"/>
        </w:rPr>
        <w:t>În conformitate cu art. 36 alin. 1 lit. c C.p.p., „(1) Tribunalul judecă în primă instanță: c) infracțiunile cu privire la car</w:t>
      </w:r>
      <w:r w:rsidRPr="00A1337C">
        <w:rPr>
          <w:rFonts w:eastAsia="Calibri"/>
          <w:lang w:eastAsia="en-US"/>
        </w:rPr>
        <w:t>e urmărirea penali a fost efectuată de către Direcția de Investigare a Infracțiunilor de Criminalitate Organizată și Terorism sau Direcția Națională Anticorupție, dacă nu sunt date prin lege în competenta altor instanțe ierarhic superioare” .</w:t>
      </w:r>
    </w:p>
    <w:p w:rsidRPr="00A1337C" w:rsidR="00A1337C" w:rsidP="00A1337C">
      <w:pPr>
        <w:spacing w:line="259" w:lineRule="auto"/>
        <w:jc w:val="both"/>
        <w:rPr>
          <w:rFonts w:eastAsia="Calibri"/>
          <w:lang w:eastAsia="en-US"/>
        </w:rPr>
      </w:pPr>
      <w:r w:rsidRPr="00A1337C">
        <w:rPr>
          <w:rFonts w:eastAsia="Calibri"/>
          <w:lang w:eastAsia="en-US"/>
        </w:rPr>
        <w:tab/>
        <w:t>Întrucât procurorii care funcționează în cadrul parchetelor de pe lângă judecătorii nu participă la judecarea cauzelor privind infracțiunile la care se referă textul de lege citat, acestora nu li se poate acorda coeficientul de multiplicare 19.</w:t>
      </w:r>
    </w:p>
    <w:p w:rsidRPr="00A1337C" w:rsidR="00A1337C" w:rsidP="00A1337C">
      <w:pPr>
        <w:spacing w:line="259" w:lineRule="auto"/>
        <w:ind w:firstLine="709"/>
        <w:jc w:val="both"/>
        <w:rPr>
          <w:rFonts w:eastAsia="Calibri"/>
          <w:lang w:eastAsia="en-US"/>
        </w:rPr>
      </w:pPr>
      <w:r w:rsidRPr="00A1337C">
        <w:rPr>
          <w:rFonts w:eastAsia="Calibri"/>
          <w:lang w:eastAsia="en-US"/>
        </w:rPr>
        <w:t>Raportat la obiectul ce</w:t>
      </w:r>
      <w:r w:rsidRPr="00A1337C">
        <w:rPr>
          <w:rFonts w:eastAsia="Calibri"/>
          <w:lang w:eastAsia="en-US"/>
        </w:rPr>
        <w:t>rerii de chemare în judecată, trebuie avute în vedere dispozițiile Deciziilor nr. 818 - 821 din 03.07.2008 ale Curții Constituționale, publicate în M. Of. nr. 537 din 16.07.2008.</w:t>
      </w:r>
    </w:p>
    <w:p w:rsidRPr="00A1337C" w:rsidR="00A1337C" w:rsidP="00A1337C">
      <w:pPr>
        <w:spacing w:line="259" w:lineRule="auto"/>
        <w:jc w:val="both"/>
        <w:rPr>
          <w:rFonts w:eastAsia="Calibri"/>
          <w:lang w:eastAsia="en-US"/>
        </w:rPr>
      </w:pPr>
      <w:r w:rsidRPr="00A1337C">
        <w:rPr>
          <w:rFonts w:eastAsia="Calibri"/>
          <w:lang w:eastAsia="en-US"/>
        </w:rPr>
        <w:tab/>
        <w:t xml:space="preserve">Prin deciziile anterior menționate, instanța de contencios constituțional a constatat că prevederile art.1, art.2 alin.3 și art.27 alin.1 din O.G. nr.137/2000, republicată, sunt neconstituționale, în măsura în care din acestea se desprinde înțelesul că instanțele judecătorești au competența să anuleze ori să refuze aplicarea unor </w:t>
      </w:r>
      <w:r w:rsidRPr="00A1337C">
        <w:rPr>
          <w:rFonts w:eastAsia="Calibri"/>
          <w:lang w:eastAsia="en-US"/>
        </w:rPr>
        <w:t>acte normative cu putere de lege, considerând că sunt discriminatorii, și să le înlocuiască cu norme create pe cale judiciară sau cu prevederi cuprinse în alte acte normative.</w:t>
      </w:r>
    </w:p>
    <w:p w:rsidRPr="00A1337C" w:rsidR="00A1337C" w:rsidP="00A1337C">
      <w:pPr>
        <w:spacing w:line="259" w:lineRule="auto"/>
        <w:ind w:firstLine="709"/>
        <w:jc w:val="both"/>
        <w:rPr>
          <w:rFonts w:eastAsia="Calibri"/>
          <w:lang w:eastAsia="en-US"/>
        </w:rPr>
      </w:pPr>
      <w:r w:rsidRPr="00A1337C">
        <w:rPr>
          <w:rFonts w:eastAsia="Calibri"/>
          <w:lang w:eastAsia="en-US"/>
        </w:rPr>
        <w:t>Începând cu 01.01.2010, legiuitorul a instituit un nou sistem de salarizare, care a înlocuit reglementările anterioare, respectiv Legea 330/2009, din ale cărei prevederi (art. 1 alin. 2 și art. 5 alin. 1) rezultă că noile indemnizații de încadrare din sistemul justiției nu puteau fi decât cele prevăzute în Legea nr.330/2009, iar la ac</w:t>
      </w:r>
      <w:r w:rsidRPr="00A1337C">
        <w:rPr>
          <w:rFonts w:eastAsia="Calibri"/>
          <w:lang w:eastAsia="en-US"/>
        </w:rPr>
        <w:t>estea nu puteau fi adăugate decât sporurile, majorările și adaosurile acordate prin aceeași lege.</w:t>
      </w:r>
    </w:p>
    <w:p w:rsidRPr="00A1337C" w:rsidR="00A1337C" w:rsidP="00A1337C">
      <w:pPr>
        <w:spacing w:line="259" w:lineRule="auto"/>
        <w:jc w:val="both"/>
        <w:rPr>
          <w:rFonts w:eastAsia="Calibri"/>
          <w:lang w:eastAsia="en-US"/>
        </w:rPr>
      </w:pPr>
      <w:r w:rsidRPr="00A1337C">
        <w:rPr>
          <w:rFonts w:eastAsia="Calibri"/>
          <w:lang w:eastAsia="en-US"/>
        </w:rPr>
        <w:tab/>
        <w:t xml:space="preserve">Principiile avute în vedere la elaborarea Legii nr.330/2009 au fost menținute și în Legea nr. 284/2010, în vigoare de la 01.01.2011 și prin art. 1 alin. 3 din Legea nr. 153/2017, potrivit căruia „începând cu data intrării în vigoare a prezentei legi, drepturile salariale ale personalului prevăzut la alin. (1) sunt și rămân, în mod exclusiv, cele prevăzute în prezenta lege” </w:t>
      </w:r>
    </w:p>
    <w:p w:rsidRPr="00A1337C" w:rsidR="00A1337C" w:rsidP="00A1337C">
      <w:pPr>
        <w:spacing w:line="259" w:lineRule="auto"/>
        <w:jc w:val="both"/>
        <w:rPr>
          <w:rFonts w:eastAsia="Calibri"/>
          <w:lang w:eastAsia="en-US"/>
        </w:rPr>
      </w:pPr>
      <w:r w:rsidRPr="00A1337C">
        <w:rPr>
          <w:rFonts w:eastAsia="Calibri"/>
          <w:lang w:eastAsia="en-US"/>
        </w:rPr>
        <w:tab/>
        <w:t>Prin urmare, drepturile pretinse de</w:t>
      </w:r>
      <w:r w:rsidRPr="00A1337C">
        <w:rPr>
          <w:rFonts w:eastAsia="Calibri"/>
          <w:lang w:eastAsia="en-US"/>
        </w:rPr>
        <w:t xml:space="preserve"> reclamant nu se regăsesc printre cele prevăzute de actele normative incidente în materia salarizării magistraților în perioada 01.01.2010 la zi. Cu atât mai mult, respectivele drepturi nu pot fi acordate după intrarea în vigoare a Legii nr. 153/2017.</w:t>
      </w:r>
    </w:p>
    <w:p w:rsidRPr="00A1337C" w:rsidR="00A1337C" w:rsidP="00A1337C">
      <w:pPr>
        <w:spacing w:line="259" w:lineRule="auto"/>
        <w:ind w:firstLine="709"/>
        <w:jc w:val="both"/>
        <w:rPr>
          <w:rFonts w:eastAsia="Calibri"/>
          <w:lang w:eastAsia="en-US"/>
        </w:rPr>
      </w:pPr>
      <w:r w:rsidRPr="00A1337C">
        <w:rPr>
          <w:rFonts w:eastAsia="Calibri"/>
          <w:lang w:eastAsia="en-US"/>
        </w:rPr>
        <w:t>Promovarea judecătorilor și procurorilor, precum și a personalului asimilat acestora se realizează în conformitate cu dispozițiile art. 43 și urm. din Legea nr. 303/2004, republicată, cu modificările și completările ulterioare.</w:t>
      </w:r>
    </w:p>
    <w:p w:rsidRPr="00A1337C" w:rsidR="00A1337C" w:rsidP="00A1337C">
      <w:pPr>
        <w:spacing w:line="259" w:lineRule="auto"/>
        <w:jc w:val="both"/>
        <w:rPr>
          <w:rFonts w:eastAsia="Calibri"/>
          <w:lang w:eastAsia="en-US"/>
        </w:rPr>
      </w:pPr>
      <w:r w:rsidRPr="00A1337C">
        <w:rPr>
          <w:rFonts w:eastAsia="Calibri"/>
          <w:lang w:eastAsia="en-US"/>
        </w:rPr>
        <w:tab/>
        <w:t>La pct.1 și 2 ale notei de la l</w:t>
      </w:r>
      <w:r w:rsidRPr="00A1337C">
        <w:rPr>
          <w:rFonts w:eastAsia="Calibri"/>
          <w:lang w:eastAsia="en-US"/>
        </w:rPr>
        <w:t xml:space="preserve">it. B din cap. I al Anexei V a Legii nr.153/2017, cu modificările și completările ulterioare, se precizează că „1. Prin ”vechime în funcție", în sensul prezentului capitol, se înțelege vechimea în funcția de judecător, procuror, personal asimilat acestora, magistrat asistent sau auditor de justiție. 2. Promovarea procurorilor, a personalului asimilat acestora și a magistraților-asistenți se face doar prin examen sau concurs, în condițiile Legii nr. 303/2004 . </w:t>
      </w:r>
    </w:p>
    <w:p w:rsidRPr="00A1337C" w:rsidR="00A1337C" w:rsidP="00A1337C">
      <w:pPr>
        <w:spacing w:line="259" w:lineRule="auto"/>
        <w:jc w:val="both"/>
        <w:rPr>
          <w:rFonts w:eastAsia="Calibri"/>
          <w:lang w:eastAsia="en-US"/>
        </w:rPr>
      </w:pPr>
      <w:r w:rsidRPr="00A1337C">
        <w:rPr>
          <w:rFonts w:eastAsia="Calibri"/>
          <w:lang w:eastAsia="en-US"/>
        </w:rPr>
        <w:tab/>
        <w:t>În prezent, reclamanta nu deține gradul profes</w:t>
      </w:r>
      <w:r w:rsidRPr="00A1337C">
        <w:rPr>
          <w:rFonts w:eastAsia="Calibri"/>
          <w:lang w:eastAsia="en-US"/>
        </w:rPr>
        <w:t>ional corespunzător Parchetului de lângă Înalta Curte de Casație și Justiție.</w:t>
      </w:r>
    </w:p>
    <w:p w:rsidRPr="00A1337C" w:rsidR="00A1337C" w:rsidP="00A1337C">
      <w:pPr>
        <w:spacing w:line="259" w:lineRule="auto"/>
        <w:jc w:val="both"/>
        <w:rPr>
          <w:rFonts w:eastAsia="Calibri"/>
          <w:lang w:eastAsia="en-US"/>
        </w:rPr>
      </w:pPr>
      <w:r w:rsidRPr="00A1337C">
        <w:rPr>
          <w:rFonts w:eastAsia="Calibri"/>
          <w:lang w:eastAsia="en-US"/>
        </w:rPr>
        <w:tab/>
        <w:t>Așadar, indemnizația de încadrare a reclamantului nu poate fi recalculată prin raportare la coeficientul de multiplicare 19, aferent gradului profesional corespunzător Parchetului de lângă Înalta Curte de Casație și Justiție.</w:t>
      </w:r>
    </w:p>
    <w:p w:rsidRPr="00A1337C" w:rsidR="00A1337C" w:rsidP="00A1337C">
      <w:pPr>
        <w:spacing w:line="259" w:lineRule="auto"/>
        <w:jc w:val="both"/>
        <w:rPr>
          <w:rFonts w:eastAsia="Calibri"/>
          <w:lang w:eastAsia="en-US"/>
        </w:rPr>
      </w:pPr>
      <w:r w:rsidRPr="00A1337C">
        <w:rPr>
          <w:rFonts w:eastAsia="Calibri"/>
          <w:lang w:eastAsia="en-US"/>
        </w:rPr>
        <w:tab/>
        <w:t>Citând dispozițiile art. 1 alin. 51 din O.U.G. nr. 83/2014 și  art. 3</w:t>
      </w:r>
      <w:r w:rsidRPr="00A1337C">
        <w:rPr>
          <w:rFonts w:eastAsia="Calibri"/>
          <w:vertAlign w:val="superscript"/>
          <w:lang w:eastAsia="en-US"/>
        </w:rPr>
        <w:t>1</w:t>
      </w:r>
      <w:r w:rsidRPr="00A1337C">
        <w:rPr>
          <w:rFonts w:eastAsia="Calibri"/>
          <w:lang w:eastAsia="en-US"/>
        </w:rPr>
        <w:t xml:space="preserve"> alin. 1</w:t>
      </w:r>
      <w:r w:rsidRPr="00A1337C">
        <w:rPr>
          <w:rFonts w:eastAsia="Calibri"/>
          <w:vertAlign w:val="superscript"/>
          <w:lang w:eastAsia="en-US"/>
        </w:rPr>
        <w:t>3</w:t>
      </w:r>
      <w:r w:rsidRPr="00A1337C">
        <w:rPr>
          <w:rFonts w:eastAsia="Calibri"/>
          <w:lang w:eastAsia="en-US"/>
        </w:rPr>
        <w:t xml:space="preserve">  din O.U.G. nr. 57/2015, intimatul arată că la data intrării în vigoare a Legii nr. 71/2015, nivelul maxim al indemnizațiilor </w:t>
      </w:r>
      <w:r w:rsidRPr="00A1337C">
        <w:rPr>
          <w:rFonts w:eastAsia="Calibri"/>
          <w:lang w:eastAsia="en-US"/>
        </w:rPr>
        <w:t>de încadrare aflate în plăți nu cuprindea și drepturile pretinse de reclamant.</w:t>
      </w:r>
    </w:p>
    <w:p w:rsidRPr="00A1337C" w:rsidR="00A1337C" w:rsidP="00A1337C">
      <w:pPr>
        <w:spacing w:line="259" w:lineRule="auto"/>
        <w:ind w:firstLine="709"/>
        <w:jc w:val="both"/>
        <w:rPr>
          <w:rFonts w:eastAsia="Calibri"/>
          <w:lang w:eastAsia="en-US"/>
        </w:rPr>
      </w:pPr>
      <w:r w:rsidRPr="00A1337C">
        <w:rPr>
          <w:rFonts w:eastAsia="Calibri"/>
          <w:lang w:eastAsia="en-US"/>
        </w:rPr>
        <w:t>În considerentele Deciziei nr.289 din 07.06.2005, publicată în M.Of. nr.586 din 07.07.2005, Curtea Constituțională a reținut că „legiuitorul este în drept să modifice sistemul de salarizare existent ori să îl înlocuiască cu altul nou, considerat mai adecvat pentru atingerea scopului urmărit, ținând seama și de resursele financiare disponibile în diferite perioade de timp”.</w:t>
      </w:r>
    </w:p>
    <w:p w:rsidRPr="00A1337C" w:rsidR="00A1337C" w:rsidP="00A1337C">
      <w:pPr>
        <w:spacing w:line="259" w:lineRule="auto"/>
        <w:ind w:firstLine="709"/>
        <w:jc w:val="both"/>
        <w:rPr>
          <w:rFonts w:eastAsia="Calibri"/>
          <w:lang w:eastAsia="en-US"/>
        </w:rPr>
      </w:pPr>
      <w:r w:rsidRPr="00A1337C">
        <w:rPr>
          <w:rFonts w:eastAsia="Calibri"/>
          <w:lang w:eastAsia="en-US"/>
        </w:rPr>
        <w:t>Totodată, instanța de contencios constituțional a statuat</w:t>
      </w:r>
      <w:r w:rsidRPr="00A1337C">
        <w:rPr>
          <w:rFonts w:eastAsia="Calibri"/>
          <w:lang w:eastAsia="en-US"/>
        </w:rPr>
        <w:t xml:space="preserve"> că „sporurile, premiile și alte stimulente acordate demnitarilor și altor salariați prin acte normative reprezintă drepturi salariale suplimentare, iar nu drepturi fundamentale, consacrate și garantate de Constituție. Diferențierea indemnizațiilor și a salariilor de bază pentru demnitari și alţi salariați din sectorul bugetar este opțiunea liberă a legiuitorului, ținând seama de importanta și complexitatea diferitelor funcții. Legiuitorul este în drept, totodată, să instituie anumite sporuri la indemnizați</w:t>
      </w:r>
      <w:r w:rsidRPr="00A1337C">
        <w:rPr>
          <w:rFonts w:eastAsia="Calibri"/>
          <w:lang w:eastAsia="en-US"/>
        </w:rPr>
        <w:t>ile și salariile de bază, premii periodice și alte stimulente, pe care le poate diferenția în funcție de categoriile de personal cărora li se acordă, le poate modifica în diferite perioade de timp, le poate suspenda sau chiar anula” (Decizia nr. 693 din 17.10.2006).</w:t>
      </w:r>
    </w:p>
    <w:p w:rsidRPr="00A1337C" w:rsidR="00A1337C" w:rsidP="00A1337C">
      <w:pPr>
        <w:spacing w:line="259" w:lineRule="auto"/>
        <w:jc w:val="both"/>
        <w:rPr>
          <w:rFonts w:eastAsia="Calibri"/>
          <w:lang w:eastAsia="en-US"/>
        </w:rPr>
      </w:pPr>
      <w:r w:rsidRPr="00A1337C">
        <w:rPr>
          <w:rFonts w:eastAsia="Calibri"/>
          <w:lang w:eastAsia="en-US"/>
        </w:rPr>
        <w:tab/>
        <w:t>În jurisprudența sa, C.E.D.O. a reținut că „este la latitudinea statului să determine ce sume vor fi plătite angajaților săi din bugetul de stat. Statul poate introduce, suspenda sau anula plata unor asemenea sporuri, făcând modificările legisl</w:t>
      </w:r>
      <w:r w:rsidRPr="00A1337C">
        <w:rPr>
          <w:rFonts w:eastAsia="Calibri"/>
          <w:lang w:eastAsia="en-US"/>
        </w:rPr>
        <w:t>ative necesare” (Hot. pron. în cauza Kechko c. Ucrainei).</w:t>
      </w:r>
    </w:p>
    <w:p w:rsidRPr="00A1337C" w:rsidR="00A1337C" w:rsidP="00A1337C">
      <w:pPr>
        <w:spacing w:line="259" w:lineRule="auto"/>
        <w:jc w:val="both"/>
        <w:rPr>
          <w:rFonts w:eastAsia="Calibri"/>
          <w:lang w:eastAsia="en-US"/>
        </w:rPr>
      </w:pPr>
      <w:r w:rsidRPr="00A1337C">
        <w:rPr>
          <w:rFonts w:eastAsia="Calibri"/>
          <w:lang w:eastAsia="en-US"/>
        </w:rPr>
        <w:tab/>
        <w:t>De asemenea, aceeași instanță a stabilit că „statul se bucură de o largă marjă de apreciere pentru a determina oportunitatea și intensitatea politicilor sale în acest domeniu. Curtea a constatat că nu este rolul său de a verifica în ce măsura existau soluții legislative mai adecvate pentru atingerea obiectivului de interes public urmărit” (hot. pron. în cauza Wieczorek c. Poloniei).</w:t>
      </w:r>
    </w:p>
    <w:p w:rsidRPr="00A1337C" w:rsidR="00A1337C" w:rsidP="00A1337C">
      <w:pPr>
        <w:spacing w:line="259" w:lineRule="auto"/>
        <w:jc w:val="both"/>
        <w:rPr>
          <w:rFonts w:eastAsia="Calibri"/>
          <w:lang w:eastAsia="en-US"/>
        </w:rPr>
      </w:pPr>
      <w:r w:rsidRPr="00A1337C">
        <w:rPr>
          <w:rFonts w:eastAsia="Calibri"/>
          <w:lang w:eastAsia="en-US"/>
        </w:rPr>
        <w:tab/>
        <w:t>Toate aceste statuări ale Curții Constituționale și ale Curții Eur</w:t>
      </w:r>
      <w:r w:rsidRPr="00A1337C">
        <w:rPr>
          <w:rFonts w:eastAsia="Calibri"/>
          <w:lang w:eastAsia="en-US"/>
        </w:rPr>
        <w:t>opene a Drepturilor Omului sunt aplicabile, mutatis mutandis, și în prezenta cauză.</w:t>
      </w:r>
    </w:p>
    <w:p w:rsidRPr="00A1337C" w:rsidR="00A1337C" w:rsidP="00A1337C">
      <w:pPr>
        <w:spacing w:line="259" w:lineRule="auto"/>
        <w:jc w:val="both"/>
        <w:rPr>
          <w:rFonts w:eastAsia="Calibri"/>
          <w:lang w:eastAsia="en-US"/>
        </w:rPr>
      </w:pPr>
      <w:r w:rsidRPr="00A1337C">
        <w:rPr>
          <w:rFonts w:eastAsia="Calibri"/>
          <w:lang w:eastAsia="en-US"/>
        </w:rPr>
        <w:tab/>
        <w:t>Față de cele arătate, a solicitat admiterea excepției prescripției dreptului material la acțiune pentru pretențiile anterioare datei de 25.11.2018 și respingerea acțiunii pentru această perioadă, ca prescrisă;   respingerea acțiunii ca neîntemeiată.</w:t>
      </w:r>
    </w:p>
    <w:p w:rsidRPr="00A1337C" w:rsidR="00A1337C" w:rsidP="00A1337C">
      <w:pPr>
        <w:spacing w:line="259" w:lineRule="auto"/>
        <w:ind w:firstLine="709"/>
        <w:jc w:val="both"/>
        <w:rPr>
          <w:b/>
          <w:bCs/>
          <w:i/>
          <w:iCs/>
        </w:rPr>
      </w:pPr>
      <w:r w:rsidRPr="00A1337C">
        <w:rPr>
          <w:b/>
          <w:bCs/>
          <w:i/>
          <w:iCs/>
        </w:rPr>
        <w:t>Analizând actele și lucrările dosarului, Curtea reține următoarele:</w:t>
      </w:r>
    </w:p>
    <w:p w:rsidRPr="00A1337C" w:rsidR="00A1337C" w:rsidP="00A1337C">
      <w:pPr>
        <w:spacing w:line="259" w:lineRule="auto"/>
        <w:ind w:firstLine="709"/>
        <w:jc w:val="both"/>
        <w:rPr>
          <w:bCs/>
          <w:iCs/>
        </w:rPr>
      </w:pPr>
      <w:r w:rsidRPr="00A1337C">
        <w:rPr>
          <w:bCs/>
          <w:iCs/>
        </w:rPr>
        <w:t>Prin acțiunea ce face obiectul prezentei cauze, reclamanta</w:t>
      </w:r>
      <w:r w:rsidRPr="00A1337C">
        <w:t xml:space="preserve"> </w:t>
      </w:r>
      <w:r w:rsidRPr="00164688" w:rsidR="00164688">
        <w:rPr>
          <w:b/>
          <w:bCs/>
        </w:rPr>
        <w:t>X</w:t>
      </w:r>
      <w:r w:rsidRPr="00A1337C">
        <w:t xml:space="preserve">, procuror in cadrul </w:t>
      </w:r>
      <w:r w:rsidRPr="00A1337C">
        <w:rPr>
          <w:rFonts w:eastAsia="Calibri"/>
          <w:lang w:eastAsia="en-US"/>
        </w:rPr>
        <w:t>Parchetul de pe lângă Tribun</w:t>
      </w:r>
      <w:r w:rsidRPr="00A1337C">
        <w:rPr>
          <w:rFonts w:eastAsia="Calibri"/>
          <w:lang w:eastAsia="en-US"/>
        </w:rPr>
        <w:t xml:space="preserve">alul </w:t>
      </w:r>
      <w:r w:rsidR="00164688">
        <w:rPr>
          <w:rFonts w:eastAsia="Calibri"/>
          <w:lang w:eastAsia="en-US"/>
        </w:rPr>
        <w:t>...</w:t>
      </w:r>
      <w:r w:rsidRPr="00A1337C">
        <w:t xml:space="preserve">, a solicitat </w:t>
      </w:r>
      <w:r w:rsidRPr="00A1337C">
        <w:rPr>
          <w:rFonts w:eastAsia="Calibri"/>
          <w:lang w:eastAsia="en-US"/>
        </w:rPr>
        <w:t xml:space="preserve">obligarea paratului Parchetul de pe lângă Înalta Curte de Casație şi Justiție, la emiterea </w:t>
      </w:r>
      <w:r w:rsidRPr="00A1337C">
        <w:t xml:space="preserve">unui nou </w:t>
      </w:r>
      <w:r w:rsidRPr="00A1337C">
        <w:rPr>
          <w:rFonts w:eastAsia="Calibri"/>
          <w:lang w:eastAsia="en-US"/>
        </w:rPr>
        <w:t xml:space="preserve"> ordin de încadrare, în care indemnizația de încadrare să fie stabilită, conform Legii nr.71/2015 și a OUG nr. 20/2016, începând cu data de 18.11.2016 şi în continuare, şi după intrarea în vigoare a Legii cadru de salarizare nr.153/2017, luând în considerare coeficienții de multiplicare 19,000 - 23,000 prevăzuți în Anexa I lit. A, punctele 6-13 din OUG 27/2006 ( diferențe de drepturi sal</w:t>
      </w:r>
      <w:r w:rsidRPr="00A1337C">
        <w:rPr>
          <w:rFonts w:eastAsia="Calibri"/>
          <w:lang w:eastAsia="en-US"/>
        </w:rPr>
        <w:t>ariale în raport de indemnizațiile procurorilor DNA şi DIICOT).</w:t>
      </w:r>
      <w:r w:rsidRPr="00A1337C">
        <w:rPr>
          <w:bCs/>
          <w:iCs/>
        </w:rPr>
        <w:t xml:space="preserve"> </w:t>
      </w:r>
    </w:p>
    <w:p w:rsidRPr="00A1337C" w:rsidR="00A1337C" w:rsidP="00A1337C">
      <w:pPr>
        <w:spacing w:line="259" w:lineRule="auto"/>
        <w:ind w:firstLine="709"/>
        <w:jc w:val="both"/>
        <w:rPr>
          <w:rFonts w:eastAsia="Calibri"/>
          <w:lang w:eastAsia="en-US"/>
        </w:rPr>
      </w:pPr>
      <w:r w:rsidRPr="00A1337C">
        <w:rPr>
          <w:bCs/>
          <w:iCs/>
        </w:rPr>
        <w:t xml:space="preserve">Prin </w:t>
      </w:r>
      <w:r w:rsidRPr="00A1337C">
        <w:rPr>
          <w:rFonts w:eastAsia="Calibri"/>
          <w:lang w:eastAsia="en-US"/>
        </w:rPr>
        <w:t xml:space="preserve">Sentința civila nr. </w:t>
      </w:r>
      <w:r w:rsidR="00164688">
        <w:rPr>
          <w:rFonts w:eastAsia="Calibri"/>
          <w:lang w:eastAsia="en-US"/>
        </w:rPr>
        <w:t>...</w:t>
      </w:r>
      <w:r w:rsidRPr="00A1337C">
        <w:rPr>
          <w:rFonts w:eastAsia="Calibri"/>
          <w:lang w:eastAsia="en-US"/>
        </w:rPr>
        <w:t xml:space="preserve">/ 21.09. 2020 pronunțata de Tribunalul </w:t>
      </w:r>
      <w:r w:rsidR="00164688">
        <w:rPr>
          <w:rFonts w:eastAsia="Calibri"/>
          <w:lang w:eastAsia="en-US"/>
        </w:rPr>
        <w:t>...</w:t>
      </w:r>
      <w:r w:rsidRPr="00A1337C">
        <w:rPr>
          <w:rFonts w:eastAsia="Calibri"/>
          <w:lang w:eastAsia="en-US"/>
        </w:rPr>
        <w:t xml:space="preserve">, în dosarul nr. </w:t>
      </w:r>
      <w:r w:rsidR="00164688">
        <w:rPr>
          <w:rFonts w:eastAsia="Calibri"/>
          <w:lang w:eastAsia="en-US"/>
        </w:rPr>
        <w:t>...</w:t>
      </w:r>
      <w:r w:rsidRPr="00A1337C">
        <w:rPr>
          <w:rFonts w:eastAsia="Calibri"/>
          <w:lang w:eastAsia="en-US"/>
        </w:rPr>
        <w:t>, definitivă prin Decizia nr.</w:t>
      </w:r>
      <w:r w:rsidR="00164688">
        <w:rPr>
          <w:rFonts w:eastAsia="Calibri"/>
          <w:lang w:eastAsia="en-US"/>
        </w:rPr>
        <w:t>...</w:t>
      </w:r>
      <w:r w:rsidRPr="00A1337C">
        <w:rPr>
          <w:rFonts w:eastAsia="Calibri"/>
          <w:lang w:eastAsia="en-US"/>
        </w:rPr>
        <w:t xml:space="preserve"> 19.05.2021 a Curții de Apel </w:t>
      </w:r>
      <w:r w:rsidR="00164688">
        <w:rPr>
          <w:rFonts w:eastAsia="Calibri"/>
          <w:lang w:eastAsia="en-US"/>
        </w:rPr>
        <w:t>...</w:t>
      </w:r>
      <w:r w:rsidRPr="00A1337C">
        <w:rPr>
          <w:rFonts w:eastAsia="Calibri"/>
          <w:lang w:eastAsia="en-US"/>
        </w:rPr>
        <w:t xml:space="preserve">, </w:t>
      </w:r>
      <w:r w:rsidRPr="00A1337C">
        <w:t xml:space="preserve">a fost admisa in parte acțiunea formulata de reclamant, </w:t>
      </w:r>
      <w:r w:rsidRPr="00A1337C">
        <w:rPr>
          <w:rFonts w:eastAsia="Calibri"/>
          <w:lang w:eastAsia="en-US"/>
        </w:rPr>
        <w:t>a fost obligat pârâtul Parchetul de pe lângă Înalta Curte de Casație și Justiție la recalcularea indemnizației de încadrare a reclamantei, începând cu 18.11.2016 și în continuare, luând în considerare coeficientul de multiplicare 19,00</w:t>
      </w:r>
      <w:r w:rsidRPr="00A1337C">
        <w:rPr>
          <w:rFonts w:eastAsia="Calibri"/>
          <w:lang w:eastAsia="en-US"/>
        </w:rPr>
        <w:t>.</w:t>
      </w:r>
    </w:p>
    <w:p w:rsidRPr="00A1337C" w:rsidR="00A1337C" w:rsidP="00A1337C">
      <w:pPr>
        <w:spacing w:line="259" w:lineRule="auto"/>
        <w:ind w:firstLine="709"/>
        <w:jc w:val="both"/>
        <w:rPr>
          <w:rFonts w:eastAsia="Calibri"/>
          <w:lang w:eastAsia="en-US"/>
        </w:rPr>
      </w:pPr>
      <w:r w:rsidRPr="00A1337C">
        <w:rPr>
          <w:rFonts w:eastAsia="Calibri"/>
          <w:lang w:eastAsia="en-US"/>
        </w:rPr>
        <w:t>De asemenea, a fost obligat pârâtul la plata către reclamantă a diferențelor salariale rezultate dintre noua indemnizație de încadrare și indemnizația actuală de încadrare, începând cu 18.11.2016 și în continuare, sumă ce va fi actualizată cu indicele de inflație și la care se va aplica dobânda legală penalizatoare, până la data plății efective.</w:t>
      </w:r>
    </w:p>
    <w:p w:rsidRPr="00A1337C" w:rsidR="00A1337C" w:rsidP="00A1337C">
      <w:pPr>
        <w:spacing w:line="259" w:lineRule="auto"/>
        <w:ind w:firstLine="709"/>
        <w:jc w:val="both"/>
        <w:rPr>
          <w:rFonts w:eastAsia="Calibri"/>
          <w:lang w:eastAsia="en-US"/>
        </w:rPr>
      </w:pPr>
      <w:r w:rsidRPr="00A1337C">
        <w:rPr>
          <w:bCs/>
          <w:iCs/>
        </w:rPr>
        <w:t xml:space="preserve">Din actele cauzei, rezulta ca, prin cererea formulata la data de 28.05.2021, reclamanta a solicitat paratului, </w:t>
      </w:r>
      <w:r w:rsidRPr="00A1337C">
        <w:rPr>
          <w:rFonts w:eastAsia="Calibri"/>
          <w:lang w:eastAsia="en-US"/>
        </w:rPr>
        <w:t>Parchetul de pe lângă Înalta Curte de Casație și Ju</w:t>
      </w:r>
      <w:r w:rsidRPr="00A1337C">
        <w:rPr>
          <w:rFonts w:eastAsia="Calibri"/>
          <w:lang w:eastAsia="en-US"/>
        </w:rPr>
        <w:t>stiție,</w:t>
      </w:r>
      <w:r w:rsidRPr="00A1337C">
        <w:rPr>
          <w:bCs/>
          <w:iCs/>
        </w:rPr>
        <w:t xml:space="preserve"> punerea în executare a sentinţei civile nr.541/2020 în sensul recalculării </w:t>
      </w:r>
      <w:r w:rsidRPr="00A1337C">
        <w:rPr>
          <w:rFonts w:eastAsia="Calibri"/>
          <w:lang w:eastAsia="en-US"/>
        </w:rPr>
        <w:t>indemnizației de încadrare luând în considerare coeficientul de multiplicare 19,000 începând cu data de 18.11.2016.</w:t>
      </w:r>
    </w:p>
    <w:p w:rsidRPr="00A1337C" w:rsidR="00A1337C" w:rsidP="00A1337C">
      <w:pPr>
        <w:spacing w:line="259" w:lineRule="auto"/>
        <w:ind w:firstLine="709"/>
        <w:jc w:val="both"/>
        <w:rPr>
          <w:rFonts w:eastAsia="Calibri"/>
          <w:lang w:eastAsia="en-US"/>
        </w:rPr>
      </w:pPr>
      <w:r w:rsidRPr="00A1337C">
        <w:rPr>
          <w:rFonts w:eastAsia="Calibri"/>
          <w:lang w:eastAsia="en-US"/>
        </w:rPr>
        <w:t>Prin adresa nr.</w:t>
      </w:r>
      <w:r w:rsidR="00164688">
        <w:rPr>
          <w:rFonts w:eastAsia="Calibri"/>
          <w:lang w:eastAsia="en-US"/>
        </w:rPr>
        <w:t>...</w:t>
      </w:r>
      <w:r w:rsidRPr="00A1337C">
        <w:rPr>
          <w:rFonts w:eastAsia="Calibri"/>
          <w:lang w:eastAsia="en-US"/>
        </w:rPr>
        <w:t xml:space="preserve">/2021, pârâtul a comunicat reclamantei refuzul recalculării întrucât în sarcina sa nu exista obligaţia emiterii unui act administrativ, ci doar recalcularea şi plata diferenţei unor drepturi salariale. </w:t>
      </w:r>
    </w:p>
    <w:p w:rsidRPr="00A1337C" w:rsidR="00A1337C" w:rsidP="00A1337C">
      <w:pPr>
        <w:tabs>
          <w:tab w:val="left" w:pos="900"/>
        </w:tabs>
        <w:ind w:firstLine="567"/>
        <w:jc w:val="both"/>
        <w:rPr>
          <w:color w:val="000000"/>
        </w:rPr>
      </w:pPr>
      <w:r w:rsidRPr="00A1337C">
        <w:rPr>
          <w:i/>
          <w:iCs/>
          <w:color w:val="000000"/>
        </w:rPr>
        <w:t>Analizând cu precădere, potrivit art. 248 Cod procedură civilă, excepția prescripției dreptu</w:t>
      </w:r>
      <w:r w:rsidRPr="00A1337C">
        <w:rPr>
          <w:i/>
          <w:iCs/>
          <w:color w:val="000000"/>
        </w:rPr>
        <w:t xml:space="preserve">lui material la acțiune </w:t>
      </w:r>
      <w:r w:rsidRPr="00A1337C">
        <w:rPr>
          <w:rFonts w:eastAsia="Calibri"/>
          <w:i/>
          <w:iCs/>
          <w:lang w:eastAsia="en-US"/>
        </w:rPr>
        <w:t>pentru pretențiile anterioare datei de 25.11.2018</w:t>
      </w:r>
      <w:r w:rsidRPr="00A1337C">
        <w:rPr>
          <w:rFonts w:eastAsia="Calibri"/>
          <w:lang w:eastAsia="en-US"/>
        </w:rPr>
        <w:t xml:space="preserve">, </w:t>
      </w:r>
      <w:r w:rsidRPr="00A1337C">
        <w:rPr>
          <w:color w:val="000000"/>
        </w:rPr>
        <w:t>invocata în raport cu prevederile art.2500 și art.2517 Cod Civil., Curtea constata ca aceasta este nefondată si urmează a o respinge, av</w:t>
      </w:r>
      <w:r w:rsidRPr="00A1337C">
        <w:rPr>
          <w:color w:val="000000"/>
          <w:lang w:val="ro-MD"/>
        </w:rPr>
        <w:t>â</w:t>
      </w:r>
      <w:r w:rsidRPr="00A1337C">
        <w:rPr>
          <w:color w:val="000000"/>
        </w:rPr>
        <w:t>nd in vedere că prin prezenta acțiune, nu se solicita obligarea  pârâtului la plata unor drepturi salariale pentru a fi aplicabile prevederile Codului Civil in materia prescripției extinctive.</w:t>
      </w:r>
    </w:p>
    <w:p w:rsidRPr="00A1337C" w:rsidR="00A1337C" w:rsidP="00A1337C">
      <w:pPr>
        <w:tabs>
          <w:tab w:val="left" w:pos="900"/>
        </w:tabs>
        <w:ind w:firstLine="567"/>
        <w:jc w:val="both"/>
        <w:rPr>
          <w:color w:val="000000"/>
        </w:rPr>
      </w:pPr>
      <w:r w:rsidRPr="00A1337C">
        <w:t xml:space="preserve">Obligația la recalcularea indemnizației de încadrare și a celorlalte drepturi aferente si la plata acestor </w:t>
      </w:r>
      <w:r w:rsidRPr="00A1337C">
        <w:t xml:space="preserve">drepturi salariale, </w:t>
      </w:r>
      <w:r w:rsidRPr="00A1337C">
        <w:rPr>
          <w:rFonts w:eastAsia="Calibri"/>
          <w:lang w:eastAsia="en-US"/>
        </w:rPr>
        <w:t xml:space="preserve">luând în considerare coeficientul de multiplicare 19,00, </w:t>
      </w:r>
      <w:r w:rsidRPr="00A1337C">
        <w:rPr>
          <w:color w:val="000000"/>
        </w:rPr>
        <w:t>a fost dedusă deja judecății în dosarul nr.</w:t>
      </w:r>
      <w:r w:rsidR="00164688">
        <w:rPr>
          <w:rFonts w:eastAsia="Calibri"/>
          <w:lang w:eastAsia="en-US"/>
        </w:rPr>
        <w:t>...</w:t>
      </w:r>
      <w:r w:rsidRPr="00A1337C">
        <w:rPr>
          <w:rFonts w:eastAsia="Calibri"/>
          <w:lang w:eastAsia="en-US"/>
        </w:rPr>
        <w:t xml:space="preserve"> </w:t>
      </w:r>
      <w:r w:rsidRPr="00A1337C">
        <w:t xml:space="preserve">al Tribunalului </w:t>
      </w:r>
      <w:r w:rsidR="00164688">
        <w:t>...</w:t>
      </w:r>
      <w:r w:rsidRPr="00A1337C">
        <w:rPr>
          <w:color w:val="000000"/>
        </w:rPr>
        <w:t xml:space="preserve">, fiind pronunțată </w:t>
      </w:r>
      <w:r w:rsidRPr="00A1337C">
        <w:t>sentința definitiva nr.</w:t>
      </w:r>
      <w:r w:rsidR="00164688">
        <w:t>...</w:t>
      </w:r>
      <w:r w:rsidRPr="00A1337C">
        <w:rPr>
          <w:rFonts w:eastAsia="Calibri"/>
          <w:lang w:eastAsia="en-US"/>
        </w:rPr>
        <w:t>/21.09.2020</w:t>
      </w:r>
      <w:r w:rsidRPr="00A1337C">
        <w:t xml:space="preserve">, însă </w:t>
      </w:r>
      <w:r w:rsidRPr="00A1337C">
        <w:rPr>
          <w:color w:val="000000"/>
        </w:rPr>
        <w:t>prin acțiunea prezentă se solicită emiterea unui nou ordin de salarizare care să corespundă drepturilor salariale deja stabilite cu autoritate de lucru judecat prin sentința sus menționata.</w:t>
      </w:r>
    </w:p>
    <w:p w:rsidRPr="00A1337C" w:rsidR="00A1337C" w:rsidP="00A1337C">
      <w:pPr>
        <w:tabs>
          <w:tab w:val="left" w:pos="900"/>
        </w:tabs>
        <w:ind w:firstLine="567"/>
        <w:jc w:val="both"/>
        <w:rPr>
          <w:color w:val="000000"/>
        </w:rPr>
      </w:pPr>
      <w:r w:rsidRPr="00A1337C">
        <w:rPr>
          <w:color w:val="000000"/>
        </w:rPr>
        <w:t>Prin urmare, Curtea va respinge excepția prescripției în raport cu temeiurile invocate de pârât prin întâmpinare, ca</w:t>
      </w:r>
      <w:r w:rsidRPr="00A1337C">
        <w:rPr>
          <w:color w:val="000000"/>
        </w:rPr>
        <w:t xml:space="preserve"> neîntemeiată. </w:t>
      </w:r>
    </w:p>
    <w:p w:rsidRPr="00A1337C" w:rsidR="00A1337C" w:rsidP="00A1337C">
      <w:pPr>
        <w:spacing w:line="259" w:lineRule="auto"/>
        <w:ind w:firstLine="709"/>
        <w:jc w:val="both"/>
        <w:rPr>
          <w:rFonts w:eastAsia="Calibri"/>
          <w:lang w:eastAsia="en-US"/>
        </w:rPr>
      </w:pPr>
      <w:r w:rsidRPr="00A1337C">
        <w:rPr>
          <w:color w:val="000000"/>
        </w:rPr>
        <w:t>In ceea ce privește fondul cauzei, Curtea retine ca, prin</w:t>
      </w:r>
      <w:r w:rsidRPr="00A1337C">
        <w:rPr>
          <w:b/>
          <w:color w:val="000000"/>
        </w:rPr>
        <w:t xml:space="preserve"> </w:t>
      </w:r>
      <w:r w:rsidRPr="00A1337C">
        <w:t>Sentința definitiva</w:t>
      </w:r>
      <w:r w:rsidRPr="00A1337C">
        <w:rPr>
          <w:rFonts w:eastAsia="Calibri"/>
          <w:lang w:eastAsia="en-US"/>
        </w:rPr>
        <w:t xml:space="preserve"> nr. </w:t>
      </w:r>
      <w:r w:rsidR="00164688">
        <w:rPr>
          <w:rFonts w:eastAsia="Calibri"/>
          <w:lang w:eastAsia="en-US"/>
        </w:rPr>
        <w:t>....</w:t>
      </w:r>
      <w:r w:rsidRPr="00A1337C">
        <w:rPr>
          <w:rFonts w:eastAsia="Calibri"/>
          <w:lang w:eastAsia="en-US"/>
        </w:rPr>
        <w:t xml:space="preserve">/21.09.2020 pronunțata de Tribunalul </w:t>
      </w:r>
      <w:r w:rsidR="00164688">
        <w:rPr>
          <w:rFonts w:eastAsia="Calibri"/>
          <w:lang w:eastAsia="en-US"/>
        </w:rPr>
        <w:t>...</w:t>
      </w:r>
      <w:r w:rsidRPr="00A1337C">
        <w:rPr>
          <w:rFonts w:eastAsia="Calibri"/>
          <w:lang w:eastAsia="en-US"/>
        </w:rPr>
        <w:t xml:space="preserve">, în dosarul nr. </w:t>
      </w:r>
      <w:r w:rsidR="00164688">
        <w:rPr>
          <w:rFonts w:eastAsia="Calibri"/>
          <w:lang w:eastAsia="en-US"/>
        </w:rPr>
        <w:t>...</w:t>
      </w:r>
      <w:r w:rsidRPr="00A1337C">
        <w:rPr>
          <w:rFonts w:eastAsia="Calibri"/>
          <w:lang w:eastAsia="en-US"/>
        </w:rPr>
        <w:t xml:space="preserve">, </w:t>
      </w:r>
      <w:r w:rsidRPr="00A1337C">
        <w:t xml:space="preserve">a fost admisa în parte acțiunea formulata de reclamantă în contradictoriu cu </w:t>
      </w:r>
      <w:r w:rsidRPr="00A1337C">
        <w:rPr>
          <w:rFonts w:eastAsia="Calibri"/>
          <w:lang w:eastAsia="en-US"/>
        </w:rPr>
        <w:t xml:space="preserve">pârâții Parchetul de pe lângă Înalta Curte de Casație și Justiție, Parchetul de pe lângă Curtea de Apel </w:t>
      </w:r>
      <w:r w:rsidR="00164688">
        <w:rPr>
          <w:rFonts w:eastAsia="Calibri"/>
          <w:lang w:eastAsia="en-US"/>
        </w:rPr>
        <w:t>...</w:t>
      </w:r>
      <w:r w:rsidRPr="00A1337C">
        <w:rPr>
          <w:rFonts w:eastAsia="Calibri"/>
          <w:lang w:eastAsia="en-US"/>
        </w:rPr>
        <w:t xml:space="preserve"> și Parchetul de pe lângă Tribunalul </w:t>
      </w:r>
      <w:r w:rsidR="00164688">
        <w:rPr>
          <w:rFonts w:eastAsia="Calibri"/>
          <w:lang w:eastAsia="en-US"/>
        </w:rPr>
        <w:t>...</w:t>
      </w:r>
      <w:r w:rsidRPr="00A1337C">
        <w:rPr>
          <w:rFonts w:eastAsia="Calibri"/>
          <w:lang w:eastAsia="en-US"/>
        </w:rPr>
        <w:t xml:space="preserve"> </w:t>
      </w:r>
      <w:r w:rsidRPr="00A1337C">
        <w:t xml:space="preserve">si au fost </w:t>
      </w:r>
      <w:r w:rsidRPr="00A1337C">
        <w:rPr>
          <w:rFonts w:eastAsia="Calibri"/>
          <w:lang w:eastAsia="en-US"/>
        </w:rPr>
        <w:t xml:space="preserve"> obligati pârâţii la recalcularea indemnizației de încadrare a reclamantei, începând cu 18.11.2016 și în continu</w:t>
      </w:r>
      <w:r w:rsidRPr="00A1337C">
        <w:rPr>
          <w:rFonts w:eastAsia="Calibri"/>
          <w:lang w:eastAsia="en-US"/>
        </w:rPr>
        <w:t>are, luând în considerare coeficientul de multiplicare 19,00.</w:t>
      </w:r>
    </w:p>
    <w:p w:rsidRPr="00A1337C" w:rsidR="00A1337C" w:rsidP="00A1337C">
      <w:pPr>
        <w:tabs>
          <w:tab w:val="left" w:pos="900"/>
        </w:tabs>
        <w:ind w:firstLine="567"/>
        <w:jc w:val="both"/>
        <w:rPr>
          <w:color w:val="000000"/>
        </w:rPr>
      </w:pPr>
      <w:r w:rsidRPr="00A1337C">
        <w:rPr>
          <w:color w:val="000000"/>
        </w:rPr>
        <w:t xml:space="preserve">Rezulta astfel că, dreptul subiectiv la plata unui salariu care să țină seama de </w:t>
      </w:r>
      <w:r w:rsidRPr="00A1337C">
        <w:rPr>
          <w:rFonts w:eastAsia="Calibri"/>
          <w:lang w:eastAsia="en-US"/>
        </w:rPr>
        <w:t xml:space="preserve">coeficientul de multiplicare 19,00 </w:t>
      </w:r>
      <w:r w:rsidRPr="00A1337C">
        <w:rPr>
          <w:color w:val="000000"/>
        </w:rPr>
        <w:t xml:space="preserve">a fost definitiv stabilit, argumentele pârâtului referitoare la legalitatea stabilirii drepturilor de natura salariala prin raportare la </w:t>
      </w:r>
      <w:r w:rsidRPr="00A1337C">
        <w:rPr>
          <w:rFonts w:eastAsia="Calibri"/>
          <w:lang w:eastAsia="en-US"/>
        </w:rPr>
        <w:t xml:space="preserve">coeficientul de multiplicare 19,00, </w:t>
      </w:r>
      <w:r w:rsidRPr="00A1337C">
        <w:rPr>
          <w:color w:val="000000"/>
        </w:rPr>
        <w:t>fiind aspecte de drept ce se impun cu autoritate de lucru judecat.</w:t>
      </w:r>
    </w:p>
    <w:p w:rsidRPr="00A1337C" w:rsidR="00A1337C" w:rsidP="00A1337C">
      <w:pPr>
        <w:tabs>
          <w:tab w:val="left" w:pos="900"/>
        </w:tabs>
        <w:ind w:firstLine="567"/>
        <w:jc w:val="both"/>
        <w:rPr>
          <w:color w:val="000000"/>
        </w:rPr>
      </w:pPr>
      <w:r w:rsidRPr="00A1337C">
        <w:rPr>
          <w:color w:val="000000"/>
        </w:rPr>
        <w:t>Potrivit art.74 alin 1 și 2 din Legea nr. 303/2004 privind Statutul judecătorilor si procurori</w:t>
      </w:r>
      <w:r w:rsidRPr="00A1337C">
        <w:rPr>
          <w:color w:val="000000"/>
        </w:rPr>
        <w:t>lor, pentru activitatea desfășurată, judecătorii și procurorii au dreptul la o remunerație stabilită în raport cu nivelul instanței sau al parchetului, cu funcția deținută, cu vechimea în magistratură și cu alte criterii prevăzute de lege, iar drepturile salariale ale judecătorilor și procurorilor nu pot fi diminuate sau suspendate decât în cazurile prevăzute de prezenta lege, salarizarea judecătorilor și procurorilor stabilindu-se prin lege specială .</w:t>
      </w:r>
    </w:p>
    <w:p w:rsidRPr="00A1337C" w:rsidR="00A1337C" w:rsidP="00A1337C">
      <w:pPr>
        <w:tabs>
          <w:tab w:val="left" w:pos="900"/>
        </w:tabs>
        <w:ind w:firstLine="567"/>
        <w:jc w:val="both"/>
        <w:rPr>
          <w:color w:val="000000"/>
        </w:rPr>
      </w:pPr>
      <w:r w:rsidRPr="00A1337C">
        <w:rPr>
          <w:color w:val="000000"/>
        </w:rPr>
        <w:t xml:space="preserve">Potrivit dispozițiilor Anexei V, cap. VIII, art.8 alin </w:t>
      </w:r>
      <w:r w:rsidRPr="00A1337C">
        <w:rPr>
          <w:color w:val="000000"/>
        </w:rPr>
        <w:t xml:space="preserve">2 din Legea nr. 153/2017 </w:t>
      </w:r>
      <w:r w:rsidRPr="00A1337C">
        <w:t>privind salarizarea personalului plătit din fonduri publice</w:t>
      </w:r>
      <w:r w:rsidRPr="00A1337C">
        <w:rPr>
          <w:color w:val="000000"/>
        </w:rPr>
        <w:t xml:space="preserve">, indemnizațiile de încadrare și celelalte drepturi ale judecătorilor, procurorilor, magistraților-asistenți, inspectorilor judiciari și ale personalului de specialitate juridică asimilat judecătorilor și procurorilor și ale personalului de instruire de la Institutul Național al Magistraturii și Școala Națională de Grefieri se stabilesc, după caz, de ministrul justiției, de președintele Înaltei Curți de Casație și Justiție, </w:t>
      </w:r>
      <w:r w:rsidRPr="00A1337C">
        <w:rPr>
          <w:color w:val="000000"/>
        </w:rPr>
        <w:t xml:space="preserve">de președintele Consiliului Superior al Magistraturii, de inspectorul șef al Inspecției Judiciare, directorul Institutului Național al Magistraturii și al Școlii Naționale de Grefieri sau de procurorul general al Parchetului de pe lângă Înalta Curte de Casație și Justiție, cu excepția cazurilor în care, prin lege specială sau prin prezenta lege, se prevede altfel. </w:t>
      </w:r>
    </w:p>
    <w:p w:rsidRPr="00A1337C" w:rsidR="00A1337C" w:rsidP="00A1337C">
      <w:pPr>
        <w:tabs>
          <w:tab w:val="left" w:pos="900"/>
        </w:tabs>
        <w:ind w:firstLine="567"/>
        <w:jc w:val="both"/>
        <w:rPr>
          <w:rFonts w:eastAsia="Calibri"/>
          <w:lang w:eastAsia="en-US"/>
        </w:rPr>
      </w:pPr>
      <w:r w:rsidRPr="00A1337C">
        <w:rPr>
          <w:color w:val="000000"/>
        </w:rPr>
        <w:t xml:space="preserve">De asemenea, potrivit </w:t>
      </w:r>
      <w:r w:rsidRPr="00A1337C">
        <w:rPr>
          <w:rFonts w:eastAsia="Calibri"/>
          <w:lang w:eastAsia="en-US"/>
        </w:rPr>
        <w:t>art. 70 alin. 4 din Legea nr. 304/2004, republicată, cu modificările și completările ulterioare, Procurorul General al Par</w:t>
      </w:r>
      <w:r w:rsidRPr="00A1337C">
        <w:rPr>
          <w:rFonts w:eastAsia="Calibri"/>
          <w:lang w:eastAsia="en-US"/>
        </w:rPr>
        <w:t xml:space="preserve">chetului de pe lângă Înalta Curte de Casație și Justiție este ordonator principal de credite. </w:t>
      </w:r>
    </w:p>
    <w:p w:rsidRPr="00A1337C" w:rsidR="00A1337C" w:rsidP="00A1337C">
      <w:pPr>
        <w:tabs>
          <w:tab w:val="left" w:pos="900"/>
        </w:tabs>
        <w:ind w:firstLine="567"/>
        <w:jc w:val="both"/>
        <w:rPr>
          <w:color w:val="000000"/>
        </w:rPr>
      </w:pPr>
      <w:r w:rsidRPr="00A1337C">
        <w:rPr>
          <w:color w:val="000000"/>
        </w:rPr>
        <w:t xml:space="preserve">Ca atare, in ceea ce privește procurorii, </w:t>
      </w:r>
      <w:r w:rsidRPr="00A1337C">
        <w:rPr>
          <w:rFonts w:eastAsia="Calibri"/>
          <w:lang w:eastAsia="en-US"/>
        </w:rPr>
        <w:t>Procurorul General al Parchetului de pe lângă Înalta Curte de Casație și Justiție</w:t>
      </w:r>
      <w:r w:rsidRPr="00A1337C">
        <w:rPr>
          <w:color w:val="000000"/>
        </w:rPr>
        <w:t xml:space="preserve"> este cel care are  competenta de a emite ordine privind stabilirea indemnizației de încadrare și a celorlalte drepturi.</w:t>
      </w:r>
    </w:p>
    <w:p w:rsidRPr="00A1337C" w:rsidR="00A1337C" w:rsidP="00A1337C">
      <w:pPr>
        <w:spacing w:line="259" w:lineRule="auto"/>
        <w:ind w:firstLine="709"/>
        <w:jc w:val="both"/>
        <w:rPr>
          <w:color w:val="000000"/>
        </w:rPr>
      </w:pPr>
      <w:r w:rsidRPr="00A1337C">
        <w:rPr>
          <w:color w:val="000000"/>
        </w:rPr>
        <w:t xml:space="preserve">Referitor la criteriile în raport de care trebuie stabilite indemnizația </w:t>
      </w:r>
      <w:r w:rsidRPr="00A1337C">
        <w:t>de încadrare și a celelalte drepturi aferente,</w:t>
      </w:r>
      <w:r w:rsidRPr="00A1337C">
        <w:rPr>
          <w:color w:val="000000"/>
        </w:rPr>
        <w:t xml:space="preserve"> cu autoritate de lucru judecat, instanțele au decis c</w:t>
      </w:r>
      <w:r w:rsidRPr="00A1337C">
        <w:rPr>
          <w:color w:val="000000"/>
        </w:rPr>
        <w:t xml:space="preserve">ă reclamanta are dreptul la calcularea </w:t>
      </w:r>
      <w:r w:rsidRPr="00A1337C">
        <w:t xml:space="preserve">indemnizației de încadrare și a celorlalte drepturi aferente, raportat la </w:t>
      </w:r>
      <w:r w:rsidRPr="00A1337C">
        <w:rPr>
          <w:rFonts w:eastAsia="Calibri"/>
          <w:lang w:eastAsia="en-US"/>
        </w:rPr>
        <w:t xml:space="preserve">coeficientul de multiplicare 19,00, </w:t>
      </w:r>
      <w:r w:rsidRPr="00A1337C">
        <w:t xml:space="preserve">începând cu </w:t>
      </w:r>
      <w:r w:rsidRPr="00A1337C">
        <w:rPr>
          <w:rFonts w:eastAsia="Calibri"/>
          <w:lang w:eastAsia="en-US"/>
        </w:rPr>
        <w:t>18.11.2016</w:t>
      </w:r>
      <w:r w:rsidRPr="00A1337C">
        <w:t>.</w:t>
      </w:r>
    </w:p>
    <w:p w:rsidRPr="00A1337C" w:rsidR="00A1337C" w:rsidP="00A1337C">
      <w:pPr>
        <w:tabs>
          <w:tab w:val="left" w:pos="900"/>
        </w:tabs>
        <w:ind w:firstLine="567"/>
        <w:jc w:val="both"/>
        <w:rPr>
          <w:color w:val="000000"/>
        </w:rPr>
      </w:pPr>
      <w:r w:rsidRPr="00A1337C">
        <w:rPr>
          <w:color w:val="000000"/>
        </w:rPr>
        <w:t>Astfel, deși în cauză nu este incidentă excepția autorității de lucru judecat în raport cu</w:t>
      </w:r>
      <w:r w:rsidRPr="00A1337C">
        <w:t xml:space="preserve"> Sentința definitiva</w:t>
      </w:r>
      <w:r w:rsidRPr="00A1337C">
        <w:rPr>
          <w:rFonts w:eastAsia="Calibri"/>
          <w:lang w:eastAsia="en-US"/>
        </w:rPr>
        <w:t xml:space="preserve"> nr.</w:t>
      </w:r>
      <w:r w:rsidR="00D51376">
        <w:rPr>
          <w:rFonts w:eastAsia="Calibri"/>
          <w:lang w:eastAsia="en-US"/>
        </w:rPr>
        <w:t>...</w:t>
      </w:r>
      <w:r w:rsidRPr="00A1337C">
        <w:rPr>
          <w:rFonts w:eastAsia="Calibri"/>
          <w:lang w:eastAsia="en-US"/>
        </w:rPr>
        <w:t xml:space="preserve">/21.09.2020 pronunțata de Tribunalul </w:t>
      </w:r>
      <w:r w:rsidR="00D51376">
        <w:rPr>
          <w:rFonts w:eastAsia="Calibri"/>
          <w:lang w:eastAsia="en-US"/>
        </w:rPr>
        <w:t>...</w:t>
      </w:r>
      <w:r w:rsidRPr="00A1337C">
        <w:rPr>
          <w:rFonts w:eastAsia="Calibri"/>
          <w:lang w:eastAsia="en-US"/>
        </w:rPr>
        <w:t xml:space="preserve">, în dosarul nr. </w:t>
      </w:r>
      <w:r w:rsidR="00D51376">
        <w:rPr>
          <w:rFonts w:eastAsia="Calibri"/>
          <w:lang w:eastAsia="en-US"/>
        </w:rPr>
        <w:t>...</w:t>
      </w:r>
      <w:r w:rsidRPr="00A1337C">
        <w:rPr>
          <w:color w:val="000000"/>
        </w:rPr>
        <w:t xml:space="preserve">, sunt însă incidente efectele aspectului pozitiv al autorității de lucru judecat. </w:t>
      </w:r>
    </w:p>
    <w:p w:rsidRPr="00A1337C" w:rsidR="00A1337C" w:rsidP="00A1337C">
      <w:pPr>
        <w:tabs>
          <w:tab w:val="left" w:pos="900"/>
        </w:tabs>
        <w:ind w:firstLine="567"/>
        <w:jc w:val="both"/>
        <w:rPr>
          <w:color w:val="000000"/>
        </w:rPr>
      </w:pPr>
      <w:r w:rsidRPr="00A1337C">
        <w:rPr>
          <w:color w:val="000000"/>
        </w:rPr>
        <w:t>Potrivit art.430 alin.1 Cod procedura civila, autoritatea de lucru judecat con</w:t>
      </w:r>
      <w:r w:rsidRPr="00A1337C">
        <w:rPr>
          <w:color w:val="000000"/>
        </w:rPr>
        <w:t>stituie un efect esențial al hotărârii judecătorești, iar potrivit art.431 alin. 2 Cod procedura civila,  oricare dintre părți poate opune lucrul anterior judecat într-un alt litigiu, dacă are legătură cu soluționarea acestuia din urmă”.</w:t>
      </w:r>
    </w:p>
    <w:p w:rsidRPr="00A1337C" w:rsidR="00A1337C" w:rsidP="00A1337C">
      <w:pPr>
        <w:tabs>
          <w:tab w:val="left" w:pos="900"/>
        </w:tabs>
        <w:ind w:firstLine="567"/>
        <w:jc w:val="both"/>
      </w:pPr>
      <w:r w:rsidRPr="00A1337C">
        <w:rPr>
          <w:color w:val="000000"/>
        </w:rPr>
        <w:t xml:space="preserve">Rezulta astfel că, întrucât reclamanta se află în posesia unei hotărâri judecătorești definitive prin care s-a stabilit dreptul acesteia de a i se acorda </w:t>
      </w:r>
      <w:r w:rsidRPr="00A1337C">
        <w:t xml:space="preserve">indemnizația de încadrare și celorlalte drepturi aferente, raportat la </w:t>
      </w:r>
      <w:r w:rsidRPr="00A1337C">
        <w:rPr>
          <w:rFonts w:eastAsia="Calibri"/>
          <w:lang w:eastAsia="en-US"/>
        </w:rPr>
        <w:t xml:space="preserve">coeficientul de multiplicare 19,00, </w:t>
      </w:r>
      <w:r w:rsidRPr="00A1337C">
        <w:t xml:space="preserve">începând cu </w:t>
      </w:r>
      <w:r w:rsidRPr="00A1337C">
        <w:rPr>
          <w:rFonts w:eastAsia="Calibri"/>
          <w:lang w:eastAsia="en-US"/>
        </w:rPr>
        <w:t>1</w:t>
      </w:r>
      <w:r w:rsidRPr="00A1337C">
        <w:rPr>
          <w:rFonts w:eastAsia="Calibri"/>
          <w:lang w:eastAsia="en-US"/>
        </w:rPr>
        <w:t>8.11.2016</w:t>
      </w:r>
      <w:r w:rsidRPr="00A1337C">
        <w:rPr>
          <w:color w:val="000000"/>
        </w:rPr>
        <w:t>, în aplicarea prevederilor Anexei V la Legea nr. 153/2017 și a dispozițiilor</w:t>
      </w:r>
      <w:r w:rsidRPr="00A1337C">
        <w:rPr>
          <w:rFonts w:eastAsia="Calibri"/>
          <w:lang w:eastAsia="en-US"/>
        </w:rPr>
        <w:t xml:space="preserve"> art. 70 alin. 4 din Legea nr. 304/2004</w:t>
      </w:r>
      <w:r w:rsidRPr="00A1337C">
        <w:rPr>
          <w:color w:val="000000"/>
        </w:rPr>
        <w:t>, pârâtul avea obligația de a proceda la emiterea ordinului individual de salarizare in sensul statuat prin</w:t>
      </w:r>
      <w:r w:rsidRPr="00A1337C">
        <w:t xml:space="preserve"> sentința definitiva</w:t>
      </w:r>
      <w:r w:rsidRPr="00A1337C">
        <w:rPr>
          <w:rFonts w:eastAsia="Calibri"/>
          <w:lang w:eastAsia="en-US"/>
        </w:rPr>
        <w:t xml:space="preserve"> nr. </w:t>
      </w:r>
      <w:r w:rsidR="000173E5">
        <w:rPr>
          <w:rFonts w:eastAsia="Calibri"/>
          <w:lang w:eastAsia="en-US"/>
        </w:rPr>
        <w:t>...</w:t>
      </w:r>
      <w:r w:rsidRPr="00A1337C">
        <w:rPr>
          <w:rFonts w:eastAsia="Calibri"/>
          <w:lang w:eastAsia="en-US"/>
        </w:rPr>
        <w:t xml:space="preserve">/21.09.2020 pronunțata de Tribunalul </w:t>
      </w:r>
      <w:r w:rsidR="000173E5">
        <w:rPr>
          <w:rFonts w:eastAsia="Calibri"/>
          <w:lang w:eastAsia="en-US"/>
        </w:rPr>
        <w:t>...</w:t>
      </w:r>
      <w:r w:rsidRPr="00A1337C">
        <w:rPr>
          <w:rFonts w:eastAsia="Calibri"/>
          <w:lang w:eastAsia="en-US"/>
        </w:rPr>
        <w:t xml:space="preserve">, în dosarul nr. </w:t>
      </w:r>
      <w:r w:rsidR="000173E5">
        <w:rPr>
          <w:rFonts w:eastAsia="Calibri"/>
          <w:lang w:eastAsia="en-US"/>
        </w:rPr>
        <w:t>...</w:t>
      </w:r>
      <w:r w:rsidRPr="00A1337C">
        <w:t>, refuzul acestuia nefiind nejustificat.</w:t>
      </w:r>
    </w:p>
    <w:p w:rsidRPr="00A1337C" w:rsidR="00A1337C" w:rsidP="00A1337C">
      <w:pPr>
        <w:shd w:val="clear" w:color="auto" w:fill="FFFFFF"/>
        <w:ind w:firstLine="720"/>
        <w:jc w:val="both"/>
        <w:rPr>
          <w:color w:val="000000"/>
        </w:rPr>
      </w:pPr>
      <w:r w:rsidRPr="00A1337C">
        <w:rPr>
          <w:bCs/>
        </w:rPr>
        <w:t xml:space="preserve">In consecință, </w:t>
      </w:r>
      <w:r w:rsidRPr="00A1337C">
        <w:rPr>
          <w:color w:val="000000"/>
        </w:rPr>
        <w:t>raportat la dispozițiile art.2 alin.1 lit.i din Legea nr. 554/2004, Curtea constată nejustificat refuzul pârâtului de a emite reclamante</w:t>
      </w:r>
      <w:r w:rsidRPr="00A1337C">
        <w:rPr>
          <w:color w:val="000000"/>
        </w:rPr>
        <w:t>i un nou ordin de salarizare</w:t>
      </w:r>
      <w:r w:rsidRPr="00A1337C">
        <w:rPr>
          <w:bCs/>
        </w:rPr>
        <w:t xml:space="preserve">, </w:t>
      </w:r>
      <w:r w:rsidRPr="00A1337C">
        <w:rPr>
          <w:color w:val="000000"/>
        </w:rPr>
        <w:t>prin raportare la</w:t>
      </w:r>
      <w:r w:rsidRPr="00A1337C">
        <w:rPr>
          <w:rFonts w:eastAsia="Calibri"/>
          <w:lang w:eastAsia="en-US"/>
        </w:rPr>
        <w:t xml:space="preserve"> coeficientul de multiplicare 19,00, </w:t>
      </w:r>
      <w:r w:rsidRPr="00A1337C">
        <w:t xml:space="preserve">începând cu </w:t>
      </w:r>
      <w:r w:rsidRPr="00A1337C">
        <w:rPr>
          <w:rFonts w:eastAsia="Calibri"/>
          <w:lang w:eastAsia="en-US"/>
        </w:rPr>
        <w:t>18.11.2016</w:t>
      </w:r>
      <w:r w:rsidRPr="00A1337C">
        <w:rPr>
          <w:color w:val="000000"/>
        </w:rPr>
        <w:t>.</w:t>
      </w:r>
    </w:p>
    <w:p w:rsidRPr="00A1337C" w:rsidR="00A1337C" w:rsidP="00A1337C">
      <w:pPr>
        <w:shd w:val="clear" w:color="auto" w:fill="FFFFFF"/>
        <w:ind w:firstLine="720"/>
        <w:jc w:val="both"/>
      </w:pPr>
      <w:r w:rsidRPr="00A1337C">
        <w:rPr>
          <w:shd w:val="clear" w:color="auto" w:fill="FFFFFF"/>
        </w:rPr>
        <w:t xml:space="preserve">Față de toate considerentele arătate, </w:t>
      </w:r>
      <w:r w:rsidRPr="00A1337C">
        <w:rPr>
          <w:bCs/>
        </w:rPr>
        <w:t>Curtea urmează să respingă</w:t>
      </w:r>
      <w:r w:rsidRPr="00A1337C">
        <w:rPr>
          <w:b/>
          <w:bCs/>
        </w:rPr>
        <w:t xml:space="preserve"> </w:t>
      </w:r>
      <w:r w:rsidRPr="00A1337C">
        <w:t xml:space="preserve">excepția prescripției </w:t>
      </w:r>
      <w:r w:rsidRPr="00A1337C">
        <w:rPr>
          <w:color w:val="000000"/>
        </w:rPr>
        <w:t>dreptului material la acțiune</w:t>
      </w:r>
      <w:r w:rsidRPr="00A1337C">
        <w:t xml:space="preserve"> și, admițând acțiunea formulata de reclamantă in contradictoriu cu pârâtul </w:t>
      </w:r>
      <w:r w:rsidRPr="00A1337C">
        <w:rPr>
          <w:rFonts w:eastAsia="Calibri"/>
          <w:lang w:eastAsia="en-US"/>
        </w:rPr>
        <w:t>Parchetul de pe lângă Înalta Curte de Casație și Justiție,</w:t>
      </w:r>
      <w:r w:rsidRPr="00A1337C">
        <w:t xml:space="preserve"> să oblige pârâtul, </w:t>
      </w:r>
      <w:r w:rsidRPr="00A1337C">
        <w:rPr>
          <w:color w:val="000000"/>
        </w:rPr>
        <w:t>în temeiul art. 18 alin.1 din Legea nr.554/2004,</w:t>
      </w:r>
      <w:r w:rsidRPr="00A1337C">
        <w:t xml:space="preserve"> sa emită în favoarea reclamantei un nou ordin de încadrare, începând cu data de 18.11</w:t>
      </w:r>
      <w:r w:rsidRPr="00A1337C">
        <w:t>.2016 și în continuare, până la încetarea condițiilor de acordare, prin care indemnizația de încadrare să fie stabilită cu luarea în considerare a unui coeficient de multiplicare de 19,00.</w:t>
      </w:r>
    </w:p>
    <w:p w:rsidRPr="00A1337C" w:rsidR="00A1337C" w:rsidP="00A1337C">
      <w:pPr>
        <w:jc w:val="center"/>
      </w:pPr>
    </w:p>
    <w:p w:rsidRPr="00A1337C" w:rsidR="00A1337C" w:rsidP="00A1337C">
      <w:pPr>
        <w:jc w:val="center"/>
      </w:pPr>
      <w:r w:rsidRPr="00A1337C">
        <w:t>PENTRU ACESTE MOTIVE,</w:t>
        <w:br/>
        <w:t>ÎN NUMELE LEGII</w:t>
      </w:r>
    </w:p>
    <w:p w:rsidRPr="00A1337C" w:rsidR="00A1337C" w:rsidP="00A1337C">
      <w:pPr>
        <w:jc w:val="center"/>
      </w:pPr>
      <w:bookmarkStart w:name="ce_face_curtea" w:id="6"/>
      <w:r w:rsidRPr="00A1337C">
        <w:t>HOTĂRĂŞTE</w:t>
      </w:r>
      <w:bookmarkEnd w:id="6"/>
    </w:p>
    <w:p w:rsidRPr="00A1337C" w:rsidR="00A1337C" w:rsidP="00A1337C"/>
    <w:p w:rsidRPr="00A1337C" w:rsidR="00A1337C" w:rsidP="00A1337C">
      <w:pPr>
        <w:ind w:firstLine="709"/>
        <w:jc w:val="both"/>
      </w:pPr>
    </w:p>
    <w:p w:rsidRPr="00A1337C" w:rsidR="00A1337C" w:rsidP="00A1337C">
      <w:pPr>
        <w:ind w:firstLine="709"/>
        <w:jc w:val="both"/>
      </w:pPr>
      <w:r w:rsidRPr="00A1337C">
        <w:t>Respinge excepţia prescripţiei.</w:t>
      </w:r>
    </w:p>
    <w:p w:rsidRPr="00A1337C" w:rsidR="00A1337C" w:rsidP="00A1337C">
      <w:pPr>
        <w:ind w:firstLine="709"/>
        <w:jc w:val="both"/>
      </w:pPr>
      <w:r w:rsidRPr="00A1337C">
        <w:t xml:space="preserve">Admite acţiunea formulată de reclamanta </w:t>
      </w:r>
      <w:r w:rsidRPr="00D51376" w:rsidR="00D51376">
        <w:rPr>
          <w:b/>
          <w:bCs/>
        </w:rPr>
        <w:t>X</w:t>
      </w:r>
      <w:r w:rsidRPr="00A1337C">
        <w:t xml:space="preserve">-PROCUROR ÎN CADRUL PARCHETULUI DE PE LÂNGĂ TRIBUNALUL </w:t>
      </w:r>
      <w:r w:rsidR="00D51376">
        <w:t>...</w:t>
      </w:r>
      <w:r w:rsidRPr="00A1337C">
        <w:t xml:space="preserve">, cu domiciliul în </w:t>
      </w:r>
      <w:r w:rsidR="00D51376">
        <w:t>...</w:t>
      </w:r>
      <w:r w:rsidRPr="00A1337C">
        <w:t xml:space="preserve">, Str. </w:t>
      </w:r>
      <w:r w:rsidR="00D51376">
        <w:t>...</w:t>
      </w:r>
      <w:r w:rsidRPr="00A1337C">
        <w:t xml:space="preserve">nr. </w:t>
      </w:r>
      <w:r w:rsidR="00D51376">
        <w:t>...</w:t>
      </w:r>
      <w:r w:rsidRPr="00A1337C">
        <w:t xml:space="preserve">, Jud. </w:t>
      </w:r>
      <w:r w:rsidR="00D51376">
        <w:t>...</w:t>
      </w:r>
      <w:r w:rsidRPr="00A1337C">
        <w:t xml:space="preserve">, în contradictoriu cu pârâtul MINISTERUL PUBLIC-PARCHETUL DE PE LÂNGĂ ÎNALTA </w:t>
      </w:r>
      <w:r w:rsidRPr="00A1337C">
        <w:t xml:space="preserve">CURTE DE CASAŢIE ŞI JUSTIŢIE, cu sediul în </w:t>
      </w:r>
      <w:r w:rsidR="00D51376">
        <w:t>...</w:t>
      </w:r>
      <w:r w:rsidRPr="00A1337C">
        <w:t xml:space="preserve">, Bd. </w:t>
      </w:r>
      <w:r w:rsidR="00D51376">
        <w:t>...</w:t>
      </w:r>
      <w:r w:rsidRPr="00A1337C">
        <w:t xml:space="preserve"> nr. </w:t>
      </w:r>
      <w:r w:rsidR="00D51376">
        <w:t>...</w:t>
      </w:r>
      <w:r w:rsidRPr="00A1337C">
        <w:t>.</w:t>
      </w:r>
    </w:p>
    <w:p w:rsidRPr="00A1337C" w:rsidR="00A1337C" w:rsidP="00A1337C">
      <w:pPr>
        <w:ind w:firstLine="709"/>
        <w:jc w:val="both"/>
      </w:pPr>
      <w:r w:rsidRPr="00A1337C">
        <w:t>Obligă pârâtul să emită reclamantei un nou ordin de încadrare începând cu data de 18.11.2016 şi în continuare, cu luarea în considerare a coeficientului de multiplicare 19, stabilit în conformitate cu Anexa la OUG 27/2006, lit. A, pct.13, aferent salarizării procurorilor DNA şi DIICOT.</w:t>
      </w:r>
    </w:p>
    <w:p w:rsidRPr="00A1337C" w:rsidR="00A1337C" w:rsidP="00A1337C">
      <w:pPr>
        <w:ind w:firstLine="709"/>
        <w:jc w:val="both"/>
      </w:pPr>
      <w:r w:rsidRPr="00A1337C">
        <w:t xml:space="preserve">Cu recurs în 15 zile de la comunicare, cererea urmând a fi depusă la Curtea de Apel </w:t>
      </w:r>
      <w:r w:rsidR="00D51376">
        <w:t>...</w:t>
      </w:r>
    </w:p>
    <w:p w:rsidRPr="00A1337C" w:rsidR="00A1337C" w:rsidP="00A1337C">
      <w:pPr>
        <w:ind w:firstLine="709"/>
        <w:jc w:val="both"/>
      </w:pPr>
      <w:r w:rsidRPr="00A1337C">
        <w:t xml:space="preserve">Pronunţată la data de </w:t>
      </w:r>
      <w:r w:rsidR="00D51376">
        <w:t>...</w:t>
      </w:r>
      <w:r w:rsidRPr="00A1337C">
        <w:t xml:space="preserve">, prin punerea soluţiei la dispoziţia părţilor </w:t>
      </w:r>
      <w:r w:rsidRPr="00A1337C">
        <w:t>de grefa instanţei.</w:t>
      </w:r>
    </w:p>
    <w:p w:rsidR="00A1337C" w:rsidP="00A1337C"/>
    <w:p w:rsidR="002B3585" w:rsidP="00A1337C"/>
    <w:p w:rsidR="00D51376" w:rsidP="00A1337C"/>
    <w:p w:rsidR="002B3585" w:rsidP="002B3585">
      <w:pPr>
        <w:ind w:firstLine="709"/>
        <w:jc w:val="center"/>
      </w:pPr>
      <w:r>
        <w:t>Preşedinte,</w:t>
      </w:r>
    </w:p>
    <w:p w:rsidR="002B3585" w:rsidP="002B3585">
      <w:pPr>
        <w:ind w:firstLine="709"/>
        <w:jc w:val="center"/>
      </w:pPr>
      <w:r>
        <w:t>A0007</w:t>
      </w:r>
    </w:p>
    <w:p w:rsidR="002B3585" w:rsidP="002B3585">
      <w:pPr>
        <w:ind w:firstLine="709"/>
        <w:jc w:val="center"/>
      </w:pPr>
    </w:p>
    <w:p w:rsidR="002B3585" w:rsidP="002B3585">
      <w:pPr>
        <w:ind w:firstLine="709"/>
        <w:jc w:val="center"/>
      </w:pPr>
    </w:p>
    <w:p w:rsidR="002B3585" w:rsidP="002B3585">
      <w:pPr>
        <w:ind w:firstLine="709"/>
        <w:jc w:val="center"/>
      </w:pPr>
    </w:p>
    <w:p w:rsidR="002B3585" w:rsidP="002B3585">
      <w:pPr>
        <w:ind w:firstLine="709"/>
        <w:jc w:val="center"/>
      </w:pPr>
      <w:r>
        <w:t>Grefier,</w:t>
      </w:r>
    </w:p>
    <w:p w:rsidR="002B3585" w:rsidP="002B3585">
      <w:pPr>
        <w:ind w:firstLine="709"/>
      </w:pPr>
      <w:r>
        <w:t xml:space="preserve"> </w:t>
        <w:tab/>
        <w:tab/>
        <w:tab/>
        <w:tab/>
        <w:tab/>
        <w:t xml:space="preserve">         ...</w:t>
      </w:r>
    </w:p>
    <w:p w:rsidR="002B3585" w:rsidP="00A1337C"/>
    <w:p w:rsidRPr="00A1337C" w:rsidR="002B3585" w:rsidP="00A1337C"/>
    <w:p w:rsidRPr="00A1337C" w:rsidR="00A1337C" w:rsidP="00A1337C">
      <w:r w:rsidRPr="00A1337C">
        <w:t>Red.</w:t>
      </w:r>
      <w:r w:rsidR="002B3585">
        <w:t>A0007</w:t>
      </w:r>
      <w:r w:rsidRPr="00A1337C">
        <w:t>/</w:t>
      </w:r>
      <w:r w:rsidR="002B3585">
        <w:t>...</w:t>
      </w:r>
    </w:p>
    <w:p w:rsidRPr="00A1337C" w:rsidR="00A1337C" w:rsidP="00A1337C">
      <w:r w:rsidRPr="00A1337C">
        <w:t>Thred.</w:t>
      </w:r>
      <w:r w:rsidR="002B3585">
        <w:t>...</w:t>
      </w:r>
      <w:r w:rsidRPr="00A1337C">
        <w:t>./4 ex.</w:t>
      </w:r>
    </w:p>
    <w:p w:rsidRPr="00A1337C" w:rsidR="00A1337C" w:rsidP="00A1337C">
      <w:pPr>
        <w:spacing w:after="160" w:line="259" w:lineRule="auto"/>
        <w:rPr>
          <w:rFonts w:eastAsia="Calibri"/>
          <w:lang w:eastAsia="en-US"/>
        </w:rPr>
      </w:pPr>
    </w:p>
    <w:p w:rsidRPr="00A1337C" w:rsidR="00090D1C" w:rsidP="00A1337C"/>
    <w:sectPr w:rsidSect="000D6A47">
      <w:footerReference w:type="default" r:id="rId4"/>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A1A">
    <w:pPr>
      <w:pStyle w:val="Footer"/>
      <w:jc w:val="center"/>
    </w:pPr>
    <w:r>
      <w:fldChar w:fldCharType="begin"/>
    </w:r>
    <w:r>
      <w:instrText>PAGE   \* MERGEFORMAT</w:instrText>
    </w:r>
    <w:r>
      <w:fldChar w:fldCharType="separate"/>
    </w:r>
    <w:r w:rsidR="00DF330B">
      <w:rPr>
        <w:noProof/>
      </w:rPr>
      <w:t>9</w:t>
    </w:r>
    <w:r>
      <w:fldChar w:fldCharType="end"/>
    </w:r>
  </w:p>
  <w:p w:rsidR="000C6A1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embedSystemFonts/>
  <w:mirrorMargins/>
  <w:stylePaneFormatFilter w:val="3F01"/>
  <w:doNotTrackMoves/>
  <w:defaultTabStop w:val="709"/>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173E5"/>
    <w:rsid w:val="000654FD"/>
    <w:rsid w:val="00074F1D"/>
    <w:rsid w:val="00084103"/>
    <w:rsid w:val="00090D1C"/>
    <w:rsid w:val="000C6A1A"/>
    <w:rsid w:val="000D6A47"/>
    <w:rsid w:val="001260E6"/>
    <w:rsid w:val="00164688"/>
    <w:rsid w:val="00190DF5"/>
    <w:rsid w:val="001D2330"/>
    <w:rsid w:val="0021619F"/>
    <w:rsid w:val="00230098"/>
    <w:rsid w:val="00236F8B"/>
    <w:rsid w:val="0024779E"/>
    <w:rsid w:val="00264D05"/>
    <w:rsid w:val="002B3585"/>
    <w:rsid w:val="002E7CAA"/>
    <w:rsid w:val="00310770"/>
    <w:rsid w:val="00360957"/>
    <w:rsid w:val="003676FC"/>
    <w:rsid w:val="00434264"/>
    <w:rsid w:val="004362D5"/>
    <w:rsid w:val="00444A15"/>
    <w:rsid w:val="00444EB7"/>
    <w:rsid w:val="00483536"/>
    <w:rsid w:val="005E0080"/>
    <w:rsid w:val="0063664B"/>
    <w:rsid w:val="00643179"/>
    <w:rsid w:val="0069173E"/>
    <w:rsid w:val="008060F9"/>
    <w:rsid w:val="008D6F98"/>
    <w:rsid w:val="00902C7A"/>
    <w:rsid w:val="0091097A"/>
    <w:rsid w:val="00982CB8"/>
    <w:rsid w:val="009847E9"/>
    <w:rsid w:val="009876B0"/>
    <w:rsid w:val="009B7961"/>
    <w:rsid w:val="00A1337C"/>
    <w:rsid w:val="00A56F73"/>
    <w:rsid w:val="00A74B82"/>
    <w:rsid w:val="00AF7AAA"/>
    <w:rsid w:val="00BC4A1A"/>
    <w:rsid w:val="00BC5260"/>
    <w:rsid w:val="00BF0E6F"/>
    <w:rsid w:val="00BF2581"/>
    <w:rsid w:val="00C018D0"/>
    <w:rsid w:val="00C15D8C"/>
    <w:rsid w:val="00C2291B"/>
    <w:rsid w:val="00C264BE"/>
    <w:rsid w:val="00D51376"/>
    <w:rsid w:val="00DF330B"/>
    <w:rsid w:val="00ED74FF"/>
    <w:rsid w:val="00F035C2"/>
    <w:rsid w:val="00FC4159"/>
  </w:rsids>
  <w:docVars>
    <w:docVar w:name="url" w:val="http://10.19.48.53:80/ecris_cdms/document_upload.aspx?id_document=5400000001551464&amp;id_departament=5&amp;id_sesiune=2214184&amp;id_user=328&amp;id_institutie=54&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character" w:customStyle="1" w:styleId="FontStyle16">
    <w:name w:val="Font Style16"/>
    <w:rsid w:val="001D2330"/>
    <w:rPr>
      <w:rFonts w:ascii="Times New Roman" w:hAnsi="Times New Roman" w:cs="Times New Roman" w:hint="default"/>
      <w:b/>
      <w:bCs/>
      <w:sz w:val="24"/>
      <w:szCs w:val="24"/>
    </w:rPr>
  </w:style>
  <w:style w:type="character" w:customStyle="1" w:styleId="rvts1">
    <w:name w:val="rvts1"/>
    <w:rsid w:val="001D2330"/>
  </w:style>
  <w:style w:type="paragraph" w:styleId="Header">
    <w:name w:val="header"/>
    <w:basedOn w:val="Normal"/>
    <w:link w:val="HeaderChar"/>
    <w:rsid w:val="000C6A1A"/>
    <w:pPr>
      <w:tabs>
        <w:tab w:val="center" w:pos="4513"/>
        <w:tab w:val="right" w:pos="9026"/>
      </w:tabs>
    </w:pPr>
  </w:style>
  <w:style w:type="character" w:customStyle="1" w:styleId="HeaderChar">
    <w:name w:val="Header Char"/>
    <w:link w:val="Header"/>
    <w:rsid w:val="000C6A1A"/>
    <w:rPr>
      <w:sz w:val="24"/>
      <w:szCs w:val="24"/>
    </w:rPr>
  </w:style>
  <w:style w:type="paragraph" w:styleId="Footer">
    <w:name w:val="footer"/>
    <w:basedOn w:val="Normal"/>
    <w:link w:val="FooterChar"/>
    <w:uiPriority w:val="99"/>
    <w:rsid w:val="000C6A1A"/>
    <w:pPr>
      <w:tabs>
        <w:tab w:val="center" w:pos="4513"/>
        <w:tab w:val="right" w:pos="9026"/>
      </w:tabs>
    </w:pPr>
  </w:style>
  <w:style w:type="character" w:customStyle="1" w:styleId="FooterChar">
    <w:name w:val="Footer Char"/>
    <w:link w:val="Footer"/>
    <w:uiPriority w:val="99"/>
    <w:rsid w:val="000C6A1A"/>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14</ap:TotalTime>
  <ap:Pages>9</ap:Pages>
  <ap:Words>5127</ap:Words>
  <ap:Characters>29230</ap:Characters>
  <ap:Application>Microsoft Office Word</ap:Application>
  <ap:DocSecurity>0</ap:DocSecurity>
  <ap:Lines>243</ap:Lines>
  <ap:Paragraphs>68</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34289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