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11</w:t>
      </w:r>
    </w:p>
    <w:p>
      <w:pPr>
        <w:pStyle w:val="Normal"/>
        <w:rPr>
          <w:b/>
        </w:rPr>
      </w:pPr>
      <w:r>
        <w:rPr>
          <w:b/>
        </w:rPr>
        <w:t>DOSAR NR. D1</w:t>
      </w:r>
    </w:p>
    <w:p>
      <w:pPr>
        <w:pStyle w:val="Normal"/>
        <w:jc w:val="center"/>
        <w:rPr>
          <w:b/>
        </w:rPr>
      </w:pPr>
      <w:r>
        <w:rPr>
          <w:b/>
        </w:rPr>
        <w:t>R O M Â N I A</w:t>
      </w:r>
    </w:p>
    <w:p>
      <w:pPr>
        <w:pStyle w:val="Normal"/>
        <w:jc w:val="center"/>
        <w:rPr>
          <w:b/>
        </w:rPr>
      </w:pPr>
      <w:r>
        <w:rPr>
          <w:b/>
        </w:rPr>
      </w:r>
    </w:p>
    <w:p>
      <w:pPr>
        <w:pStyle w:val="Normal"/>
        <w:jc w:val="center"/>
        <w:rPr>
          <w:b/>
        </w:rPr>
      </w:pPr>
      <w:r>
        <w:rPr>
          <w:b/>
        </w:rPr>
        <w:t>CURTEA DE APEL ...</w:t>
      </w:r>
    </w:p>
    <w:p>
      <w:pPr>
        <w:pStyle w:val="Normal"/>
        <w:jc w:val="center"/>
        <w:rPr>
          <w:b/>
          <w:lang w:val="en-US"/>
        </w:rPr>
      </w:pPr>
      <w:r>
        <w:rPr>
          <w:b/>
        </w:rPr>
        <w:t>SECŢIA ... - NCPP</w:t>
      </w:r>
    </w:p>
    <w:p>
      <w:pPr>
        <w:pStyle w:val="Normal"/>
        <w:rPr>
          <w:b/>
        </w:rPr>
      </w:pPr>
      <w:r>
        <w:rPr>
          <w:b/>
        </w:rPr>
      </w:r>
    </w:p>
    <w:p>
      <w:pPr>
        <w:pStyle w:val="Normal"/>
        <w:jc w:val="center"/>
        <w:rPr>
          <w:b/>
        </w:rPr>
      </w:pPr>
      <w:r>
        <w:rPr>
          <w:b/>
        </w:rPr>
        <w:t>DECIZIA PENALĂ NR. ...</w:t>
      </w:r>
    </w:p>
    <w:p>
      <w:pPr>
        <w:pStyle w:val="Normal"/>
        <w:jc w:val="center"/>
        <w:rPr>
          <w:b/>
        </w:rPr>
      </w:pPr>
      <w:r>
        <w:rPr>
          <w:b/>
        </w:rPr>
        <w:t xml:space="preserve">Şedinţa publică din data de ... </w:t>
      </w:r>
    </w:p>
    <w:p>
      <w:pPr>
        <w:pStyle w:val="Normal"/>
        <w:jc w:val="center"/>
        <w:rPr>
          <w:b/>
        </w:rPr>
      </w:pPr>
      <w:r>
        <w:rPr>
          <w:b/>
        </w:rPr>
      </w:r>
    </w:p>
    <w:p>
      <w:pPr>
        <w:pStyle w:val="Normal"/>
        <w:jc w:val="center"/>
        <w:rPr>
          <w:b/>
        </w:rPr>
      </w:pPr>
      <w:r>
        <w:rPr>
          <w:b/>
        </w:rPr>
        <w:t>Instanţa constituită din:</w:t>
      </w:r>
    </w:p>
    <w:p>
      <w:pPr>
        <w:pStyle w:val="Normal"/>
        <w:jc w:val="center"/>
        <w:rPr>
          <w:b/>
        </w:rPr>
      </w:pPr>
      <w:r>
        <w:rPr>
          <w:b/>
        </w:rPr>
        <w:t>PREŞEDINTE - A0013</w:t>
      </w:r>
    </w:p>
    <w:p>
      <w:pPr>
        <w:pStyle w:val="Normal"/>
        <w:jc w:val="center"/>
        <w:rPr>
          <w:b/>
        </w:rPr>
      </w:pPr>
      <w:r>
        <w:rPr>
          <w:b/>
        </w:rPr>
        <w:t>JUDECĂTOR - ...</w:t>
      </w:r>
    </w:p>
    <w:p>
      <w:pPr>
        <w:pStyle w:val="Normal"/>
        <w:jc w:val="center"/>
        <w:rPr>
          <w:b/>
        </w:rPr>
      </w:pPr>
      <w:r>
        <w:rPr>
          <w:b/>
        </w:rPr>
      </w:r>
    </w:p>
    <w:p>
      <w:pPr>
        <w:pStyle w:val="Normal"/>
        <w:jc w:val="center"/>
        <w:rPr>
          <w:b/>
        </w:rPr>
      </w:pPr>
      <w:r>
        <w:rPr>
          <w:b/>
        </w:rPr>
        <w:t>Grefier - ...</w:t>
      </w:r>
    </w:p>
    <w:p>
      <w:pPr>
        <w:pStyle w:val="Normal"/>
        <w:jc w:val="center"/>
        <w:rPr/>
      </w:pPr>
      <w:r>
        <w:rPr/>
      </w:r>
    </w:p>
    <w:p>
      <w:pPr>
        <w:pStyle w:val="Normal"/>
        <w:jc w:val="center"/>
        <w:rPr/>
      </w:pPr>
      <w:r>
        <w:rPr/>
      </w:r>
    </w:p>
    <w:p>
      <w:pPr>
        <w:pStyle w:val="Normal"/>
        <w:rPr>
          <w:color w:val="FF0000"/>
        </w:rPr>
      </w:pPr>
      <w:r>
        <w:rPr>
          <w:color w:val="FF0000"/>
        </w:rPr>
      </w:r>
    </w:p>
    <w:p>
      <w:pPr>
        <w:pStyle w:val="Normal"/>
        <w:ind w:firstLine="708"/>
        <w:jc w:val="both"/>
        <w:rPr/>
      </w:pPr>
      <w:r>
        <w:rPr/>
        <w:t xml:space="preserve">Pe rol se află pronunţarea asupra contestaţiei în anulare formulate de </w:t>
      </w:r>
      <w:r>
        <w:rPr>
          <w:b/>
        </w:rPr>
        <w:t>condamnaţii  R1 şi R2</w:t>
      </w:r>
      <w:r>
        <w:rPr/>
        <w:t xml:space="preserve"> împotriva </w:t>
      </w:r>
      <w:r>
        <w:rPr>
          <w:b/>
        </w:rPr>
        <w:t>Deciziei penale nr. DP1</w:t>
      </w:r>
      <w:r>
        <w:rPr/>
        <w:t xml:space="preserve">, pronunţate de </w:t>
      </w:r>
      <w:r>
        <w:rPr>
          <w:b/>
        </w:rPr>
        <w:t>Curtea de Apel ...</w:t>
      </w:r>
      <w:r>
        <w:rPr/>
        <w:t>, în dosarul nr. D2.</w:t>
      </w:r>
    </w:p>
    <w:p>
      <w:pPr>
        <w:pStyle w:val="Normal"/>
        <w:ind w:firstLine="708"/>
        <w:jc w:val="both"/>
        <w:rPr/>
      </w:pPr>
      <w:r>
        <w:rPr/>
        <w:t>Dezbaterile asupra a contestaţiei în anulare au avut loc în şedinţa publică din data de 05.03.2018, susţinerile părţilor fiind consemnate în Încheierea de şedinţă din acea zi, care face parte integrantă din prezenta,</w:t>
      </w:r>
      <w:r>
        <w:rPr>
          <w:i/>
        </w:rPr>
        <w:t xml:space="preserve"> la ședința de judecată participând procuror</w:t>
      </w:r>
      <w:r>
        <w:rPr/>
        <w:t xml:space="preserve"> </w:t>
      </w:r>
      <w:r>
        <w:rPr>
          <w:i/>
        </w:rPr>
        <w:t>... de la Parchetul de pe lângă Curtea de Apel ...</w:t>
      </w:r>
      <w:r>
        <w:rPr/>
        <w:t xml:space="preserve"> când, în mod succesiv instanţa de apel a amânat  pronunţarea pentru data de .... şi apoi pentru azi, când:</w:t>
      </w:r>
    </w:p>
    <w:p>
      <w:pPr>
        <w:pStyle w:val="Normal"/>
        <w:jc w:val="center"/>
        <w:rPr/>
      </w:pPr>
      <w:r>
        <w:rPr/>
      </w:r>
    </w:p>
    <w:p>
      <w:pPr>
        <w:pStyle w:val="Normal"/>
        <w:jc w:val="center"/>
        <w:rPr>
          <w:b/>
        </w:rPr>
      </w:pPr>
      <w:r>
        <w:rPr>
          <w:b/>
        </w:rPr>
        <w:t>CURTEA DE APEL</w:t>
      </w:r>
    </w:p>
    <w:p>
      <w:pPr>
        <w:pStyle w:val="Normal"/>
        <w:jc w:val="both"/>
        <w:rPr/>
      </w:pPr>
      <w:r>
        <w:rPr/>
      </w:r>
    </w:p>
    <w:p>
      <w:pPr>
        <w:pStyle w:val="Normal"/>
        <w:ind w:firstLine="708"/>
        <w:jc w:val="both"/>
        <w:rPr>
          <w:b/>
          <w:i/>
          <w:i/>
        </w:rPr>
      </w:pPr>
      <w:r>
        <w:rPr>
          <w:b/>
          <w:i/>
        </w:rPr>
        <w:t>Asupra contestaţiei în anulare de faţă, constată următoarele:</w:t>
      </w:r>
    </w:p>
    <w:p>
      <w:pPr>
        <w:pStyle w:val="Normal"/>
        <w:ind w:firstLine="708"/>
        <w:jc w:val="both"/>
        <w:rPr>
          <w:b/>
          <w:i/>
          <w:i/>
        </w:rPr>
      </w:pPr>
      <w:r>
        <w:rPr>
          <w:b/>
          <w:i/>
        </w:rPr>
        <w:t>Prin decizia  penală nr. DP2 din ... pronunţată de Curtea de Apel ... în dosarul nr. D2 s-a dispus:</w:t>
      </w:r>
    </w:p>
    <w:p>
      <w:pPr>
        <w:pStyle w:val="Normal"/>
        <w:ind w:firstLine="708"/>
        <w:jc w:val="both"/>
        <w:rPr/>
      </w:pPr>
      <w:r>
        <w:rPr>
          <w:b/>
          <w:i/>
        </w:rPr>
        <w:t>„</w:t>
      </w:r>
      <w:r>
        <w:rPr/>
        <w:t xml:space="preserve">În temeiul </w:t>
      </w:r>
      <w:r>
        <w:rPr>
          <w:b/>
        </w:rPr>
        <w:t>art. 421 pct. 1 lit. b Cod procedură penală</w:t>
      </w:r>
      <w:r>
        <w:rPr/>
        <w:t xml:space="preserve">, respinge ca nefondate apelurile declarate de </w:t>
      </w:r>
      <w:r>
        <w:rPr>
          <w:b/>
        </w:rPr>
        <w:t xml:space="preserve">inculpaţii R2 şi R1 </w:t>
      </w:r>
      <w:r>
        <w:rPr/>
        <w:t>împotriva sentinţei penale nr. SP1, pronunţate de Judecătoria ... în dosarul nr. D2, pe care o menține.</w:t>
      </w:r>
    </w:p>
    <w:p>
      <w:pPr>
        <w:pStyle w:val="Normal"/>
        <w:ind w:firstLine="708"/>
        <w:jc w:val="both"/>
        <w:rPr/>
      </w:pPr>
      <w:r>
        <w:rPr/>
        <w:t xml:space="preserve">În temeiul </w:t>
      </w:r>
      <w:r>
        <w:rPr>
          <w:b/>
        </w:rPr>
        <w:t>art. 275 alin. 2 Cod procedură penală</w:t>
      </w:r>
      <w:r>
        <w:rPr/>
        <w:t>, obligă fiecare inculpat apelant să plătească către stat cheltuieli judiciare în sumă de 300 lei.</w:t>
      </w:r>
    </w:p>
    <w:p>
      <w:pPr>
        <w:pStyle w:val="Normal"/>
        <w:ind w:firstLine="708"/>
        <w:jc w:val="both"/>
        <w:rPr/>
      </w:pPr>
      <w:r>
        <w:rPr/>
        <w:t xml:space="preserve">În temeiul </w:t>
      </w:r>
      <w:r>
        <w:rPr>
          <w:b/>
        </w:rPr>
        <w:t>art. 275 alin. 6 Cod procedură penală</w:t>
      </w:r>
      <w:r>
        <w:rPr/>
        <w:t>, sumele de 90 lei, reprezentând onorariul parţial al apărătorului desemnat din oficiu pentru inculpatul R2, avocat Av1, potrivit delegației nr. ...8/25.01.2017, şi de 90 lei, reprezentând onorariul parţial al apărătorului desemnat din oficiu pentru inculpatul R1, avocat Av2, potrivit delegației nr. ...9/25.01.2017, rămân în sarcina statului şi se avansează către Baroul ... din fondul Ministerului Justiției.</w:t>
      </w:r>
    </w:p>
    <w:p>
      <w:pPr>
        <w:pStyle w:val="Normal"/>
        <w:jc w:val="both"/>
        <w:rPr/>
      </w:pPr>
      <w:r>
        <w:rPr/>
        <w:tab/>
        <w:t>Definitivă.”</w:t>
      </w:r>
    </w:p>
    <w:p>
      <w:pPr>
        <w:pStyle w:val="Normal"/>
        <w:jc w:val="both"/>
        <w:rPr/>
      </w:pPr>
      <w:r>
        <w:rPr/>
      </w:r>
    </w:p>
    <w:p>
      <w:pPr>
        <w:pStyle w:val="Normal"/>
        <w:ind w:firstLine="708"/>
        <w:jc w:val="both"/>
        <w:rPr>
          <w:b/>
          <w:i/>
          <w:i/>
        </w:rPr>
      </w:pPr>
      <w:r>
        <w:rPr>
          <w:b/>
          <w:i/>
        </w:rPr>
        <w:t>Pentru a hotărî astfel, instanţa de apel a reţinut următoarea situaţie de fapt şi de drept:</w:t>
      </w:r>
    </w:p>
    <w:p>
      <w:pPr>
        <w:pStyle w:val="Normal"/>
        <w:ind w:firstLine="709"/>
        <w:jc w:val="both"/>
        <w:rPr>
          <w:b/>
          <w:i/>
          <w:i/>
        </w:rPr>
      </w:pPr>
      <w:r>
        <w:rPr>
          <w:b/>
          <w:i/>
        </w:rPr>
        <w:t>„</w:t>
      </w:r>
      <w:r>
        <w:rPr>
          <w:b/>
          <w:i/>
        </w:rPr>
        <w:t>Prin Sentinţa penală nr. SP1 pronunţate de Judecătoria ... în dosarul nr. D2, s-au dispus următoarele:</w:t>
      </w:r>
    </w:p>
    <w:p>
      <w:pPr>
        <w:pStyle w:val="Normal"/>
        <w:ind w:firstLine="684"/>
        <w:jc w:val="both"/>
        <w:rPr/>
      </w:pPr>
      <w:r>
        <w:rPr>
          <w:b/>
          <w:i/>
        </w:rPr>
        <w:tab/>
      </w:r>
      <w:r>
        <w:rPr>
          <w:i/>
        </w:rPr>
        <w:t>„</w:t>
      </w:r>
      <w:r>
        <w:rPr/>
        <w:t>1. În baza art. 396 al. 1, 2 Cod procedură penală condamnă pe inculpatul R2, fiul lui ... şi ..., născut la data de .. în mun. ..., jud. .., cetăţean român, studii-4 clase, necăsătorit, agricultor, fără antecedente penale, CNP- 1..., cu domiciliul în sat ..., com. ..., jud. ..., la următoarele pedepse:</w:t>
      </w:r>
    </w:p>
    <w:p>
      <w:pPr>
        <w:pStyle w:val="Normal"/>
        <w:ind w:firstLine="684"/>
        <w:jc w:val="both"/>
        <w:rPr/>
      </w:pPr>
      <w:r>
        <w:rPr/>
        <w:t>- pedeapsa de 1 an şi 4 luni închisoare pentru săvârşirea infracţiunii de furt calificat, prevăzută de art. 228 al. 1 - art. 229 al. 1 lit. b, d, al. 2 lit. b Cod penal cu aplicarea art. 396 al. 10 Cod procedură penală (faptă săvârşită la data de 02.09.2014, persoană vătămată A1)</w:t>
      </w:r>
    </w:p>
    <w:p>
      <w:pPr>
        <w:pStyle w:val="Normal"/>
        <w:ind w:firstLine="684"/>
        <w:jc w:val="both"/>
        <w:rPr/>
      </w:pPr>
      <w:r>
        <w:rPr/>
        <w:t>- pedeapsa de 1 an şi 4 luni închisoare pentru săvârşirea infracţiunii de furt calificat, prevăzută de art. 228 al. 1 - art. 229 al. 1 lit. b, d, al. 2 lit. b Cod penal cu aplicarea art. 396 al. 10 Cod procedură penală (faptă săvârşită la data de 09.11.2014, persoană vătămată A2)</w:t>
      </w:r>
    </w:p>
    <w:p>
      <w:pPr>
        <w:pStyle w:val="Normal"/>
        <w:ind w:firstLine="684"/>
        <w:jc w:val="both"/>
        <w:rPr/>
      </w:pPr>
      <w:r>
        <w:rPr/>
        <w:t>- pedeapsa de 1 an şi 4 luni închisoare pentru săvârşirea infracţiunii de furt calificat, prevăzută de art. 228 al. 1 - art. 229 al. 1 lit. b, d, al. 2 lit. b Cod penal cu aplicarea art. 396 al. 10 Cod procedură penală (faptă săvârşită la data de 30.01.2015, persoană vătămată A3)</w:t>
      </w:r>
    </w:p>
    <w:p>
      <w:pPr>
        <w:pStyle w:val="Normal"/>
        <w:ind w:firstLine="684"/>
        <w:jc w:val="both"/>
        <w:rPr/>
      </w:pPr>
      <w:r>
        <w:rPr/>
        <w:t>- pedeapsa de 1 an şi 4 luni închisoare pentru săvârşirea infracţiunii de furt calificat, prevăzută de art. 228 al. 1 - art. 229 al. 1 lit. b, d, al. 2 lit. b Cod penal cu aplicarea art. 396 al. 10 Cod procedură penală (faptă săvârşită la data de 11.02.2015, persoană vătămată A4)</w:t>
      </w:r>
    </w:p>
    <w:p>
      <w:pPr>
        <w:pStyle w:val="Normal"/>
        <w:ind w:firstLine="684"/>
        <w:jc w:val="both"/>
        <w:rPr/>
      </w:pPr>
      <w:r>
        <w:rPr/>
        <w:t>- pedeapsa de 8 luni închisoare pentru săvârşirea infracţiunii de tentativă la furt calificat, prevăzută de art. 32 Cod penal raportat la art. 228 al. 1 - art. 229 al. 1 lit. b, d, al. 2 lit. b Cod penal cu aplicarea art. 396 al. 10 Cod procedură penală (faptă săvârşită la data de 16.02.2015, persoană vătămată A5)</w:t>
      </w:r>
    </w:p>
    <w:p>
      <w:pPr>
        <w:pStyle w:val="Normal"/>
        <w:ind w:firstLine="684"/>
        <w:jc w:val="both"/>
        <w:rPr/>
      </w:pPr>
      <w:r>
        <w:rPr/>
        <w:t>- pedeapsa de 8 luni închisoare pentru săvârşirea infracţiunii de tentativă la furt calificat, prevăzută de art. 32 Cod penal raportat la art. 228 al. 1 - art. 229 al. 1 lit. b, d, al. 2 lit. b Cod penal cu aplicarea art. 396 al. 10 Cod procedură penală (faptă săvârşită la data de 16.02.2015, persoană vătămată A6)</w:t>
      </w:r>
    </w:p>
    <w:p>
      <w:pPr>
        <w:pStyle w:val="Normal"/>
        <w:ind w:firstLine="684"/>
        <w:jc w:val="both"/>
        <w:rPr/>
      </w:pPr>
      <w:r>
        <w:rPr/>
        <w:t>- pedeapsa de 8 luni închisoare pentru săvârşirea infracţiunii de tentativă la furt calificat, prevăzută de art. 32 Cod penal raportat la art. 228 al. 1 - art. 229 al. 1 lit. b, d, al. 2 lit. b Cod penal cu aplicarea art. 396 al. 10 Cod procedură penală (faptă săvârşită la data de 16.02.2015, persoană vătămată A7)</w:t>
      </w:r>
    </w:p>
    <w:p>
      <w:pPr>
        <w:pStyle w:val="Normal"/>
        <w:ind w:firstLine="684"/>
        <w:jc w:val="both"/>
        <w:rPr/>
      </w:pPr>
      <w:r>
        <w:rPr/>
        <w:t>- pedeapsa de 1 an şi 4 luni închisoare pentru săvârşirea infracţiunii de furt calificat, prevăzută de art. 228 al. 1 - art. 229 al. 1 lit. b, d, al. 2 lit. b Cod penal cu aplicarea art. 396 al. 10 Cod procedură penală (faptă săvârşită la data de 02.03.2015, persoană vătămată A8)</w:t>
      </w:r>
    </w:p>
    <w:p>
      <w:pPr>
        <w:pStyle w:val="Normal"/>
        <w:ind w:firstLine="684"/>
        <w:jc w:val="both"/>
        <w:rPr/>
      </w:pPr>
      <w:r>
        <w:rPr/>
        <w:t>- pedeapsa de 1 an şi 4 luni închisoare pentru săvârşirea infracţiunii de furt calificat, prevăzută de art. 228 al. 1 - art. 229 al. 1 lit. b, d, al. 2 lit. b Cod penal cu aplicarea art. 396 al. 10 Cod procedură penală (faptă săvârşită la data de 07.03.2015, persoană vătămată A9)</w:t>
      </w:r>
    </w:p>
    <w:p>
      <w:pPr>
        <w:pStyle w:val="Normal"/>
        <w:ind w:firstLine="684"/>
        <w:jc w:val="both"/>
        <w:rPr/>
      </w:pPr>
      <w:r>
        <w:rPr/>
        <w:t>- pedeapsa de 1 an şi 4 luni închisoare pentru săvârşirea infracţiunii de furt calificat, prevăzută de art. 228 al. 1 - art. 229 al. 1 lit. b, d, al. 2 lit. b Cod penal cu aplicarea art. 396 al. 10 Cod procedură penală (faptă săvârşită la data de 12.03.2015, persoană vătămată A10)</w:t>
      </w:r>
    </w:p>
    <w:p>
      <w:pPr>
        <w:pStyle w:val="Normal"/>
        <w:ind w:firstLine="708"/>
        <w:jc w:val="both"/>
        <w:rPr/>
      </w:pPr>
      <w:r>
        <w:rPr/>
        <w:t>În temeiul art. 38 alin. 1, art. 39 alin. 1 lit. b Cod penal, contopeşte cele zece pedepse aplicate inculpatului R2 în pedeapsa cea mai grea de 1 an şi 4 luni închisoare, pe care o sporeşte cu 1/3 din totalul de 10 ani închisoare al celorlalte nouă pedepse, respectiv 3 ani şi 4 luni închisoare, rezultând pedeapsa finală de 4 (patru) ani şi 8 (opt)  luni închisoare.</w:t>
      </w:r>
    </w:p>
    <w:p>
      <w:pPr>
        <w:pStyle w:val="Normal"/>
        <w:ind w:firstLine="708"/>
        <w:jc w:val="both"/>
        <w:rPr/>
      </w:pPr>
      <w:r>
        <w:rPr/>
      </w:r>
    </w:p>
    <w:p>
      <w:pPr>
        <w:pStyle w:val="Normal"/>
        <w:ind w:firstLine="684"/>
        <w:jc w:val="both"/>
        <w:rPr/>
      </w:pPr>
      <w:r>
        <w:rPr/>
        <w:t>2. În baza art. 396 al. 1, 2 Cod procedură penală condamnă pe inculpatul R1, fiul lui ... şi .., născut la data de ... în mun..., jud. ..., cetăţean român, studii-8 clase, căsătorit, agricultor, fără antecedente penale, CNP- ..., cu domiciliul în sat ..., com. ..., jud. ..., la următoarele pedepse:</w:t>
      </w:r>
    </w:p>
    <w:p>
      <w:pPr>
        <w:pStyle w:val="Normal"/>
        <w:ind w:firstLine="684"/>
        <w:jc w:val="both"/>
        <w:rPr/>
      </w:pPr>
      <w:r>
        <w:rPr/>
        <w:t>- pedeapsa de 1 an şi 4 luni închisoare pentru săvârşirea infracţiunii de furt calificat, prevăzută de art. 228 al. 1 - art. 229 al. 1 lit. b, d, al. 2 lit. b Cod penal cu aplicarea art. 396 al. 10 Cod procedură penală (faptă săvârşită la data de 02.09.2014, persoană vătămată A1)</w:t>
      </w:r>
    </w:p>
    <w:p>
      <w:pPr>
        <w:pStyle w:val="Normal"/>
        <w:ind w:firstLine="684"/>
        <w:jc w:val="both"/>
        <w:rPr/>
      </w:pPr>
      <w:r>
        <w:rPr/>
        <w:t>- pedeapsa de 1 an şi 4 luni închisoare pentru săvârşirea infracţiunii de furt calificat, prevăzută de art. 228 al. 1 - art. 229 al. 1 lit. b, d, al. 2 lit. b Cod penal cu aplicarea art. 396 al. 10 Cod procedură penală (faptă săvârşită la data de 09.11.2014, persoană vătămată A2)</w:t>
      </w:r>
    </w:p>
    <w:p>
      <w:pPr>
        <w:pStyle w:val="Normal"/>
        <w:ind w:firstLine="684"/>
        <w:jc w:val="both"/>
        <w:rPr/>
      </w:pPr>
      <w:r>
        <w:rPr/>
        <w:t>- pedeapsa de 1 an şi 4 luni închisoare pentru săvârşirea infracţiunii de furt calificat, prevăzută de art. 228 al. 1 - art. 229 al. 1 lit. b, d, al. 2 lit. b Cod penal cu aplicarea art. 396 al. 10 Cod procedură penală (faptă săvârşită la data de 30.01.2015, persoană vătămată A3)</w:t>
      </w:r>
    </w:p>
    <w:p>
      <w:pPr>
        <w:pStyle w:val="Normal"/>
        <w:ind w:firstLine="684"/>
        <w:jc w:val="both"/>
        <w:rPr/>
      </w:pPr>
      <w:r>
        <w:rPr/>
        <w:t>- pedeapsa de 1 an şi 4 luni închisoare pentru săvârşirea infracţiunii de furt calificat, prevăzută de art. 228 al. 1 - art. 229 al. 1 lit. b, d, al. 2 lit. b Cod penal cu aplicarea art. 396 al. 10 Cod procedură penală (faptă săvârşită la data de 11.02.2015, persoană vătămată A4)</w:t>
      </w:r>
    </w:p>
    <w:p>
      <w:pPr>
        <w:pStyle w:val="Normal"/>
        <w:ind w:firstLine="684"/>
        <w:jc w:val="both"/>
        <w:rPr/>
      </w:pPr>
      <w:r>
        <w:rPr/>
        <w:t>- pedeapsa de 8 luni închisoare pentru săvârşirea infracţiunii de tentativă la furt calificat, prevăzută de art. 32 Cod penal raportat la art. 228 al. 1 - art. 229 al. 1 lit. b, d, al. 2 lit. b Cod penal cu aplicarea art. 396 al. 10 Cod procedură penală (faptă săvârşită la data de 16.02.2015, persoană vătămată A5)</w:t>
      </w:r>
    </w:p>
    <w:p>
      <w:pPr>
        <w:pStyle w:val="Normal"/>
        <w:ind w:firstLine="684"/>
        <w:jc w:val="both"/>
        <w:rPr/>
      </w:pPr>
      <w:r>
        <w:rPr/>
        <w:t>- pedeapsa de 8 luni închisoare pentru săvârşirea infracţiunii de tentativă la furt calificat, prevăzută de art. 32 Cod penal raportat la art. 228 al. 1 - art. 229 al. 1 lit. b, d, al. 2 lit. b Cod penal cu aplicarea art. 396 al. 10 Cod procedură penală (faptă săvârşită la data de 16.02.2015, persoană vătămată A6)</w:t>
      </w:r>
    </w:p>
    <w:p>
      <w:pPr>
        <w:pStyle w:val="Normal"/>
        <w:ind w:firstLine="684"/>
        <w:jc w:val="both"/>
        <w:rPr/>
      </w:pPr>
      <w:r>
        <w:rPr/>
        <w:t>- pedeapsa de 8 luni închisoare pentru săvârşirea infracţiunii de tentativă la furt calificat, prevăzută de art. 32 Cod penal raportat la art. 228 al. 1 - art. 229 al. 1 lit. b, d, al. 2 lit. b Cod penal cu aplicarea art. 396 al. 10 Cod procedură penală (faptă săvârşită la data de 16.02.2015, persoană vătămată A7)</w:t>
      </w:r>
    </w:p>
    <w:p>
      <w:pPr>
        <w:pStyle w:val="Normal"/>
        <w:ind w:firstLine="684"/>
        <w:jc w:val="both"/>
        <w:rPr/>
      </w:pPr>
      <w:r>
        <w:rPr/>
        <w:t>- pedeapsa de 1 an şi 4 luni închisoare pentru săvârşirea infracţiunii de furt calificat, prevăzută de art. 228 al. 1 - art. 229 al. 1 lit. b, d, al. 2 lit. b Cod penal cu aplicarea art. 396 al. 10 Cod procedură penală (faptă săvârşită la data de 02.03.2015, persoană vătămată A8)</w:t>
      </w:r>
    </w:p>
    <w:p>
      <w:pPr>
        <w:pStyle w:val="Normal"/>
        <w:ind w:firstLine="684"/>
        <w:jc w:val="both"/>
        <w:rPr/>
      </w:pPr>
      <w:r>
        <w:rPr/>
        <w:t>- pedeapsa de 1 an şi 4 luni închisoare pentru săvârşirea infracţiunii de furt calificat, prevăzută de art. 228 al. 1 - art. 229 al. 1 lit. b, d, al. 2 lit. b Cod penal cu aplicarea art. 396 al. 10 Cod procedură penală (faptă săvârşită la data de 07.03.2015, persoană vătămată A9)</w:t>
      </w:r>
    </w:p>
    <w:p>
      <w:pPr>
        <w:pStyle w:val="Normal"/>
        <w:ind w:firstLine="684"/>
        <w:jc w:val="both"/>
        <w:rPr/>
      </w:pPr>
      <w:r>
        <w:rPr/>
        <w:t>- pedeapsa de 1 an şi 4 luni închisoare pentru săvârşirea infracţiunii de furt calificat, prevăzută de art. 228 al. 1 - art. 229 al. 1 lit. b, d, al. 2 lit. b Cod penal cu aplicarea art. 396 al. 10 Cod procedură penală (faptă săvârşită la data de 12.03.2015, persoană vătămată A10)</w:t>
      </w:r>
    </w:p>
    <w:p>
      <w:pPr>
        <w:pStyle w:val="Normal"/>
        <w:ind w:firstLine="708"/>
        <w:jc w:val="both"/>
        <w:rPr/>
      </w:pPr>
      <w:r>
        <w:rPr/>
        <w:t>În temeiul art. 38 alin. 1, art. 39 alin. 1 lit. b Cod penal, contopeşte cele zece pedepse aplicate inculpatului R1 în pedeapsa cea mai grea de 1 an şi 4 luni închisoare, pe care o sporeşte cu 1/3 din totalul de 10 ani închisoare al celorlalte nouă pedepse, respectiv 3 ani şi 4 luni închisoare, rezultând pedeapsa finală de 4 (patru) ani şi 8 (opt)  luni închisoare.</w:t>
      </w:r>
    </w:p>
    <w:p>
      <w:pPr>
        <w:pStyle w:val="Normal"/>
        <w:ind w:firstLine="708"/>
        <w:jc w:val="both"/>
        <w:rPr/>
      </w:pPr>
      <w:r>
        <w:rPr/>
        <w:t xml:space="preserve">În baza art. 397 al. 1 Cod procedură penală constată că persoanele vătămate: A1-decedat, A2, domiciliată în sat/com. ..., JUD..., A3, domiciliat în sat/com. ..., JUD..., A4, domiciliată în sat  ..., com. ..., JUD..., A5, domiciliat în sat/com. ..., JUD..., A6, domiciliat în sat/com. ..., JUD..., A7, domiciliată în sat/com. ..., JUD..., A9, domiciliat în sat  ..., com. ..., JUD... şi A10, domiciliată în sat  ..., com. ..., JUD..., nu s-au constituit  părţi civile în procesul penal. </w:t>
      </w:r>
    </w:p>
    <w:p>
      <w:pPr>
        <w:pStyle w:val="Normal"/>
        <w:ind w:firstLine="708"/>
        <w:jc w:val="both"/>
        <w:rPr/>
      </w:pPr>
      <w:r>
        <w:rPr/>
        <w:t xml:space="preserve">Admite acţiunea civilă formulată de persoana vătămată, constituită parte civilă, A8, domiciliată în sat  ..., com. ..., JUD..., şi obligă inculpaţii, în solidar, la plata către aceasta a sumei de 230 lei-despăgubiri materiale. Constată achitată de către inculpatul R1 suma de 70 lei către partea civilă A8, conf. facturii depuse la dosar. </w:t>
      </w:r>
    </w:p>
    <w:p>
      <w:pPr>
        <w:pStyle w:val="Normal"/>
        <w:ind w:firstLine="708"/>
        <w:jc w:val="both"/>
        <w:rPr/>
      </w:pPr>
      <w:r>
        <w:rPr/>
        <w:t>În baza art. 112 al. 1 lit. e Cod penal dispune confiscarea de la fiecare din cei doi inculpaţi a câte unei sume de 1194 lei.</w:t>
      </w:r>
    </w:p>
    <w:p>
      <w:pPr>
        <w:pStyle w:val="Normal"/>
        <w:jc w:val="both"/>
        <w:rPr/>
      </w:pPr>
      <w:r>
        <w:rPr/>
        <w:t xml:space="preserve">           </w:t>
      </w:r>
      <w:r>
        <w:rPr/>
        <w:t>În temeiul art. 272 Cod procedură penală va dispune  avansarea către Baroul de Avocaţi ... a sumei de 720 lei, reprezentând onorarii apărători desemnaţi din oficiu, compusă din: 360 lei – onorariu av. Av3 – deleg. nr. ...3/27.09.2016 şi 360 lei – onorariu av. Av4  - deleg. nr. ...2/27.09.2016, din fondurile Ministerului Justiţiei.</w:t>
      </w:r>
    </w:p>
    <w:p>
      <w:pPr>
        <w:pStyle w:val="Normal"/>
        <w:ind w:firstLine="720"/>
        <w:jc w:val="both"/>
        <w:rPr>
          <w:b/>
          <w:i/>
          <w:i/>
        </w:rPr>
      </w:pPr>
      <w:r>
        <w:rPr/>
        <w:t>Conform art. 272 alin. 1 şi art. 274 alin. 1, 2 Cod procedură penală obligă pe fiecare din cei doi inculpaţi la plata către stat a câte unei sume de 500 lei, cu titlu de cheltuieli judiciare avansate în cursul urmăririi penale şi al judecăţii</w:t>
      </w:r>
      <w:bookmarkStart w:name="3" w:id="0"/>
      <w:bookmarkEnd w:id="0"/>
      <w:r>
        <w:rPr/>
        <w:t>.</w:t>
      </w:r>
      <w:r>
        <w:rPr>
          <w:b/>
          <w:i/>
        </w:rPr>
        <w:t>”</w:t>
      </w:r>
    </w:p>
    <w:p>
      <w:pPr>
        <w:pStyle w:val="Normal"/>
        <w:tabs>
          <w:tab w:val="clear" w:pos="720"/>
          <w:tab w:val="left" w:leader="none" w:pos="6480"/>
        </w:tabs>
        <w:ind w:firstLine="709"/>
        <w:jc w:val="both"/>
        <w:rPr/>
      </w:pPr>
      <w:r>
        <w:rPr/>
        <w:tab/>
      </w:r>
    </w:p>
    <w:p>
      <w:pPr>
        <w:pStyle w:val="Normal"/>
        <w:ind w:firstLine="709"/>
        <w:jc w:val="both"/>
        <w:rPr>
          <w:b/>
          <w:i/>
          <w:i/>
        </w:rPr>
      </w:pPr>
      <w:r>
        <w:rPr>
          <w:b/>
          <w:i/>
        </w:rPr>
        <w:t>Pentru a pronunţa această sentinţă, prima instanţă a reţinut:</w:t>
      </w:r>
    </w:p>
    <w:p>
      <w:pPr>
        <w:pStyle w:val="Normal"/>
        <w:ind w:firstLine="708"/>
        <w:jc w:val="both"/>
        <w:rPr/>
      </w:pPr>
      <w:r>
        <w:rPr/>
        <w:t>„</w:t>
      </w:r>
      <w:r>
        <w:rPr/>
        <w:t>Pe rolul acestei instanţe, la data de 09 iunie 2016, sub nr.D2, a fost înregistrat rechizitoriul Parchetului de pe lângă Judecătoria ...nr.X1 din ..., prin care s-a dispus trimiterea în judecată, în stare de libertate, a inculpaţilor R2 şi R1, pentru săvârşirea, în concurs, a trei infracţiuni de tentativă la furt calificat, fapte prevăzute şi pedepsite de art.32 C.pen. rap. la art.228 alin.1- art.229 al.1 lit.b,d, al.2 lit.b C.pen. şi a şapte infracţiuni de furt calificat, fapte prevăzute şi pedepsite de art.228 alin.1- art.229 al.1 lit.b,d, al.2 lit.b C.pen., toate cu aplicarea art.38 al.1 Cod penal.</w:t>
      </w:r>
    </w:p>
    <w:p>
      <w:pPr>
        <w:pStyle w:val="Normal"/>
        <w:ind w:firstLine="708"/>
        <w:jc w:val="both"/>
        <w:rPr/>
      </w:pPr>
      <w:r>
        <w:rPr/>
        <w:t xml:space="preserve"> </w:t>
      </w:r>
      <w:r>
        <w:rPr/>
        <w:t>În esenţă, în actul de sesizare, s-a reţinut în sarcina  inculpaţilor R2 şi R1 faptul că, în perioada 02.09.2014-07.03.2015, aceştia au pătruns fără drept în curţile şi locuinţele mai multor persoane vătămate de unde au sustras sau au încercat să sustragă bunuri.</w:t>
      </w:r>
    </w:p>
    <w:p>
      <w:pPr>
        <w:pStyle w:val="Normal"/>
        <w:ind w:firstLine="708"/>
        <w:jc w:val="both"/>
        <w:rPr/>
      </w:pPr>
      <w:r>
        <w:rPr/>
        <w:t>Inculpaţii R2 şi R1 au fost audiaţi în cursul urmăririi penale, unde au recunoscut comiterea faptelor reţinute, fiind administrate următoarele mijloace de probă: procese-verbale de sesizare, procese-verbale de cercetare la faţa locului însoţite de planşe foto, declaraţiile persoanelor vătămate, declaraţiile inculpaţilor, declaraţiile martorilor, procese-verbale de evaluare, procese-verbale de reconstituire, procese-verbale de predare-primire a bunurilor sustrase.</w:t>
      </w:r>
    </w:p>
    <w:p>
      <w:pPr>
        <w:pStyle w:val="Normal"/>
        <w:ind w:firstLine="708"/>
        <w:jc w:val="both"/>
        <w:rPr>
          <w:i/>
          <w:i/>
        </w:rPr>
      </w:pPr>
      <w:r>
        <w:rPr/>
        <w:t>În procedura de cameră preliminară nu au fost invocate cereri şi excepţii de către inculpaţi sau apărătorii acestora, persoanele vătămate şi nici instanţa nu a apreciat că se impun a fi invocate din oficiu, astfel încât, prin Încheierea din 28.07.2016, în temeiul art.346 alin.1 Cod proc. pen., s-a constatat legalitatea sesizării instanţei, a administrării probelor şi a efectuării actelor de urmărire penală şi s-a dispus începerea judecăţii cauzei privind pe cei doi inculpaţi.</w:t>
      </w:r>
    </w:p>
    <w:p>
      <w:pPr>
        <w:pStyle w:val="Normal"/>
        <w:jc w:val="both"/>
        <w:rPr/>
      </w:pPr>
      <w:r>
        <w:rPr>
          <w:b/>
        </w:rPr>
        <w:tab/>
      </w:r>
      <w:r>
        <w:rPr/>
        <w:t>Persoanele vătămate A1, A2, A3, A4, A5, A6, A7, A9 şi A10 nu s-au constituit părţi civile în procesul penal, constituindu-se parte civilă doar persoana vătămată A8 cu suma de 300 lei-despăgubiri materiale, reprezentând contravaloarea bunurilor sustrase şi nerecuperate.</w:t>
      </w:r>
    </w:p>
    <w:p>
      <w:pPr>
        <w:pStyle w:val="Normal"/>
        <w:ind w:firstLine="708"/>
        <w:jc w:val="both"/>
        <w:rPr/>
      </w:pPr>
      <w:r>
        <w:rPr/>
        <w:t>La termenul de judecată din data de 27.09.2016, inculpaţilor le-au fost aduse la cunoştinţă dispoziţiile art.374 alin.4 Cod de procedură penală şi art.396 alin.10 Cod de procedură penală, iar aceştia, în faţa instanţei de judecată, au declarat că  recunosc în totalitate faptele reţinute în  sarcina lor prin rechizitoriu şi că doresc să fie judecaţi în baza probatoriului administrat în cursul urmăririi penale, depunând la dosar înscrisuri în circumstanţiere (f.73-82).</w:t>
      </w:r>
    </w:p>
    <w:p>
      <w:pPr>
        <w:pStyle w:val="Normal"/>
        <w:ind w:firstLine="691"/>
        <w:jc w:val="both"/>
        <w:rPr/>
      </w:pPr>
      <w:r>
        <w:rPr/>
        <w:t xml:space="preserve">Verificând condiţiile de admisibilitate ale cererilor inculpaţilor de a fi judecaţi în baza procedurii simplificate, instanţa a constatat că nu există nici un impediment pentru ca inculpaţii să fie judecaţi în baza acestei proceduri şi a admis cererile. </w:t>
      </w:r>
    </w:p>
    <w:p>
      <w:pPr>
        <w:pStyle w:val="Normal"/>
        <w:ind w:firstLine="691"/>
        <w:jc w:val="both"/>
        <w:rPr/>
      </w:pPr>
      <w:r>
        <w:rPr/>
        <w:t>Din dispoziţia instanţei, au fost ataşate la dosarul cauzei fişele de cazier judiciar ale inculpaţilor.</w:t>
      </w:r>
    </w:p>
    <w:p>
      <w:pPr>
        <w:pStyle w:val="Normal"/>
        <w:ind w:firstLine="682"/>
        <w:jc w:val="both"/>
        <w:rPr>
          <w:b/>
          <w:i/>
          <w:i/>
        </w:rPr>
      </w:pPr>
      <w:r>
        <w:rPr>
          <w:b/>
          <w:i/>
        </w:rPr>
        <w:t xml:space="preserve">Analizând probele administrate în cauză, instanţa reţine următoarele: </w:t>
      </w:r>
    </w:p>
    <w:p>
      <w:pPr>
        <w:pStyle w:val="Normal"/>
        <w:ind w:firstLine="682"/>
        <w:jc w:val="both"/>
        <w:rPr>
          <w:shd w:val="clear" w:fill="FFFFFF"/>
        </w:rPr>
      </w:pPr>
      <w:r>
        <w:rPr>
          <w:shd w:val="clear" w:fill="FFFFFF"/>
        </w:rPr>
        <w:t>În fapt,</w:t>
      </w:r>
    </w:p>
    <w:p>
      <w:pPr>
        <w:pStyle w:val="Normal"/>
        <w:ind w:firstLine="682"/>
        <w:jc w:val="both"/>
        <w:rPr/>
      </w:pPr>
      <w:r>
        <w:rPr>
          <w:rFonts w:ascii="Franklin Gothic Heavy" w:hAnsi="Franklin Gothic Heavy"/>
          <w:sz w:val="8"/>
          <w:shd w:val="clear" w:fill="FFFFFF"/>
        </w:rPr>
        <w:t>1. Î</w:t>
      </w:r>
      <w:r>
        <w:rPr/>
        <w:t>n seara de 02.09.2014 inculpaţii R2 şi R1 s-au întâlnit la locuinţa inculpatului R2 şi împreună s-au hotărât să se deplaseze în com. ... pentru a sustrage bunuri alimentare.</w:t>
      </w:r>
    </w:p>
    <w:p>
      <w:pPr>
        <w:pStyle w:val="Normal"/>
        <w:ind w:firstLine="640"/>
        <w:jc w:val="both"/>
        <w:rPr/>
      </w:pPr>
      <w:r>
        <w:rPr/>
        <w:t>Astfel, în jurul orei 01,00, cei doi inculpaţi s-au deplasat la locuinţa persoanei vătămate A1 unde au pătruns pe poartă şi s-au deplasat la o anexă care avea uşa asigurată cu un lacăt. Inculpatul R2 a forţat uşa, după care inculpaţii au pătruns în interior, însă nu au găsit bunuri pentru a le sustrage. Pentru acest motiv, cei doi inculpaţi au forţat uşa de la locuinţa persoanei vătămate şi, din interior, au luat din frigider o farfurie cu ardei umpluţi şi carne şi au mâncat, după care au început să caute bunuri.</w:t>
      </w:r>
    </w:p>
    <w:p>
      <w:pPr>
        <w:pStyle w:val="Normal"/>
        <w:ind w:firstLine="640"/>
        <w:jc w:val="both"/>
        <w:rPr/>
      </w:pPr>
      <w:r>
        <w:rPr/>
        <w:t>Fiindcă persoana vătămată s-a trezit şi a început să ţipe, inculpatul R2 a luat o sticlă de 1,5 litri cu ţuică şi o pălărie, iar inculpatul R1 a luat trei cutii cu fasole conservată şi jumătate kg de napolitane şi biscuiţi, după care au părăsit locuinţa respectivă.</w:t>
      </w:r>
    </w:p>
    <w:p>
      <w:pPr>
        <w:pStyle w:val="Normal"/>
        <w:ind w:firstLine="640"/>
        <w:jc w:val="both"/>
        <w:rPr/>
      </w:pPr>
      <w:r>
        <w:rPr/>
        <w:t>Prejudiciul cauzat este în valoare de 90 lei, din care a fost recuperată suma de 40 lei. Persoana vătămată A1 a declarat în cursul urmăririi penale că nu se constituie parte civilă în cauză, aceasta decedând la data de 27.11.2014 din cauze naturale.</w:t>
      </w:r>
    </w:p>
    <w:p>
      <w:pPr>
        <w:pStyle w:val="Normal"/>
        <w:ind w:right="-133" w:firstLine="640"/>
        <w:jc w:val="both"/>
        <w:rPr/>
      </w:pPr>
      <w:r>
        <w:rPr/>
        <w:t xml:space="preserve">2. În seara de 09.11.2014, inculpaţii </w:t>
      </w:r>
      <w:r>
        <w:rPr>
          <w:rFonts w:ascii="Franklin Gothic Medium" w:hAnsi="Franklin Gothic Medium"/>
        </w:rPr>
        <w:t>R2 şi R1</w:t>
      </w:r>
      <w:r>
        <w:rPr/>
        <w:t xml:space="preserve"> s-au deplasat la locuinţa persoanei vătămate A2 cu aceeaşi intenţie de a sustrage bunuri. Acolo au pătruns în curte pe poartă, s-au deplasat la o anexă asigurată cu un lacăt şi, prin efracţie, au intrat în interior, de unde au sustras următoarele bunuri: un flex marca ...,o bormaşină marca ..., o autofiletantă, un încărcător şi 4 sticle a câte doi litri cu ţuică. Din această anexă au intrat apoi în bucătărie şi, din frigider, au sustras o pungă cu 10 kg carne curcan şi o cutie de cafea.</w:t>
      </w:r>
    </w:p>
    <w:p>
      <w:pPr>
        <w:pStyle w:val="Normal"/>
        <w:ind w:right="-133" w:firstLine="640"/>
        <w:jc w:val="both"/>
        <w:rPr/>
      </w:pPr>
      <w:r>
        <w:rPr/>
        <w:t xml:space="preserve">Apoi, cei doi au ieşit şi s-au deplasat la intrarea principală a locuinţei, au forţat uşa de acces şi au intrat în interior, de unde au sustras un DVD marca ... şi un set de whisky marca ... cu două pahare. </w:t>
      </w:r>
    </w:p>
    <w:p>
      <w:pPr>
        <w:pStyle w:val="Normal"/>
        <w:ind w:right="-133" w:firstLine="640"/>
        <w:jc w:val="both"/>
        <w:rPr/>
      </w:pPr>
      <w:r>
        <w:rPr/>
        <w:t xml:space="preserve">Cu ocazia percheziţiei domiciliare, efectuate în timpul urmăririi penale la locuinţa inculpatului R2, au fost găsite DVD-playerul marca .., bormaşina marca .. şi autofiletanta marca ..., bunuri care au fost ridicate şi predate persoanei vătămate. </w:t>
      </w:r>
    </w:p>
    <w:p>
      <w:pPr>
        <w:pStyle w:val="Normal"/>
        <w:ind w:right="-133" w:firstLine="640"/>
        <w:jc w:val="both"/>
        <w:rPr/>
      </w:pPr>
      <w:r>
        <w:rPr/>
        <w:t>Prejudiciu cauzat este în valoare de 1420 lei, din care au fost recuperate bunuri în valoare de 695 lei, persoana vătămată A2 declarând că nu se constituie parte civilă în cauză.</w:t>
      </w:r>
    </w:p>
    <w:p>
      <w:pPr>
        <w:pStyle w:val="Normal"/>
        <w:ind w:right="-133" w:firstLine="640"/>
        <w:jc w:val="both"/>
        <w:rPr/>
      </w:pPr>
      <w:r>
        <w:rPr/>
        <w:t xml:space="preserve">3. În seara de 30.01.2015, în jurul orei 22,00, inculpaţii </w:t>
      </w:r>
      <w:r>
        <w:rPr>
          <w:rFonts w:ascii="Franklin Gothic Medium" w:hAnsi="Franklin Gothic Medium"/>
        </w:rPr>
        <w:t>R2 şi R1</w:t>
      </w:r>
      <w:r>
        <w:rPr/>
        <w:t xml:space="preserve"> s-au deplasat la locuinţa persoanei vătămate A3, au pătruns în curte prin escaladarea gardului, după care, prin forţarea şi escaladarea unui geam, au pătruns în locuinţă de unde au sustras produse cosmetice pe care le-au pus într-o geantă găsită în locuinţă. </w:t>
      </w:r>
    </w:p>
    <w:p>
      <w:pPr>
        <w:pStyle w:val="Normal"/>
        <w:ind w:right="-133" w:firstLine="640"/>
        <w:jc w:val="both"/>
        <w:rPr/>
      </w:pPr>
      <w:r>
        <w:rPr/>
        <w:t>După aceea s-au deplasat la o anexă care nu avea uşa încuiată şi au sustras o găleată emailată care conţinea 10 kg carne de porc şi o sticlă de doi litri cu vin, iar dintr-un coteţ pentru păsări au sustras 4 găini, pe care le-au pus într-o altă geantă luată din anexă, după care au plecat, iar bunurile sustrase le-au împărţit.</w:t>
      </w:r>
    </w:p>
    <w:p>
      <w:pPr>
        <w:pStyle w:val="Normal"/>
        <w:ind w:right="-133" w:firstLine="640"/>
        <w:jc w:val="both"/>
        <w:rPr/>
      </w:pPr>
      <w:r>
        <w:rPr/>
        <w:t>Cu ocazia percheziţiei efectuate  în cursul urmăririi penale la domiciliul inculpatului R2 au fost găsite cele două genţi de voiaj şi găleata goală, acestea fiind ridicate şi predate persoanei vătămate.</w:t>
      </w:r>
    </w:p>
    <w:p>
      <w:pPr>
        <w:pStyle w:val="Normal"/>
        <w:ind w:right="-133" w:firstLine="640"/>
        <w:jc w:val="both"/>
        <w:rPr/>
      </w:pPr>
      <w:r>
        <w:rPr/>
        <w:t>Prejudiciul cauzat este în valoare de 610 lei, din care a fost recuperată prin restituire suma de 90 lei, persoana vătămată A3 declarând că nu se constituie parte civilă în cauză.</w:t>
      </w:r>
    </w:p>
    <w:p>
      <w:pPr>
        <w:pStyle w:val="Normal"/>
        <w:tabs>
          <w:tab w:val="clear" w:pos="720"/>
          <w:tab w:val="left" w:leader="none" w:pos="9537"/>
        </w:tabs>
        <w:ind w:right="-157"/>
        <w:jc w:val="both"/>
        <w:rPr/>
      </w:pPr>
      <w:r>
        <w:rPr/>
        <w:t xml:space="preserve">           </w:t>
      </w:r>
      <w:r>
        <w:rPr/>
        <w:t>4. În seara de 11.02.2015, în jurul orei 22,00, cei doi inculpaţi s-au deplasat la locuinţa persoanei vătămate A4 din satul  ..., com ..., jud ..., cu intenţia de a sustrage bunuri, au pătruns în curte pe o poartă şi au intrat în locuinţă prin escaladarea unei ferestre neasigurate. Din interior au sustras suma de 80 de lei dintr-un portofel, o cartelă telefonică de 7 euro, un kg de şuncă, o cutie de cafea, un fierbător electric şi 10 litri de ţuică, după care au părăsit locul faptei, împărţind bunurile sustrase.</w:t>
      </w:r>
    </w:p>
    <w:p>
      <w:pPr>
        <w:pStyle w:val="Normal"/>
        <w:ind w:right="23" w:firstLine="640"/>
        <w:jc w:val="both"/>
        <w:rPr/>
      </w:pPr>
      <w:r>
        <w:rPr/>
        <w:t>Cu ocazia percheziţiei domiciliare efectuate la locuinţa inculpatului R2, a fost găsită cutia de cafea şi fierbătorul electric, care au fost predate persoanei vătămate.</w:t>
      </w:r>
    </w:p>
    <w:p>
      <w:pPr>
        <w:pStyle w:val="Normal"/>
        <w:ind w:right="23" w:firstLine="640"/>
        <w:jc w:val="both"/>
        <w:rPr/>
      </w:pPr>
      <w:r>
        <w:rPr/>
        <w:t>Prejudiciu cauzat este în valoare de 465 lei, din care au fost recuperate bunuri în valoare de 32 lei, persoana vătămată A4 declarând că nu se constituie parte civilă în cauză.</w:t>
      </w:r>
    </w:p>
    <w:p>
      <w:pPr>
        <w:pStyle w:val="Normal"/>
        <w:ind w:right="23" w:firstLine="640"/>
        <w:jc w:val="both"/>
        <w:rPr/>
      </w:pPr>
      <w:r>
        <w:rPr/>
        <w:t>5. În seara de 16.02.2015, în jurul orei 22,00, cei doi inculpaţi au pătruns în curtea locuinţei persoanei vătămate A5 din sat/com...., jud ..., prin escaladarea unui gard, după care, prin forţarea unei ferestre, au pătruns în interiorul locuinţei, însă nu au găsit bunuri care să-i intereseze şi au părăsit locul faptei fără a sustrage ceva.</w:t>
      </w:r>
    </w:p>
    <w:p>
      <w:pPr>
        <w:pStyle w:val="Normal"/>
        <w:ind w:right="428" w:firstLine="640"/>
        <w:jc w:val="both"/>
        <w:rPr/>
      </w:pPr>
      <w:r>
        <w:rPr/>
        <w:t>Persoana vătămată A5 a declarat că nu se constituie parte civilă în cauză.</w:t>
      </w:r>
    </w:p>
    <w:p>
      <w:pPr>
        <w:pStyle w:val="Normal"/>
        <w:ind w:right="23" w:firstLine="640"/>
        <w:jc w:val="both"/>
        <w:rPr/>
      </w:pPr>
      <w:r>
        <w:rPr/>
        <w:t xml:space="preserve">6. În aceeaşi noapte, din curtea persoanei vătămate A5, prin escaladarea gardului, inculpaţii </w:t>
      </w:r>
      <w:r>
        <w:rPr>
          <w:rFonts w:ascii="Franklin Gothic Medium" w:hAnsi="Franklin Gothic Medium"/>
        </w:rPr>
        <w:t>R2 şi R1</w:t>
      </w:r>
      <w:r>
        <w:rPr/>
        <w:t xml:space="preserve"> au pătruns în curtea persoanei vătămate A6, deplasându-se la o anexă cu intenţia de a sustrage bunuri. Fiindcă uşa era închisă, aceştia au încercat să o forţeze, timp în care persoana vătămată a aprins lumina, motiv pentru care inculpaţii au fugit fără să sustragă bunuri.</w:t>
      </w:r>
    </w:p>
    <w:p>
      <w:pPr>
        <w:pStyle w:val="Normal"/>
        <w:ind w:right="428" w:firstLine="640"/>
        <w:jc w:val="both"/>
        <w:rPr/>
      </w:pPr>
      <w:r>
        <w:rPr/>
        <w:t xml:space="preserve">Persoana vătămată A6 a declarat că nu se constituie parte civilă în cauză. </w:t>
      </w:r>
    </w:p>
    <w:p>
      <w:pPr>
        <w:pStyle w:val="Normal"/>
        <w:ind w:right="23" w:firstLine="640"/>
        <w:jc w:val="both"/>
        <w:rPr/>
      </w:pPr>
      <w:r>
        <w:rPr/>
        <w:t xml:space="preserve"> </w:t>
      </w:r>
      <w:r>
        <w:rPr/>
        <w:t>7. După ce inculpaţii au plecat de la persoana vătămată A6, s-au deplasat la locuinţa persoanei vătămate A7 din sat/com. ..., au pătruns în curte prin escaladarea gardului, după care au intrat în locuinţă prin forţarea şi escaladarea unei ferestre, însă nu au găsit bunuri pe care să le sustragă, motiv pentru care au plecat.</w:t>
      </w:r>
    </w:p>
    <w:p>
      <w:pPr>
        <w:pStyle w:val="Normal"/>
        <w:ind w:right="428" w:firstLine="640"/>
        <w:jc w:val="both"/>
        <w:rPr/>
      </w:pPr>
      <w:r>
        <w:rPr/>
        <w:t>Persoana vătămată A7 a declarat că nu se constituie parte civilă în cauză.</w:t>
      </w:r>
    </w:p>
    <w:p>
      <w:pPr>
        <w:pStyle w:val="Normal"/>
        <w:ind w:right="23" w:firstLine="640"/>
        <w:jc w:val="both"/>
        <w:rPr/>
      </w:pPr>
      <w:r>
        <w:rPr/>
        <w:t>8. În seara de 02.03.2015, în jurul orei 22,00, cei doi inculpaţi s-au deplasat la locuinţa persoanei vătămate A8 din satul  ...,com. ..., JUD..., au pătruns pe poartă în curte, după care, prin forţarea unei ferestre, au pătruns în locuinţă. Din interior au sustras 7 litri ţuică, o pereche de pantofi bărbăteşti şi 4 perechi de şosete.</w:t>
      </w:r>
    </w:p>
    <w:p>
      <w:pPr>
        <w:pStyle w:val="Normal"/>
        <w:ind w:right="23" w:firstLine="640"/>
        <w:jc w:val="both"/>
        <w:rPr/>
      </w:pPr>
      <w:r>
        <w:rPr/>
        <w:t xml:space="preserve">Cu ocazia percheziţiei domiciliare efectuate la locuinţa inculpatului R2 a fost găsită o pereche de pantofi bărbăteşti care a fost predată persoanei vătămate. </w:t>
      </w:r>
    </w:p>
    <w:p>
      <w:pPr>
        <w:pStyle w:val="Normal"/>
        <w:ind w:right="23" w:firstLine="640"/>
        <w:jc w:val="both"/>
        <w:rPr/>
      </w:pPr>
      <w:r>
        <w:rPr/>
        <w:t>Prejudiciul cauzat este în valoare de 505 lei, din care au fost recuperate bunuri în valoare de 120 lei. Persoana vătămată A8 a declarat că se constituie parte civilă în cauză cu suma de 300 lei-despăgubiri materiale, reprezentând contravaloarea bunurilor sustrase şi nerecuperate.</w:t>
      </w:r>
    </w:p>
    <w:p>
      <w:pPr>
        <w:pStyle w:val="Normal"/>
        <w:ind w:right="23" w:firstLine="640"/>
        <w:jc w:val="both"/>
        <w:rPr/>
      </w:pPr>
      <w:r>
        <w:rPr/>
        <w:t xml:space="preserve">9. În seara de 07.03.2015, în jurul orei 23,00, cei doi inculpaţi s-au deplasat la locuinţa persoanei vătămate A9 din satul  ..., com ..., JUD..., unde au pătruns pe poartă în curte, după care s-au deplasat la o anexă care nu era asigurată, iar din interior au sustras 10 kg slănină de porc şi o sticlă de doi litri cu ţuică, iar dintr-un coteţ au sustras un curcan,o curcă şi două găini după care au părăsit locuinţa. </w:t>
      </w:r>
    </w:p>
    <w:p>
      <w:pPr>
        <w:pStyle w:val="Normal"/>
        <w:ind w:right="23" w:firstLine="640"/>
        <w:jc w:val="both"/>
        <w:rPr/>
      </w:pPr>
      <w:r>
        <w:rPr/>
        <w:t>Prejudiciul total cauzat este în valoare de 420 lei şi nu a fost recuperat. Persoana vătămată A9 a declarat că nu se constituie parte civilă în cauză.</w:t>
      </w:r>
    </w:p>
    <w:p>
      <w:pPr>
        <w:pStyle w:val="Normal"/>
        <w:ind w:right="23" w:firstLine="640"/>
        <w:jc w:val="both"/>
        <w:rPr/>
      </w:pPr>
      <w:r>
        <w:rPr/>
        <w:t>10. În seara de 12.03.2015, în jurul orei 23,00, cei doi inculpaţi au pătruns în curtea persoanei vătămate A10</w:t>
      </w:r>
      <w:r>
        <w:rPr>
          <w:lang w:val="en-US"/>
        </w:rPr>
        <w:t xml:space="preserve"> </w:t>
      </w:r>
      <w:r>
        <w:rPr/>
        <w:t xml:space="preserve">pe poartă, după care, dintr-o anexă a locuinţei care nu era asigurată, au sustras 5 kg brînză, iar dintr-un coteţ au sustras 4 găini, după care au părăsit curtea. </w:t>
      </w:r>
    </w:p>
    <w:p>
      <w:pPr>
        <w:pStyle w:val="Normal"/>
        <w:ind w:right="23" w:firstLine="640"/>
        <w:jc w:val="both"/>
        <w:rPr/>
      </w:pPr>
      <w:r>
        <w:rPr/>
        <w:t>Prejudiciul cauzat este în valoare de 155 lei şi nu a fost recuperat. Persoana vătămată A10 a declarat că nu se constituie parte civilă în cauză.</w:t>
      </w:r>
    </w:p>
    <w:p>
      <w:pPr>
        <w:pStyle w:val="Normal"/>
        <w:ind w:right="23" w:firstLine="640"/>
        <w:jc w:val="both"/>
        <w:rPr/>
      </w:pPr>
      <w:r>
        <w:rPr/>
        <w:t>Cu ocazia percheziţiei domiciliare efectuate la domiciliul inculpatului R2 a fost identificată o pereche de încălţăminte, despre care acesta a declarat că a purtat-o la comiterea unora dintre faptele reţinute.</w:t>
      </w:r>
    </w:p>
    <w:p>
      <w:pPr>
        <w:pStyle w:val="Normal"/>
        <w:ind w:right="23" w:firstLine="640"/>
        <w:jc w:val="both"/>
        <w:rPr/>
      </w:pPr>
      <w:r>
        <w:rPr/>
        <w:t xml:space="preserve">Din raportul de expertiză criminalistică nr....5/19.05.2015 a Serviciului </w:t>
      </w:r>
      <w:r>
        <w:rPr>
          <w:lang w:val="en-US"/>
        </w:rPr>
        <w:t xml:space="preserve">Criminalistic </w:t>
      </w:r>
      <w:r>
        <w:rPr/>
        <w:t>din cadrul IPJ ..., întocmit în cursul urmăririi penale,  rezultă că urmele de încălţăminte ridicate cu ocazia cercetării la faţa locului în cauza privind furturile comise în dauna persoanelor vătămate A4</w:t>
      </w:r>
      <w:r>
        <w:rPr>
          <w:lang w:val="en-US"/>
        </w:rPr>
        <w:t xml:space="preserve">, </w:t>
      </w:r>
      <w:r>
        <w:rPr/>
        <w:t>A3</w:t>
      </w:r>
      <w:r>
        <w:rPr>
          <w:lang w:val="en-US"/>
        </w:rPr>
        <w:t xml:space="preserve"> </w:t>
      </w:r>
      <w:r>
        <w:rPr/>
        <w:t>şi A5 prezintă caracteristici generale de asemănare cu urmele de încălţăminte create experimental cu încălţămintea ridicată de la inculpatul R2.</w:t>
      </w:r>
    </w:p>
    <w:p>
      <w:pPr>
        <w:pStyle w:val="Normal"/>
        <w:ind w:right="23" w:firstLine="640"/>
        <w:jc w:val="both"/>
        <w:rPr/>
      </w:pPr>
      <w:r>
        <w:rPr/>
        <w:t>În timpul urmăririi penale s-au efectuat reconstituiri, ocazie cu care, în prezenţa persoanelor vătămate şi a martorilor M1</w:t>
      </w:r>
      <w:r>
        <w:rPr>
          <w:lang w:val="en-US"/>
        </w:rPr>
        <w:t xml:space="preserve">, </w:t>
      </w:r>
      <w:r>
        <w:rPr/>
        <w:t>M2 şi M3</w:t>
      </w:r>
      <w:r>
        <w:rPr>
          <w:lang w:val="en-US"/>
        </w:rPr>
        <w:t xml:space="preserve">, </w:t>
      </w:r>
      <w:r>
        <w:rPr/>
        <w:t>cei doi inculpaţi au arătat modul şi împrejurările comiterii faptelor.</w:t>
      </w:r>
    </w:p>
    <w:p>
      <w:pPr>
        <w:pStyle w:val="Normal"/>
        <w:ind w:right="23" w:firstLine="640"/>
        <w:jc w:val="both"/>
        <w:rPr/>
      </w:pPr>
      <w:r>
        <w:rPr/>
        <w:t>Coroborând mijloacele de probă administrate în cursul urmăririi penale, instanţa constată că săvârşirea de către inculpaţii R2 şi R1 a faptelor reţinute, în împrejurările descrise, rezultă fără urmă de îndoială. În raport de probatoriile administrate în cauză, instanţa apreciază că a fost răsturnată în mod neîndoielnic prezumţia de nevinovăţie instituită în favoarea inculpaţilor prin dispoziţiile art.4 Cod de procedură penală, făcându-se dovada certă şi indubitabilă a săvârşirii faptelor reţinute în actul de sesizare.</w:t>
      </w:r>
    </w:p>
    <w:p>
      <w:pPr>
        <w:pStyle w:val="Normal"/>
        <w:ind w:right="-133" w:firstLine="640"/>
        <w:jc w:val="both"/>
        <w:rPr/>
      </w:pPr>
      <w:r>
        <w:rPr/>
        <w:t>De altfel, inculpaţii, audiaţi atât în cursul urmăririi penale cât şi în faţa instanţei, au recunoscut integral comiterea faptelor reţinute în sarcina lor.</w:t>
      </w:r>
    </w:p>
    <w:p>
      <w:pPr>
        <w:pStyle w:val="Normal"/>
        <w:ind w:right="-133" w:firstLine="640"/>
        <w:jc w:val="both"/>
        <w:rPr/>
      </w:pPr>
      <w:r>
        <w:rPr/>
        <w:t>Situaţia de fapt, în modalitatea reţinută de instanţă, este confirmată de mijloacele de probă aflate la dosar: procese-verbale de sesizare, procese-verbale de cercetare la faţa locului însoţite de planşe foto, declaraţiile persoanelor vătămate, declaraţiile inculpaţilor, declaraţiile martorilor, procese-verbale de evaluare, procese-verbale de reconstituire, procese-verbale de predare-primire a bunurilor sustrase.</w:t>
      </w:r>
    </w:p>
    <w:p>
      <w:pPr>
        <w:pStyle w:val="Normal"/>
        <w:ind w:right="-133" w:firstLine="640"/>
        <w:jc w:val="both"/>
        <w:rPr/>
      </w:pPr>
      <w:r>
        <w:rPr>
          <w:b/>
          <w:i/>
        </w:rPr>
        <w:t xml:space="preserve">În drept, </w:t>
      </w:r>
      <w:r>
        <w:rPr/>
        <w:t>faptele inculpaţilor, în modalitatea expusă de instanţă, întrunesc elementele constitutive a trei infracţiuni de tentativă la furt calificat, fapte prevăzute şi pedepsite de art.32 C.pen. rap. la art.228 alin.1- art.229 al.1 lit.b,d, al.2 lit.b C.pen. (în dauna persoanelor vătămate A5, A6 şi A7) şi a şapte infracţiuni de furt calificat, fapte prevăzute şi pedepsite de art.228 alin.1- art.229 al.1 lit.b,d, al.2 lit.b C.pen. (în dauna persoanelor vătămate A1, A2, A3, A4, A9, A10 şi a părţii civile A8), toate cu aplicarea art.38 al.1 Cod penal.</w:t>
      </w:r>
    </w:p>
    <w:p>
      <w:pPr>
        <w:pStyle w:val="Normal"/>
        <w:ind w:right="-133" w:firstLine="640"/>
        <w:jc w:val="both"/>
        <w:rPr/>
      </w:pPr>
      <w:r>
        <w:rPr/>
        <w:t>Sub aspectul laturii subiective a infracţiunilor, instanţa constată că inculpaţii au săvârşit faptele cu vinovăţie, în forma intenţiei directe.</w:t>
      </w:r>
    </w:p>
    <w:p>
      <w:pPr>
        <w:pStyle w:val="Normal"/>
        <w:ind w:right="-133" w:firstLine="640"/>
        <w:jc w:val="both"/>
        <w:rPr/>
      </w:pPr>
      <w:r>
        <w:rPr/>
        <w:t>Inculpaţii au avut o conduită sinceră pe întreaga desfăşurare a procesului penal, recunoscând comiterea faptelor, declaraţiile lor fiind confirmate de ansamblul materialului probator administrat în cauză.</w:t>
      </w:r>
    </w:p>
    <w:p>
      <w:pPr>
        <w:pStyle w:val="Normal"/>
        <w:ind w:right="-133" w:firstLine="640"/>
        <w:jc w:val="both"/>
        <w:rPr>
          <w:lang w:val="es-PE"/>
        </w:rPr>
      </w:pPr>
      <w:r>
        <w:rPr>
          <w:lang w:val="es-PE"/>
        </w:rPr>
        <w:t>Faţă de aceste considerente, constatând că faptele reţinute în sarcina fiecăruia dintre cei doi inculpaţi există, constituie infracţiuni şi au fost săvârşite cu forma de vinovăţie cerută de lege, instanţa va pronunţa o soluţie de condamnare a acestora pentru fiecare dintre acestea.</w:t>
      </w:r>
    </w:p>
    <w:p>
      <w:pPr>
        <w:pStyle w:val="Normal"/>
        <w:ind w:right="-133" w:firstLine="640"/>
        <w:jc w:val="both"/>
        <w:rPr>
          <w:lang w:val="es-PE"/>
        </w:rPr>
      </w:pPr>
      <w:r>
        <w:rPr>
          <w:lang w:val="es-PE"/>
        </w:rPr>
        <w:t>La individualizarea judiciară a pedepselor ce urmează a fi aplicate fiecăruia dintre cei doi inculpaţi pentru infracţiunile reţinute,  instanţa va ţine seama de limitele de pedeapsă fixate în partea specială a Codului penal, de dispoziţiile art.396 alin. 10 Cod de procedură penală, de gradul de pericol social concret al faptelor săvârşite de aceştia, de urmările produse şi de circumstanţele personale ale inculpaţilor.</w:t>
      </w:r>
    </w:p>
    <w:p>
      <w:pPr>
        <w:pStyle w:val="Normal"/>
        <w:spacing w:before="5" w:after="0"/>
        <w:ind w:firstLine="708"/>
        <w:jc w:val="both"/>
        <w:rPr>
          <w:lang w:val="es-PE"/>
        </w:rPr>
      </w:pPr>
      <w:r>
        <w:rPr>
          <w:lang w:val="es-PE"/>
        </w:rPr>
        <w:t xml:space="preserve">Pătrunderea celor doi inculpaţi, noaptea, în locuinţele celor zece persoane vătămate, cu scopul prestabilit de a sustrage bunuri, denotă un grad ridicat de pericol social al acestora. </w:t>
      </w:r>
    </w:p>
    <w:p>
      <w:pPr>
        <w:pStyle w:val="Normal"/>
        <w:spacing w:before="5" w:after="0"/>
        <w:ind w:firstLine="708"/>
        <w:jc w:val="both"/>
        <w:rPr>
          <w:lang w:val="es-PE"/>
        </w:rPr>
      </w:pPr>
      <w:r>
        <w:rPr>
          <w:lang w:val="es-PE"/>
        </w:rPr>
        <w:t>La individualizarea pedepselor ce vor fi aplicate, instanţa va ţine seama şi de faptul că inculpaţii se află la primul conflict cu legea penală, au avut o atitudine sinceră, de recunoaştere şi regret pe întreaga desfăşurare a procesului penal, sunt familişti, cu copii minori în întreţinere, aşa cum rezultă din înscriwsurile în circumstanţiere depuse la dosar.</w:t>
      </w:r>
    </w:p>
    <w:p>
      <w:pPr>
        <w:pStyle w:val="Normal"/>
        <w:ind w:firstLine="708"/>
        <w:jc w:val="both"/>
        <w:rPr/>
      </w:pPr>
      <w:r>
        <w:rPr/>
        <w:t xml:space="preserve">Instanţa apreciază că doar stabilirea unor pedepse juste şi proporţionale este de natură să creeze aptitudinea subiectivă a fiecăruia dintre cei doi inculpaţi de a se corija şi elibera de deprinderile antisociale care i-au antrenat pe calea săvârşirii de infracţiuni. </w:t>
      </w:r>
    </w:p>
    <w:p>
      <w:pPr>
        <w:pStyle w:val="Normal"/>
        <w:ind w:firstLine="567"/>
        <w:jc w:val="both"/>
        <w:rPr/>
      </w:pPr>
      <w:r>
        <w:rPr/>
        <w:t>De asemenea, la individualizarea judiciară a pedepselor ce vor fi stabilite, conform dispoziţiilor Codului penal, se vor avea în vedere pericolul social concret al faptelor săvârşite, infracţiunile pentru care au fost trimişi în judecată inculpaţii, împrejurările şi modalitatea în care au fost comise faptele şi urmările produse, persoana fiecărui inculpat şi limitele de pedeapsă fixate în partea specială a Codului penal, reduse cu o treime ca urmare a aplicării dispoziţiilor art.396 al.10 C.pr.pen.</w:t>
      </w:r>
    </w:p>
    <w:p>
      <w:pPr>
        <w:pStyle w:val="Normal"/>
        <w:ind w:firstLine="720"/>
        <w:jc w:val="both"/>
        <w:rPr/>
      </w:pPr>
      <w:r>
        <w:rPr/>
        <w:t>Un rol primordial în aprecierea stabilirii pedepselor îl are pericolul social al faptelor, sens în care valorile ocrotite de legea penală prin incriminarea faptelor trebuie evidenţiate atât pentru restabilirea ordinii de drept, cât şi pentru educarea inculpaţilor.</w:t>
      </w:r>
    </w:p>
    <w:p>
      <w:pPr>
        <w:pStyle w:val="Normal"/>
        <w:ind w:firstLine="720"/>
        <w:jc w:val="both"/>
        <w:rPr/>
      </w:pPr>
      <w:r>
        <w:rPr/>
        <w:t>Pentru ca pedepsele să-şi realizeze funcţiile şi scopul, definite de legiuitor, acestea trebuie să corespundă, sub aspectul duratei şi naturii lor, gravităţii faptelor comise şi împrejurărilor concrete ale comiterii lor (pe timp de noapte, prin efracţie, escaladare şi violare de domiciliu), urmărilor produse, potenţialului de pericol social pe care, în mod real, îl prezintă persoana fiecărui inculpatul, aceştia recunoscând comiterea faptelor, fiind la primul conflict cu legea penală, dar care au dat dovadă de o persistenţă infracţională deosebită, urmând a se avea în vedere astfel, aptitudinea lor de a se îndrepta sub influenţa sancţiunilor.</w:t>
      </w:r>
    </w:p>
    <w:p>
      <w:pPr>
        <w:pStyle w:val="Normal"/>
        <w:ind w:firstLine="708"/>
        <w:jc w:val="both"/>
        <w:rPr/>
      </w:pPr>
      <w:r>
        <w:rPr/>
        <w:t>Prin raportare la cele prezentate, respectiv pericolul social concret al infracţiunilor, atitudinea inculpaţilor, circumstanţele reale şi personale reţinute, instanţa va stabili pentru fiecare inculpat câte o pedeapsa de 8 luni închisoare pentru săvârşirea fiecărei infracţiuni de tentativă la furt calificat, prevăzută şi pedepsită de art.32 C.pen. rap. la art.228 alin.1- art.229 al.1 lit.b,d, al.2 lit.b C.pen, şi câte o pedeapsa de 1 an şi 4 luni închisoare pentru săvârşirea fiecărei infracţiuni de furt calificat, prevăzută şi pedepsită de art.228 alin.1- art.229 al.1 lit.b,d, al.2 lit.b C.pen.</w:t>
      </w:r>
    </w:p>
    <w:p>
      <w:pPr>
        <w:pStyle w:val="Normal"/>
        <w:ind w:firstLine="720"/>
        <w:jc w:val="both"/>
        <w:rPr>
          <w:lang w:val="en-US"/>
        </w:rPr>
      </w:pPr>
      <w:r>
        <w:rPr>
          <w:lang w:val="en-US"/>
        </w:rPr>
        <w:t xml:space="preserve">Infracţiunile reţinute în sarcina fiecăruia dintre cei doi inculpaţi fiind concurente, în temeiul art.38 alin.1 şi art.39 alin.1 lit.b Cod penal, vor fi contopite cele zece pedepse aplicate fiecăruia în pedeapsa cea mai grea de 1 an şi 4 luni închisoare, care va fi sporită cu 1/3 din totalul de 10 ani închisoare al celorlalte 9 pedepse, respective 3 ani şi 4 luni închisoare, rezultând câte o pedeapsă finală de </w:t>
      </w:r>
      <w:r>
        <w:rPr>
          <w:b/>
          <w:lang w:val="en-US"/>
        </w:rPr>
        <w:t xml:space="preserve"> 4 (patru) ani şi 8 (opt) luni închisoare</w:t>
      </w:r>
      <w:r>
        <w:rPr>
          <w:lang w:val="en-US"/>
        </w:rPr>
        <w:t xml:space="preserve"> pe care fiecare din inculpaţii R2 şi R1  o va executa în regim de detenţie.</w:t>
      </w:r>
    </w:p>
    <w:p>
      <w:pPr>
        <w:pStyle w:val="Normal"/>
        <w:ind w:firstLine="720"/>
        <w:jc w:val="both"/>
        <w:rPr>
          <w:lang w:val="en-US"/>
        </w:rPr>
      </w:pPr>
      <w:r>
        <w:rPr>
          <w:lang w:val="en-US"/>
        </w:rPr>
        <w:t>Instanţa apreciază că nu se impune aplicarea celor doi inculpaţi a vreunei pedepse complementare, motiv pentru care nu va aplica acestora nici pedepse accesorii.</w:t>
      </w:r>
    </w:p>
    <w:p>
      <w:pPr>
        <w:pStyle w:val="Normal"/>
        <w:ind w:firstLine="720"/>
        <w:jc w:val="both"/>
        <w:rPr>
          <w:lang w:val="en-US"/>
        </w:rPr>
      </w:pPr>
      <w:r>
        <w:rPr>
          <w:lang w:val="en-US"/>
        </w:rPr>
        <w:t xml:space="preserve">În </w:t>
      </w:r>
      <w:r>
        <w:rPr>
          <w:b/>
          <w:lang w:val="en-US"/>
        </w:rPr>
        <w:t>latura civilă</w:t>
      </w:r>
      <w:r>
        <w:rPr>
          <w:lang w:val="en-US"/>
        </w:rPr>
        <w:t>, faţă de dispoziţiile art.397 al.1 C.pr.pen, se va lua act că persoanele vătămate A1</w:t>
      </w:r>
      <w:r>
        <w:rPr>
          <w:b/>
          <w:lang w:val="en-US"/>
        </w:rPr>
        <w:t>-</w:t>
      </w:r>
      <w:r>
        <w:rPr>
          <w:lang w:val="en-US"/>
        </w:rPr>
        <w:t>decedat, A2, A4, A5, A6, A7, A9 şi A10</w:t>
      </w:r>
      <w:r>
        <w:rPr>
          <w:b/>
          <w:lang w:val="en-US"/>
        </w:rPr>
        <w:t xml:space="preserve"> </w:t>
      </w:r>
      <w:r>
        <w:rPr>
          <w:lang w:val="en-US"/>
        </w:rPr>
        <w:t>nu s-au constituit părţi civile în cauză, urmând totodată, având în vedere că prejudiciile cauzate acestora nu au fost integral reparate, să se dispună confiscarea de la fiecare din cei doi inculpaţi a câte unei sume de 1194 lei, reprezentând contravaloarea bunurilor sustrase şi nerecuperate, aşa cum au fost acestea evaluate în procesele-verbale de evaluare întocmite în cursul urmăririi penale.</w:t>
      </w:r>
    </w:p>
    <w:p>
      <w:pPr>
        <w:pStyle w:val="Normal"/>
        <w:ind w:firstLine="708"/>
        <w:jc w:val="both"/>
        <w:rPr/>
      </w:pPr>
      <w:r>
        <w:rPr/>
        <w:t>În ceea ce priveşte acţiunea civilă formulată de partea civilă A8, instanţa constată că aceasta este întemeiată raportat actelor existente la dosar, motiv pentru care o va admite şi va obliga, în solidar, inculpaţii R2 şi R1  la plata către aceasta a sumei de 230 lei despăgubiri materiale. De altfel şi inculpaţii au fost de acord cu achitarea despăgubirilor solicitate de partea civilă A8, din care inculpatul R1 a şi plătit parţial, motiv pentru care instanţa va constata  achitată de către acesta către partea civilă suma de 70 lei, aşa cum rezultă din factura nr....8/01.11.2016 depusă la dosar (f.91).</w:t>
      </w:r>
    </w:p>
    <w:p>
      <w:pPr>
        <w:pStyle w:val="Normal"/>
        <w:ind w:firstLine="720"/>
        <w:jc w:val="both"/>
        <w:rPr/>
      </w:pPr>
      <w:r>
        <w:rPr/>
        <w:t>Constatând culpa procesuală a inculpaţilor, faţă de dispoziţiile art.272 al.1, art.274 al.1,2 C.pr.pen, fiecare dintre aceştia va fi obligat la plata către stat a cheltuielilor judiciare avansate. Suma de 720 lei, reprezentând onorarii avocaţi desemnaţi din oficiu-conform delegaţiilor aflate la dosar, va fi avansată din fondurile Ministerului Justiţiei.”</w:t>
      </w:r>
    </w:p>
    <w:p>
      <w:pPr>
        <w:pStyle w:val="Normal"/>
        <w:jc w:val="both"/>
        <w:rPr/>
      </w:pPr>
      <w:r>
        <w:rPr/>
      </w:r>
    </w:p>
    <w:p>
      <w:pPr>
        <w:pStyle w:val="Normal"/>
        <w:ind w:left="3549"/>
        <w:jc w:val="both"/>
        <w:rPr/>
      </w:pPr>
      <w:r>
        <w:rPr/>
        <w:t>*</w:t>
        <w:tab/>
        <w:t>*</w:t>
        <w:tab/>
        <w:t>*</w:t>
        <w:tab/>
      </w:r>
    </w:p>
    <w:p>
      <w:pPr>
        <w:pStyle w:val="Normal"/>
        <w:ind w:firstLine="709"/>
        <w:jc w:val="both"/>
        <w:rPr>
          <w:b/>
        </w:rPr>
      </w:pPr>
      <w:r>
        <w:rPr>
          <w:b/>
        </w:rPr>
        <w:t>Împotriva sentinţei penale redate mai sus, au declarat apel, în termenul legal, inculpaţii R2 şi R1, care, prin motivele scrise apel, ce au fost susţinitute şi oral, cu ocazia dezbaterilor, prin avocat, au criticat-o sub aspectul legalităţii şi temeinciei, invocând, în esenţă, următoarele aspecte:</w:t>
      </w:r>
    </w:p>
    <w:p>
      <w:pPr>
        <w:pStyle w:val="Normal"/>
        <w:numPr>
          <w:ilvl w:val="0"/>
          <w:numId w:val="2"/>
        </w:numPr>
        <w:ind w:left="0" w:firstLine="769"/>
        <w:jc w:val="both"/>
        <w:rPr/>
      </w:pPr>
      <w:r>
        <w:rPr/>
        <w:t>modalitatea de executare a pedepsei în regim de detenţie nu se impune, motivat de faptul că tratamentul sancţionator penal este mult prea aspru în raport cu modul, împrejurările, condiţiile concrete, situaţia lor familială, împrejurări care sunt de natură să conducă la suspendarea executării pedepsei, cu aplicarea dispoziţiilor art. 91-93 din Codul penal.</w:t>
      </w:r>
    </w:p>
    <w:p>
      <w:pPr>
        <w:pStyle w:val="Normal"/>
        <w:ind w:firstLine="709"/>
        <w:jc w:val="both"/>
        <w:rPr/>
      </w:pPr>
      <w:r>
        <w:rPr/>
        <w:t>- instanţa de fond a avut în vedere gradul de pericol social al infracţiunii de furt calificat, numărul infracţiunilor şi perseverenţa infracţională, însă trebuia avut în vedere şi  circumstanţele atenuante în raport cu cele agravante; astfel, ambii inculpaţi au o situaţie familială grea, nu au posibilităţi materiale, sunt căsătoriţi şi au mai mulţi copii minori în întreţinere, privarea de libertatea putând să afecteze în mod serios interesele familiilor acestora.</w:t>
      </w:r>
    </w:p>
    <w:p>
      <w:pPr>
        <w:pStyle w:val="Normal"/>
        <w:ind w:firstLine="709"/>
        <w:jc w:val="both"/>
        <w:rPr/>
      </w:pPr>
      <w:r>
        <w:rPr/>
        <w:t xml:space="preserve">- pe de altă parte, se apreciază că se impun a fi avute în vedere şi alte elemente legate de conduita procesuală penală adecvată adoptată pe tot parcursul soluţionării cauzei penale, recunoaşterile în declaraţii ale inculpaţilor privitoare la faptele penale, cooperarea cu autorităţile, sinceritatea, regretul constant, faptul că aceştia au reprezentarea – în momentul de faţă – a faptelor penale şi consecinţelor care decurg din săvârşirea acestor infracţiuni, lipsa antecedentelor penale. </w:t>
      </w:r>
    </w:p>
    <w:p>
      <w:pPr>
        <w:pStyle w:val="Normal"/>
        <w:ind w:firstLine="709"/>
        <w:jc w:val="center"/>
        <w:rPr>
          <w:b/>
        </w:rPr>
      </w:pPr>
      <w:r>
        <w:rPr>
          <w:b/>
        </w:rPr>
        <w:t>*</w:t>
        <w:tab/>
        <w:tab/>
        <w:t xml:space="preserve"> *</w:t>
        <w:tab/>
        <w:tab/>
        <w:t>*</w:t>
      </w:r>
    </w:p>
    <w:p>
      <w:pPr>
        <w:pStyle w:val="Normal"/>
        <w:ind w:firstLine="708"/>
        <w:jc w:val="both"/>
        <w:rPr>
          <w:b/>
          <w:i/>
          <w:i/>
        </w:rPr>
      </w:pPr>
      <w:r>
        <w:rPr>
          <w:b/>
          <w:i/>
        </w:rPr>
        <w:t xml:space="preserve">Analizând legalitatea și temeinicia sentinței penale apelate, în raport de criticile formulate de apelanţi, dar și din oficiu, în baza efectului devolutiv al apelului și al limitelor sale, în conformitate cu dispoziţiile art. 417 şi art. 420 Cod procedură penală, Curtea constată următoarele:  </w:t>
      </w:r>
    </w:p>
    <w:p>
      <w:pPr>
        <w:pStyle w:val="Normal"/>
        <w:ind w:firstLine="708"/>
        <w:jc w:val="both"/>
        <w:rPr/>
      </w:pPr>
      <w:r>
        <w:rPr/>
        <w:t>Referitor la fondul cauzei</w:t>
      </w:r>
      <w:r>
        <w:rPr>
          <w:i/>
        </w:rPr>
        <w:t xml:space="preserve">, </w:t>
      </w:r>
      <w:r>
        <w:rPr/>
        <w:t>Curtea de Apel constată, din analiza actelor şi lucrărilor dosarului, că prima instanţă a făcut o analiză judicioasă a probelor, o interpretare corespunzătoare a acestora, reţinându-se în mod corect situaţia de fapt şi vinovăția inculpaţilor apelanţi R2 şi R1, dându-se în drept o justă încadrare juridică a faptelor săvârşite de aceştia, ce nu au fost criticate de apelanţi.</w:t>
      </w:r>
    </w:p>
    <w:p>
      <w:pPr>
        <w:pStyle w:val="Normal"/>
        <w:ind w:right="-133" w:firstLine="640"/>
        <w:jc w:val="both"/>
        <w:rPr/>
      </w:pPr>
      <w:r>
        <w:rPr/>
        <w:t xml:space="preserve"> </w:t>
      </w:r>
      <w:r>
        <w:rPr/>
        <w:t>Astfel, în sarcina inculpaţilor s-au reţinut de către prima instanţă trei infracţiuni de „</w:t>
      </w:r>
      <w:r>
        <w:rPr>
          <w:i/>
        </w:rPr>
        <w:t>tentativă la furt calificat</w:t>
      </w:r>
      <w:r>
        <w:rPr/>
        <w:t>”, fapte prevăzute şi pedepsite de art. 32 Cod penal rap. la art.228 alin. 1 - art. 229 al. 1 lit. b şi d, al. 2 lit. b Cod penal (în dauna persoanelor vătămate A5, A6 şi A7) şi  şapte infracţiuni de „</w:t>
      </w:r>
      <w:r>
        <w:rPr>
          <w:i/>
        </w:rPr>
        <w:t>furt calificat</w:t>
      </w:r>
      <w:r>
        <w:rPr/>
        <w:t>”, fapte prevăzute şi pedepsite de art. 228 alin.1 - art. 229 al.1 lit. b şi d, al. 2 lit. b Cod penal. (în dauna persoanelor vătămate A1, A2, A3, A4, A9, A10 şi a părţii civile A8), toate cu aplicarea art. 38 al.1 Cod penal.</w:t>
      </w:r>
    </w:p>
    <w:p>
      <w:pPr>
        <w:pStyle w:val="Normal"/>
        <w:ind w:firstLine="708"/>
        <w:jc w:val="both"/>
        <w:rPr/>
      </w:pPr>
      <w:r>
        <w:rPr/>
        <w:t>În baza propriului examen, Curtea de Apel constată că inculpaţii R2  şi R1 au recunoscut comiterea faptelor în faza de urmărire penală, iar în faţa primei instanţe au solicitat, instanţa încuviinţându-le, aplicarea procedurii simplificate a recunoaşterii vinovăţiei.</w:t>
      </w:r>
    </w:p>
    <w:p>
      <w:pPr>
        <w:pStyle w:val="Normal"/>
        <w:ind w:firstLine="708"/>
        <w:jc w:val="both"/>
        <w:rPr/>
      </w:pPr>
      <w:r>
        <w:rPr/>
        <w:t xml:space="preserve">La analiza motivelor de apel referitoare la individualizarea judiciară pedepsei, ce a fost criticată de inculpaţii apelanţi, Curtea se va raporta la dispoziţiile art. 74 Cod penal, care prevăd că </w:t>
      </w:r>
      <w:r>
        <w:rPr>
          <w:b/>
          <w:i/>
          <w:u w:val="single"/>
        </w:rPr>
        <w:t>stabilirea cuantumului pedepsei se face în raport cu gravitatea infracțiunii săvârșite și cu periculozitatea infractorului</w:t>
      </w:r>
      <w:r>
        <w:rPr/>
        <w:t xml:space="preserve"> care se evaluează după următoarele criterii: împrejurările şi modul de comitere a infracţiunii, precum şi mijloacele folosite, starea de pericol creată pentru valoarea ocrotită; natura şi gravitatea rezultatului produs ori a altor consecinţe ale infracţiunii; motivul săvârşirii infracţiunii şi scopul urmărit; natura şi frecvenţa infracţiunilor care constituie antecedente penale ale infractorului; conduita după săvârşirea infracţiunii şi în cursul procesului penal; nivelul de educaţie, vârsta, starea de sănătate, situaţia familială şi socială.</w:t>
      </w:r>
    </w:p>
    <w:p>
      <w:pPr>
        <w:pStyle w:val="Normal"/>
        <w:ind w:firstLine="708"/>
        <w:jc w:val="both"/>
        <w:rPr/>
      </w:pPr>
      <w:r>
        <w:rPr/>
        <w:t xml:space="preserve">Or, din formularea dată de textele de lege mai sus arătate acestor criterii, rezultă că ele sunt obligatorii şi trebuie avute în vedere în totalitate de fiecare dată la stabilirea şi aplicarea pedepsei. </w:t>
      </w:r>
    </w:p>
    <w:p>
      <w:pPr>
        <w:pStyle w:val="Normal"/>
        <w:ind w:firstLine="720"/>
        <w:jc w:val="both"/>
        <w:rPr/>
      </w:pPr>
      <w:r>
        <w:rPr/>
        <w:t>Astfel, în mod just instanţa de fond a avut în vedere la individualizarea judiciară a pedepsei natura, gravitatea, modalitatea de săvârşire a faptelor de către inculpaţi, respectiv aceştia au intrat, pe timp de noapte, în locuinţele persoanelor vătămate, numărul foarte mare de infracţiuni, prejudiciile produse, care deşi nu sunt într-un cuantum foarte ridicat, sunt însă importante în mediul rural, în condiţiile în care inculpaţii au sustras bunuri alimentare, păsări, scule şi alte bunuri de uz casnic,  precum şi periculozitatea socială a fiecărui inculpat.</w:t>
      </w:r>
    </w:p>
    <w:p>
      <w:pPr>
        <w:pStyle w:val="Normal"/>
        <w:ind w:firstLine="720"/>
        <w:jc w:val="both"/>
        <w:rPr/>
      </w:pPr>
      <w:r>
        <w:rPr/>
        <w:t xml:space="preserve"> </w:t>
      </w:r>
      <w:r>
        <w:rPr/>
        <w:t>În cazul persoanei inculpaţilor s-a constatat, în mod corect, că potrivit fişei de cazier judiciar, aceştia nu prezintă antecedente penale, au avut o atitudine sinceră, de recunoaştere şi regret pe tot parcursul procesului penal, sunt căsătoriţi şi au copii minori în întreţinere, împrejurări care au condus la stabilirea pedepselor la minimul special prevăzut de lege, astfel, cum a fost redus ca urmare a reţinerii disp. art. 396 alin. 10 Cod procedură penală, aplicarea fiecărei pedepse sub minimul special nefiind posibilă, în condiţiile în care, în cauză, nu este incidentă nici o circumstanţă atenuantă legală sau judiciară.</w:t>
      </w:r>
    </w:p>
    <w:p>
      <w:pPr>
        <w:pStyle w:val="Normal"/>
        <w:ind w:firstLine="720"/>
        <w:jc w:val="both"/>
        <w:rPr/>
      </w:pPr>
      <w:r>
        <w:rPr/>
        <w:t>Faţă de pedeapsa rezultantă aplicată fiecăruia dintre inculpaţi, respectiv de 4 ani şi 8 luni, modalitatea de executare a acesteia nu poate fi decât în regim de detenţie, inculpaţi neavând vocaţie la suspendarea executării pedepsei aplicate sub supraveghere, în condiţiile în care art. 91 alin. 1, lit. a Cod penal impune ca pedeapsa aplicată, inclusiv în caz de concurs de infracţiuni, să fie închisoarea de cel mult 3 ani.</w:t>
      </w:r>
    </w:p>
    <w:p>
      <w:pPr>
        <w:pStyle w:val="Normal"/>
        <w:ind w:firstLine="720"/>
        <w:jc w:val="both"/>
        <w:rPr/>
      </w:pPr>
      <w:r>
        <w:rPr/>
        <w:t>Faţă de cele arătate, Curtea constată că pedeapsa aplicată fiecărui inculpat este proporţională cu natura, gravitatea, modalitatea de săvârşire a faptelor, rezultatul produs, dar şi cu pericolul social ridicat al persoanei acestora, iar aplicarea unei pedepse într-un cuantum mai redus decât cel stabilit de instanţa de fond, acesta fiind, de altfel, la minimul special prevăzut de lege pentru fiecare infracţiune săvârşită, nu este posibilă în cauză, în lipsa vreunei cauze de reducere a pedepsei.</w:t>
      </w:r>
    </w:p>
    <w:p>
      <w:pPr>
        <w:pStyle w:val="Normal"/>
        <w:ind w:firstLine="720"/>
        <w:jc w:val="both"/>
        <w:rPr/>
      </w:pPr>
      <w:r>
        <w:rPr/>
      </w:r>
    </w:p>
    <w:p>
      <w:pPr>
        <w:pStyle w:val="Normal"/>
        <w:ind w:firstLine="720"/>
        <w:jc w:val="both"/>
        <w:rPr/>
      </w:pPr>
      <w:r>
        <w:rPr/>
        <w:t xml:space="preserve">Pentru toate aceste considerente, Curtea va dispune, în temeiul disp. art. 421 pct. 2, lit. b din Codul de procedură penală, respingerea apelurilor declarate de </w:t>
      </w:r>
      <w:r>
        <w:rPr>
          <w:b/>
        </w:rPr>
        <w:t xml:space="preserve">inculpaţii R2 şi R1 </w:t>
      </w:r>
      <w:r>
        <w:rPr/>
        <w:t>împotriva sentinţei penale nr. SP1, pronunţate de Judecătoria ... în dosarul nr. D2, ce va fi menţinută ca legală şi temeinică.</w:t>
      </w:r>
    </w:p>
    <w:p>
      <w:pPr>
        <w:pStyle w:val="Normal"/>
        <w:ind w:firstLine="720"/>
        <w:jc w:val="both"/>
        <w:rPr/>
      </w:pPr>
      <w:r>
        <w:rPr/>
        <w:t>În temeiul art. 275 alin. 2 din Codul de procedură penală, inculpaţii apelanţi vor fi obligaţi la plata cheltuielilor judiciare avansate de către stat.</w:t>
      </w:r>
    </w:p>
    <w:p>
      <w:pPr>
        <w:pStyle w:val="Normal"/>
        <w:ind w:firstLine="708"/>
        <w:jc w:val="both"/>
        <w:rPr/>
      </w:pPr>
      <w:r>
        <w:rPr/>
        <w:t>În temeiul art. 275 alin. 6 Cod procedură penală, sumele de 90 lei, reprezentând onorariul parţial al apărătorului desemnat din oficiu pentru inculpatul R2, avocat Av1, potrivit delegației nr. ...8/25.01.2017, şi de 90 lei, reprezentând onorariul parţial al apărătorului desemnat din oficiu pentru inculpatul R1, avocat Av2, potrivit delegației nr. ...9/25.01.2017, vor rămâne în sarcina statului şi se vor avansa către Baroul ... din fondul Ministerului Justiției.”</w:t>
      </w:r>
    </w:p>
    <w:p>
      <w:pPr>
        <w:pStyle w:val="Normal"/>
        <w:ind w:firstLine="708"/>
        <w:jc w:val="both"/>
        <w:rPr>
          <w:b/>
          <w:i/>
          <w:i/>
        </w:rPr>
      </w:pPr>
      <w:r>
        <w:rPr>
          <w:b/>
          <w:i/>
        </w:rPr>
      </w:r>
    </w:p>
    <w:p>
      <w:pPr>
        <w:pStyle w:val="Normal"/>
        <w:ind w:left="708"/>
        <w:jc w:val="center"/>
        <w:rPr/>
      </w:pPr>
      <w:r>
        <w:rPr/>
        <w:t>* * *</w:t>
      </w:r>
    </w:p>
    <w:p>
      <w:pPr>
        <w:pStyle w:val="Normal"/>
        <w:ind w:left="708"/>
        <w:jc w:val="center"/>
        <w:rPr/>
      </w:pPr>
      <w:r>
        <w:rPr/>
      </w:r>
    </w:p>
    <w:p>
      <w:pPr>
        <w:pStyle w:val="Normal"/>
        <w:tabs>
          <w:tab w:val="clear" w:pos="720"/>
          <w:tab w:val="left" w:leader="none" w:pos="709"/>
        </w:tabs>
        <w:ind w:firstLine="1134"/>
        <w:jc w:val="both"/>
        <w:rPr>
          <w:b/>
          <w:i/>
          <w:i/>
        </w:rPr>
      </w:pPr>
      <w:r>
        <w:rPr>
          <w:b/>
          <w:i/>
        </w:rPr>
        <w:t>Împotriva Deciziei penale nr. DP2, pronunțată la data de ..., de Curtea de Apel ..., în dosarul nr. D2, condamnaţii R1 şi R2 au exercitata calea extraordinară de atac a contestaţiei în anulare.</w:t>
      </w:r>
    </w:p>
    <w:p>
      <w:pPr>
        <w:pStyle w:val="Normal"/>
        <w:tabs>
          <w:tab w:val="clear" w:pos="720"/>
          <w:tab w:val="left" w:leader="none" w:pos="709"/>
        </w:tabs>
        <w:ind w:firstLine="1134"/>
        <w:jc w:val="both"/>
        <w:rPr>
          <w:b/>
          <w:i/>
          <w:i/>
        </w:rPr>
      </w:pPr>
      <w:r>
        <w:rPr>
          <w:b/>
          <w:i/>
        </w:rPr>
      </w:r>
    </w:p>
    <w:p>
      <w:pPr>
        <w:pStyle w:val="Normal"/>
        <w:tabs>
          <w:tab w:val="clear" w:pos="720"/>
          <w:tab w:val="left" w:leader="none" w:pos="709"/>
        </w:tabs>
        <w:ind w:firstLine="1134"/>
        <w:jc w:val="both"/>
        <w:rPr>
          <w:color w:val="26282A"/>
        </w:rPr>
      </w:pPr>
      <w:r>
        <w:rPr>
          <w:b/>
          <w:color w:val="26282A"/>
        </w:rPr>
        <w:t>Prin apărător desemnat din oficiu, contestatorul</w:t>
      </w:r>
      <w:r>
        <w:rPr>
          <w:color w:val="26282A"/>
        </w:rPr>
        <w:t xml:space="preserve"> </w:t>
      </w:r>
      <w:r>
        <w:rPr>
          <w:b/>
        </w:rPr>
        <w:t xml:space="preserve">R1 </w:t>
      </w:r>
      <w:r>
        <w:rPr/>
        <w:t>a solicitat</w:t>
      </w:r>
      <w:r>
        <w:rPr>
          <w:color w:val="26282A"/>
        </w:rPr>
        <w:t xml:space="preserve"> admiterea contestației în anulare și desființarea hotărârii pronunțate de instanța de apel, cu consecința rejudecării cauzei. A solicitat ca, în momentul reindividualizării pedepsei, să se aibă în vedere faptul că, la data de 26.10.2010, a intervenit Ordonanța de clasare din dosarul nr. D3. </w:t>
      </w:r>
    </w:p>
    <w:p>
      <w:pPr>
        <w:pStyle w:val="Normal"/>
        <w:tabs>
          <w:tab w:val="clear" w:pos="720"/>
          <w:tab w:val="left" w:leader="none" w:pos="709"/>
        </w:tabs>
        <w:ind w:firstLine="1134"/>
        <w:jc w:val="both"/>
        <w:rPr>
          <w:b/>
          <w:i/>
          <w:i/>
        </w:rPr>
      </w:pPr>
      <w:r>
        <w:rPr>
          <w:color w:val="26282A"/>
        </w:rPr>
        <w:t xml:space="preserve">Temeiul de drept în baza căruia a formulat această solicitare este cel prevăzut la art. 426 lit. b) raportat la art. 16 alin. 1 lit. g) din Codul de procedură penală. Astfel, a intervenit această împăcarea între inculpații de la acel moment și persoanele vătămate A8 și A10 pentru faptele din 02/03.03.2015 și din 12/13.03.2015, pedepsele fiind de 4 ani şi 8 luni închisoare şi respectiv 1 an şi 8 luni închisoare. </w:t>
      </w:r>
    </w:p>
    <w:p>
      <w:pPr>
        <w:pStyle w:val="Normal"/>
        <w:tabs>
          <w:tab w:val="clear" w:pos="720"/>
          <w:tab w:val="left" w:leader="none" w:pos="709"/>
        </w:tabs>
        <w:ind w:firstLine="1134"/>
        <w:jc w:val="both"/>
        <w:rPr>
          <w:b/>
          <w:i/>
          <w:i/>
        </w:rPr>
      </w:pPr>
      <w:r>
        <w:rPr>
          <w:b/>
          <w:color w:val="26282A"/>
        </w:rPr>
        <w:t>Prin apărător desemnat din oficiu, contestatorul</w:t>
      </w:r>
      <w:r>
        <w:rPr>
          <w:color w:val="26282A"/>
        </w:rPr>
        <w:t xml:space="preserve"> </w:t>
      </w:r>
      <w:r>
        <w:rPr>
          <w:b/>
        </w:rPr>
        <w:t xml:space="preserve">R2 </w:t>
      </w:r>
      <w:r>
        <w:rPr/>
        <w:t xml:space="preserve">a formulat aceleaşi solicitări ca şi contestatorul R1. </w:t>
      </w:r>
    </w:p>
    <w:p>
      <w:pPr>
        <w:pStyle w:val="Normal"/>
        <w:tabs>
          <w:tab w:val="clear" w:pos="720"/>
          <w:tab w:val="left" w:leader="none" w:pos="709"/>
        </w:tabs>
        <w:ind w:firstLine="708"/>
        <w:jc w:val="both"/>
        <w:rPr>
          <w:b/>
          <w:i/>
          <w:i/>
        </w:rPr>
      </w:pPr>
      <w:r>
        <w:rPr>
          <w:b/>
          <w:i/>
        </w:rPr>
      </w:r>
    </w:p>
    <w:p>
      <w:pPr>
        <w:pStyle w:val="Normal"/>
        <w:tabs>
          <w:tab w:val="clear" w:pos="720"/>
          <w:tab w:val="left" w:leader="none" w:pos="709"/>
        </w:tabs>
        <w:ind w:firstLine="1134"/>
        <w:jc w:val="both"/>
        <w:rPr>
          <w:b/>
          <w:i/>
          <w:i/>
        </w:rPr>
      </w:pPr>
      <w:r>
        <w:rPr>
          <w:b/>
        </w:rPr>
        <w:t>PROCEDURA ÎN FAŢA CURŢII DE APEL ...</w:t>
      </w:r>
    </w:p>
    <w:p>
      <w:pPr>
        <w:pStyle w:val="Normal"/>
        <w:tabs>
          <w:tab w:val="clear" w:pos="720"/>
          <w:tab w:val="left" w:leader="none" w:pos="709"/>
        </w:tabs>
        <w:ind w:firstLine="1134"/>
        <w:jc w:val="both"/>
        <w:rPr/>
      </w:pPr>
      <w:r>
        <w:rPr/>
        <w:t xml:space="preserve">Contestatorii </w:t>
      </w:r>
      <w:r>
        <w:rPr>
          <w:b/>
        </w:rPr>
        <w:t>R1</w:t>
      </w:r>
      <w:r>
        <w:rPr/>
        <w:t xml:space="preserve"> şi </w:t>
      </w:r>
      <w:r>
        <w:rPr>
          <w:b/>
        </w:rPr>
        <w:t>R2</w:t>
      </w:r>
      <w:r>
        <w:rPr/>
        <w:t xml:space="preserve"> au fost prezenți la toate termenele de judecată. Asistenţa juridică a acestora a fost asigurată prin apărătorii desemnaţi din oficiu, av. Av5 (delegaţia nr. ...2/01.11.2017 – fila 10) şi Av6 (delegaţia nr. ...3/01.11.2017 – fila 11).</w:t>
      </w:r>
    </w:p>
    <w:p>
      <w:pPr>
        <w:pStyle w:val="Normal"/>
        <w:tabs>
          <w:tab w:val="clear" w:pos="720"/>
          <w:tab w:val="left" w:leader="none" w:pos="709"/>
        </w:tabs>
        <w:ind w:firstLine="1134"/>
        <w:jc w:val="both"/>
        <w:rPr>
          <w:b/>
          <w:i/>
          <w:i/>
        </w:rPr>
      </w:pPr>
      <w:r>
        <w:rPr/>
        <w:t>În susţinere, au depus Ordonanţa de clasare din ... dată în dosarul nr. D3 al Parchetului de pe lângă Judecătoria ..., precum şi referatul cu propunere de clasare din 19.10.2016 al I.P.J. ...– Poliţia municipiului ... – Secţia de Poliţie Rurală nr. 1 (filele 36 şi 37).</w:t>
      </w:r>
    </w:p>
    <w:p>
      <w:pPr>
        <w:pStyle w:val="Normal"/>
        <w:tabs>
          <w:tab w:val="clear" w:pos="720"/>
          <w:tab w:val="left" w:leader="none" w:pos="709"/>
        </w:tabs>
        <w:ind w:firstLine="1134"/>
        <w:jc w:val="both"/>
        <w:rPr/>
      </w:pPr>
      <w:r>
        <w:rPr/>
        <w:t xml:space="preserve">Prin </w:t>
      </w:r>
      <w:r>
        <w:rPr>
          <w:b/>
        </w:rPr>
        <w:t>Încheierea din data de ...</w:t>
      </w:r>
      <w:r>
        <w:rPr/>
        <w:t>, Curtea, în temeiul art. 431 Cod procedură penală în referire la art. 426 lit. b) Cod procedură penală, a admis în principiu contestaţia în anulare formulată de contestatorii R1 şi R2.</w:t>
      </w:r>
    </w:p>
    <w:p>
      <w:pPr>
        <w:pStyle w:val="Normal"/>
        <w:tabs>
          <w:tab w:val="clear" w:pos="720"/>
          <w:tab w:val="left" w:leader="none" w:pos="709"/>
        </w:tabs>
        <w:ind w:firstLine="1134"/>
        <w:jc w:val="both"/>
        <w:rPr/>
      </w:pPr>
      <w:r>
        <w:rPr/>
      </w:r>
    </w:p>
    <w:p>
      <w:pPr>
        <w:pStyle w:val="Normal"/>
        <w:tabs>
          <w:tab w:val="clear" w:pos="720"/>
          <w:tab w:val="left" w:leader="none" w:pos="0"/>
          <w:tab w:val="left" w:leader="none" w:pos="2790"/>
        </w:tabs>
        <w:jc w:val="both"/>
        <w:rPr>
          <w:b/>
        </w:rPr>
      </w:pPr>
      <w:r>
        <w:rPr>
          <w:b/>
        </w:rPr>
      </w:r>
    </w:p>
    <w:p>
      <w:pPr>
        <w:pStyle w:val="Normal"/>
        <w:tabs>
          <w:tab w:val="clear" w:pos="720"/>
          <w:tab w:val="left" w:leader="none" w:pos="0"/>
          <w:tab w:val="left" w:leader="none" w:pos="2790"/>
        </w:tabs>
        <w:ind w:firstLine="1134"/>
        <w:jc w:val="both"/>
        <w:rPr/>
      </w:pPr>
      <w:r>
        <w:rPr>
          <w:b/>
        </w:rPr>
        <w:t>Curtea de Apel arată că, prin intermediul contestației in anulare</w:t>
      </w:r>
      <w:r>
        <w:rPr/>
        <w:t xml:space="preserve">, cale de atac de retractare, se tinde, in principal, la remedierea unor încălcări importante ale </w:t>
      </w:r>
      <w:r>
        <w:rPr>
          <w:b/>
        </w:rPr>
        <w:t>normelor de procedură</w:t>
      </w:r>
      <w:r>
        <w:rPr/>
        <w:t>, ivite in cursul judecății cauzei, care de regulă sunt sancționate cu nulitatea absolută, și care nu mai pot fi înlăturate prin intermediul unei căi ordinare de atac.</w:t>
      </w:r>
    </w:p>
    <w:p>
      <w:pPr>
        <w:pStyle w:val="Normal"/>
        <w:tabs>
          <w:tab w:val="clear" w:pos="720"/>
          <w:tab w:val="left" w:leader="none" w:pos="0"/>
          <w:tab w:val="left" w:leader="none" w:pos="2790"/>
        </w:tabs>
        <w:ind w:firstLine="1134"/>
        <w:jc w:val="both"/>
        <w:rPr/>
      </w:pPr>
      <w:r>
        <w:rPr/>
        <w:t xml:space="preserve">Fiind o cale extraordinară de atac, contestaţia în anulare nu poate fi exercitată decât împotriva unei hotărâri definitive, a cărei anulare se poate cere numai pentru cazurile </w:t>
      </w:r>
      <w:r>
        <w:rPr>
          <w:b/>
        </w:rPr>
        <w:t>expres</w:t>
      </w:r>
      <w:r>
        <w:rPr/>
        <w:t xml:space="preserve"> și </w:t>
      </w:r>
      <w:r>
        <w:rPr>
          <w:b/>
        </w:rPr>
        <w:t>limitativ determinate</w:t>
      </w:r>
      <w:r>
        <w:rPr/>
        <w:t xml:space="preserve"> prin art. 426 Cod procedură penală și în termenul instituit imperativ de art. 428 Cod procedură penală.</w:t>
      </w:r>
    </w:p>
    <w:p>
      <w:pPr>
        <w:pStyle w:val="Normal"/>
        <w:tabs>
          <w:tab w:val="clear" w:pos="720"/>
          <w:tab w:val="left" w:leader="none" w:pos="851"/>
          <w:tab w:val="left" w:leader="none" w:pos="2790"/>
        </w:tabs>
        <w:ind w:firstLine="1134"/>
        <w:jc w:val="both"/>
        <w:rPr/>
      </w:pPr>
      <w:r>
        <w:rPr>
          <w:b/>
        </w:rPr>
        <w:t>Potrivit art. 426 Cod procedură penală</w:t>
      </w:r>
      <w:r>
        <w:rPr/>
        <w:t>, se poate face contestaţie în anulare, în următoarele cazuri:</w:t>
      </w:r>
    </w:p>
    <w:p>
      <w:pPr>
        <w:pStyle w:val="Normal"/>
        <w:tabs>
          <w:tab w:val="clear" w:pos="720"/>
          <w:tab w:val="left" w:leader="none" w:pos="851"/>
          <w:tab w:val="left" w:leader="none" w:pos="2790"/>
        </w:tabs>
        <w:jc w:val="both"/>
        <w:rPr/>
      </w:pPr>
      <w:r>
        <w:rPr/>
        <w:tab/>
        <w:t xml:space="preserve">a) </w:t>
        <w:tab/>
        <w:t>când judecata în apel a avut loc fără citarea legală a unei părţi sau când, deşi legal citată, a fost în imposibilitate de a se prezenta şi de a înștiința instanţa despre această imposibilitate;</w:t>
      </w:r>
    </w:p>
    <w:p>
      <w:pPr>
        <w:pStyle w:val="Normal"/>
        <w:tabs>
          <w:tab w:val="clear" w:pos="720"/>
          <w:tab w:val="left" w:leader="none" w:pos="851"/>
          <w:tab w:val="left" w:leader="none" w:pos="2790"/>
        </w:tabs>
        <w:jc w:val="both"/>
        <w:rPr>
          <w:b/>
        </w:rPr>
      </w:pPr>
      <w:r>
        <w:rPr/>
        <w:tab/>
      </w:r>
      <w:r>
        <w:rPr>
          <w:b/>
        </w:rPr>
        <w:t xml:space="preserve">b) </w:t>
        <w:tab/>
        <w:t>când inculpatul a fost condamnat, deşi existau probe cu privire la o cauză de încetare a procesului penal;</w:t>
      </w:r>
    </w:p>
    <w:p>
      <w:pPr>
        <w:pStyle w:val="Normal"/>
        <w:tabs>
          <w:tab w:val="clear" w:pos="720"/>
          <w:tab w:val="left" w:leader="none" w:pos="851"/>
          <w:tab w:val="left" w:leader="none" w:pos="2790"/>
        </w:tabs>
        <w:jc w:val="both"/>
        <w:rPr/>
      </w:pPr>
      <w:r>
        <w:rPr/>
        <w:tab/>
        <w:t xml:space="preserve">c) </w:t>
        <w:tab/>
        <w:t>când hotărârea din apel a fost pronunţată de alt complet decât cel care a luat parte la dezbaterea pe fond a procesului;</w:t>
      </w:r>
    </w:p>
    <w:p>
      <w:pPr>
        <w:pStyle w:val="Normal"/>
        <w:tabs>
          <w:tab w:val="clear" w:pos="720"/>
          <w:tab w:val="left" w:leader="none" w:pos="851"/>
          <w:tab w:val="left" w:leader="none" w:pos="2790"/>
        </w:tabs>
        <w:jc w:val="both"/>
        <w:rPr/>
      </w:pPr>
      <w:r>
        <w:rPr/>
        <w:tab/>
        <w:t xml:space="preserve">d) </w:t>
        <w:tab/>
        <w:t>când instanţa de apel nu a fost compusă potrivit legii ori a existat un caz de incompatibilitate;</w:t>
      </w:r>
    </w:p>
    <w:p>
      <w:pPr>
        <w:pStyle w:val="Normal"/>
        <w:tabs>
          <w:tab w:val="clear" w:pos="720"/>
          <w:tab w:val="left" w:leader="none" w:pos="851"/>
          <w:tab w:val="left" w:leader="none" w:pos="2790"/>
        </w:tabs>
        <w:jc w:val="both"/>
        <w:rPr/>
      </w:pPr>
      <w:r>
        <w:rPr/>
        <w:tab/>
        <w:t xml:space="preserve">e) </w:t>
        <w:tab/>
        <w:t>când judecata în apel a avut loc fără participarea procurorului sau a inculpatului, când aceasta era obligatorie, potrivit legii;</w:t>
      </w:r>
    </w:p>
    <w:p>
      <w:pPr>
        <w:pStyle w:val="Normal"/>
        <w:tabs>
          <w:tab w:val="clear" w:pos="720"/>
          <w:tab w:val="left" w:leader="none" w:pos="851"/>
          <w:tab w:val="left" w:leader="none" w:pos="2790"/>
        </w:tabs>
        <w:jc w:val="both"/>
        <w:rPr/>
      </w:pPr>
      <w:r>
        <w:rPr/>
        <w:tab/>
        <w:t xml:space="preserve">f) </w:t>
        <w:tab/>
        <w:t>când judecata în apel a avut loc în lipsa avocatului, când asistenţa juridică a inculpatului era obligatorie, potrivit legii;</w:t>
      </w:r>
    </w:p>
    <w:p>
      <w:pPr>
        <w:pStyle w:val="Normal"/>
        <w:tabs>
          <w:tab w:val="clear" w:pos="720"/>
          <w:tab w:val="left" w:leader="none" w:pos="851"/>
          <w:tab w:val="left" w:leader="none" w:pos="2790"/>
        </w:tabs>
        <w:jc w:val="both"/>
        <w:rPr/>
      </w:pPr>
      <w:r>
        <w:rPr/>
        <w:tab/>
      </w:r>
      <w:r>
        <w:rPr>
          <w:b/>
        </w:rPr>
        <w:t xml:space="preserve">g) </w:t>
        <w:tab/>
      </w:r>
      <w:r>
        <w:rPr/>
        <w:t>când şedinţa de judecată în apel nu a fost publică, în afară de cazurile când legea prevede altfel;</w:t>
      </w:r>
    </w:p>
    <w:p>
      <w:pPr>
        <w:pStyle w:val="Normal"/>
        <w:tabs>
          <w:tab w:val="clear" w:pos="720"/>
          <w:tab w:val="left" w:leader="none" w:pos="851"/>
          <w:tab w:val="left" w:leader="none" w:pos="2790"/>
        </w:tabs>
        <w:jc w:val="both"/>
        <w:rPr/>
      </w:pPr>
      <w:r>
        <w:rPr/>
        <w:tab/>
        <w:t xml:space="preserve">h) </w:t>
        <w:tab/>
        <w:t>când instanţa de apel nu a procedat la audierea inculpatului prezent, dacă audierea era legal posibilă;</w:t>
      </w:r>
    </w:p>
    <w:p>
      <w:pPr>
        <w:pStyle w:val="Normal"/>
        <w:tabs>
          <w:tab w:val="clear" w:pos="720"/>
          <w:tab w:val="left" w:leader="none" w:pos="851"/>
          <w:tab w:val="left" w:leader="none" w:pos="2790"/>
        </w:tabs>
        <w:jc w:val="both"/>
        <w:rPr/>
      </w:pPr>
      <w:r>
        <w:rPr/>
        <w:tab/>
        <w:t xml:space="preserve">i) </w:t>
        <w:tab/>
        <w:t>când împotriva unei persoane s-au pronunţat două hotărâri definitive pentru aceeaşi faptă.</w:t>
      </w:r>
    </w:p>
    <w:p>
      <w:pPr>
        <w:pStyle w:val="Normal"/>
        <w:tabs>
          <w:tab w:val="clear" w:pos="720"/>
          <w:tab w:val="left" w:leader="none" w:pos="0"/>
          <w:tab w:val="left" w:leader="none" w:pos="2790"/>
        </w:tabs>
        <w:ind w:firstLine="1134"/>
        <w:jc w:val="both"/>
        <w:rPr/>
      </w:pPr>
      <w:r>
        <w:rPr/>
        <w:t>În lipsa unor asemenea cazuri, contestația în anulare împotriva hotărârii judecătorești definitive nu poate fi solicitată, întrucât este o cale extraordinară de atac ce presupune examinarea hotărârii judecătorești definitive numai în anumite situații, iar nu de plano, prin simpla promovare a acestei căi de atac.</w:t>
      </w:r>
    </w:p>
    <w:p>
      <w:pPr>
        <w:pStyle w:val="Normal"/>
        <w:ind w:firstLine="1134"/>
        <w:jc w:val="both"/>
        <w:rPr/>
      </w:pPr>
      <w:r>
        <w:rPr/>
      </w:r>
    </w:p>
    <w:p>
      <w:pPr>
        <w:pStyle w:val="Normal"/>
        <w:ind w:firstLine="1134"/>
        <w:jc w:val="both"/>
        <w:rPr/>
      </w:pPr>
      <w:r>
        <w:rPr/>
      </w:r>
    </w:p>
    <w:p>
      <w:pPr>
        <w:pStyle w:val="Normal"/>
        <w:ind w:firstLine="1134"/>
        <w:jc w:val="both"/>
        <w:rPr/>
      </w:pPr>
      <w:r>
        <w:rPr/>
      </w:r>
    </w:p>
    <w:p>
      <w:pPr>
        <w:pStyle w:val="Normal"/>
        <w:ind w:firstLine="1134"/>
        <w:jc w:val="both"/>
        <w:rPr/>
      </w:pPr>
      <w:r>
        <w:rPr/>
        <w:t>Cazul de contestație în anulare prev. de art. 426 lit. b) Cod de procedură penală presupune tot o eroare de procedură (</w:t>
      </w:r>
      <w:r>
        <w:rPr>
          <w:i/>
        </w:rPr>
        <w:t>error in procedendo</w:t>
      </w:r>
      <w:r>
        <w:rPr/>
        <w:t xml:space="preserve">) constând în eroarea procedurală a instanței de a se pronunța cu privire la o cauză de încetare a procesului penal prevăzută de art. 16 alin. 1 lit. e) – h) și j) Cod de procedură penală pentru care existau probe în cauză, iar nu o </w:t>
      </w:r>
      <w:r>
        <w:rPr>
          <w:i/>
        </w:rPr>
        <w:t>error in iudicata</w:t>
      </w:r>
      <w:r>
        <w:rPr/>
        <w:t>, deoarece rolul acestui caz de anulare nu este de a înlătura greșita interpretare și aplicare a legii, în ipoteza în care instanța a dezbătut și analizat incidența cazului de încetare a procesului penal în cadrul hotărârii ce a intrat în puterea lucrului judecat.</w:t>
      </w:r>
    </w:p>
    <w:p>
      <w:pPr>
        <w:pStyle w:val="Normal"/>
        <w:ind w:firstLine="1134"/>
        <w:jc w:val="both"/>
        <w:rPr/>
      </w:pPr>
      <w:r>
        <w:rPr/>
        <w:t>Cazul prevăzut de art. 426 lit. b) Cod de procedură penală nu va putea fi invocat:</w:t>
      </w:r>
    </w:p>
    <w:p>
      <w:pPr>
        <w:pStyle w:val="ListParagraph"/>
        <w:numPr>
          <w:ilvl w:val="0"/>
          <w:numId w:val="3"/>
        </w:numPr>
        <w:spacing w:before="0" w:after="0" w:line="240" w:lineRule="auto"/>
        <w:ind w:left="0" w:firstLine="1134"/>
        <w:contextualSpacing/>
        <w:jc w:val="both"/>
        <w:rPr>
          <w:rFonts w:ascii="Times New Roman" w:hAnsi="Times New Roman"/>
          <w:sz w:val="24"/>
        </w:rPr>
      </w:pPr>
      <w:r>
        <w:rPr>
          <w:rFonts w:ascii="Times New Roman" w:hAnsi="Times New Roman"/>
          <w:sz w:val="24"/>
        </w:rPr>
        <w:t>pentru a justifica omisiunea instanței de a se pronunța asupra unei alte cauze de împiedicare a exercitării acțiunii penale, cum ar fi existența unui caz de achitare dintre cele prevăzute de art. 16 alin. 1 lit. a) – d) Cod de procedură penală invocate de inculpat în apărarea sa;</w:t>
      </w:r>
    </w:p>
    <w:p>
      <w:pPr>
        <w:pStyle w:val="ListParagraph"/>
        <w:numPr>
          <w:ilvl w:val="0"/>
          <w:numId w:val="3"/>
        </w:numPr>
        <w:spacing w:before="0" w:after="0" w:line="240" w:lineRule="auto"/>
        <w:ind w:left="0" w:firstLine="1134"/>
        <w:contextualSpacing/>
        <w:jc w:val="both"/>
        <w:rPr>
          <w:rFonts w:ascii="Times New Roman" w:hAnsi="Times New Roman"/>
          <w:sz w:val="24"/>
        </w:rPr>
      </w:pPr>
      <w:r>
        <w:rPr>
          <w:rFonts w:ascii="Times New Roman" w:hAnsi="Times New Roman"/>
          <w:sz w:val="24"/>
        </w:rPr>
        <w:t>dacă atât prima instanță, cât și instanța de apel au apreciat că în cauză nu este incident vreunul dintre cazurile prevăzute de art. 16 alin. 1 lit. e) – h) și j) Cod de procedură penală, iar aceste considerente au intrat în putere de lucru judecat;</w:t>
      </w:r>
    </w:p>
    <w:p>
      <w:pPr>
        <w:pStyle w:val="ListParagraph"/>
        <w:numPr>
          <w:ilvl w:val="0"/>
          <w:numId w:val="3"/>
        </w:numPr>
        <w:spacing w:before="0" w:after="0" w:line="240" w:lineRule="auto"/>
        <w:ind w:left="0" w:firstLine="1134"/>
        <w:contextualSpacing/>
        <w:jc w:val="both"/>
        <w:rPr>
          <w:rFonts w:ascii="Times New Roman" w:hAnsi="Times New Roman"/>
          <w:sz w:val="24"/>
        </w:rPr>
      </w:pPr>
      <w:r>
        <w:rPr>
          <w:rFonts w:ascii="Times New Roman" w:hAnsi="Times New Roman"/>
          <w:sz w:val="24"/>
        </w:rPr>
        <w:t>în ipoteza în care, deși prima instanță a omis să se pronunțe cu privire la existența impedimentelor prevăzute de art. 16 alin. 1 lit. e) – h) și j) Cod de procedură penală, instanța de apel din oficiu sau prin raportare la motivele de apel a  apreciat că nu poate fi reținută existența vreunui astfel de impediment la exercitarea acțiunii penale, iar aceste considerente au intrat în putere de lucru judecat.</w:t>
      </w:r>
    </w:p>
    <w:p>
      <w:pPr>
        <w:pStyle w:val="Normal"/>
        <w:tabs>
          <w:tab w:val="clear" w:pos="720"/>
          <w:tab w:val="left" w:leader="none" w:pos="709"/>
        </w:tabs>
        <w:jc w:val="both"/>
        <w:rPr/>
      </w:pPr>
      <w:r>
        <w:rPr/>
      </w:r>
    </w:p>
    <w:p>
      <w:pPr>
        <w:pStyle w:val="Normal"/>
        <w:tabs>
          <w:tab w:val="clear" w:pos="720"/>
          <w:tab w:val="left" w:leader="none" w:pos="709"/>
        </w:tabs>
        <w:ind w:firstLine="1134"/>
        <w:jc w:val="both"/>
        <w:rPr/>
      </w:pPr>
      <w:r>
        <w:rPr>
          <w:b/>
        </w:rPr>
        <w:t>Curtea de Apel</w:t>
      </w:r>
      <w:r>
        <w:rPr/>
        <w:t xml:space="preserve"> constată că </w:t>
      </w:r>
      <w:r>
        <w:rPr>
          <w:b/>
        </w:rPr>
        <w:t>nu există identitate</w:t>
      </w:r>
      <w:r>
        <w:rPr/>
        <w:t xml:space="preserve"> între faptele pentru care s-a dispus, în baza art. 314 alin. 1 lit. a) Cod de procedură penală – art. 16 alin. 1 lit. g) Cod de procedură penală – art. 315 alin. 5 Cod de procedură penală – art. 316 alin. 1 Cod de procedură penală - </w:t>
      </w:r>
      <w:r>
        <w:rPr>
          <w:b/>
        </w:rPr>
        <w:t>clasarea cauzei (urmare a împăcării părţilor)</w:t>
      </w:r>
      <w:r>
        <w:rPr/>
        <w:t xml:space="preserve"> faţă de contestatorii </w:t>
      </w:r>
      <w:r>
        <w:rPr>
          <w:b/>
        </w:rPr>
        <w:t>R1</w:t>
      </w:r>
      <w:r>
        <w:rPr/>
        <w:t xml:space="preserve"> şi </w:t>
      </w:r>
      <w:r>
        <w:rPr>
          <w:b/>
        </w:rPr>
        <w:t>R2</w:t>
      </w:r>
      <w:r>
        <w:rPr/>
        <w:t xml:space="preserve"> prin Ordonanţa de clasare nr. D3 din ... a Parchetului de pe lângă Judecătoria ... (fapte din 02.03.2015 – orele 22.00 – persoană vătămată A8, privind sustragerea </w:t>
      </w:r>
      <w:r>
        <w:rPr>
          <w:i/>
        </w:rPr>
        <w:t>unui lănţişor de aur, a unei verighete de aur, a două perechi de cercei din aur şi a unei perechi cercei din argint</w:t>
      </w:r>
      <w:r>
        <w:rPr/>
        <w:t>; din 12.03.2015 – orele 23.00 – persoană vătămată A10, privind</w:t>
      </w:r>
      <w:r>
        <w:rPr>
          <w:i/>
        </w:rPr>
        <w:t xml:space="preserve"> sustragerea a zece litri ţuică</w:t>
      </w:r>
      <w:r>
        <w:rPr/>
        <w:t xml:space="preserve">) şi faptele pentru care s-a dispus trimiterea în judecată, prin rechizitoriul nr. X1 din ... al Parchetului de pe lângă Judecătoria ..., a contestatorilor </w:t>
      </w:r>
      <w:r>
        <w:rPr>
          <w:b/>
        </w:rPr>
        <w:t>R1</w:t>
      </w:r>
      <w:r>
        <w:rPr/>
        <w:t xml:space="preserve"> şi </w:t>
      </w:r>
      <w:r>
        <w:rPr>
          <w:b/>
        </w:rPr>
        <w:t>R2</w:t>
      </w:r>
      <w:r>
        <w:rPr/>
        <w:t xml:space="preserve"> (fapte din 02.03.2015 – orele 22.00 – persoană vătămată A8, privind </w:t>
      </w:r>
      <w:r>
        <w:rPr>
          <w:i/>
        </w:rPr>
        <w:t>sustragerea a şapte litri de ţuică, a unei perechi de pantofi bărbătești şi a patru perechi de şosete</w:t>
      </w:r>
      <w:r>
        <w:rPr/>
        <w:t xml:space="preserve">; din 12.03.2015 – orele 23.00 – persoană vătămată A10, privind </w:t>
      </w:r>
      <w:r>
        <w:rPr>
          <w:i/>
        </w:rPr>
        <w:t>sustragerea a sustragerea a 5 kilograme de brânză şi patru găini</w:t>
      </w:r>
      <w:r>
        <w:rPr/>
        <w:t xml:space="preserve">), iar ulterior condamnarea inculpaţilor prin </w:t>
      </w:r>
      <w:r>
        <w:rPr>
          <w:b/>
        </w:rPr>
        <w:t>sentinţa penală nr. SP1 pronunţate de Judecătoria ...</w:t>
      </w:r>
      <w:r>
        <w:rPr/>
        <w:t>, în dosarul nr. D2,</w:t>
      </w:r>
      <w:r>
        <w:rPr>
          <w:b/>
        </w:rPr>
        <w:t xml:space="preserve"> definitivă prin Decizia penală nr. DP2</w:t>
      </w:r>
      <w:r>
        <w:rPr/>
        <w:t xml:space="preserve">, pronunțată la data de </w:t>
      </w:r>
      <w:r>
        <w:rPr>
          <w:b/>
        </w:rPr>
        <w:t>...</w:t>
      </w:r>
      <w:r>
        <w:rPr/>
        <w:t xml:space="preserve">, de </w:t>
      </w:r>
      <w:r>
        <w:rPr>
          <w:b/>
        </w:rPr>
        <w:t>Curtea de Apel ...</w:t>
      </w:r>
      <w:r>
        <w:rPr/>
        <w:t>.</w:t>
      </w:r>
    </w:p>
    <w:p>
      <w:pPr>
        <w:pStyle w:val="Normal"/>
        <w:tabs>
          <w:tab w:val="clear" w:pos="720"/>
          <w:tab w:val="left" w:leader="none" w:pos="709"/>
        </w:tabs>
        <w:jc w:val="both"/>
        <w:rPr/>
      </w:pPr>
      <w:r>
        <w:rPr/>
      </w:r>
    </w:p>
    <w:p>
      <w:pPr>
        <w:pStyle w:val="Normal"/>
        <w:tabs>
          <w:tab w:val="clear" w:pos="720"/>
          <w:tab w:val="left" w:leader="none" w:pos="709"/>
        </w:tabs>
        <w:jc w:val="both"/>
        <w:rPr>
          <w:b/>
          <w:i/>
          <w:i/>
        </w:rPr>
      </w:pPr>
      <w:r>
        <w:rPr>
          <w:b/>
          <w:i/>
        </w:rPr>
      </w:r>
    </w:p>
    <w:p>
      <w:pPr>
        <w:pStyle w:val="Normal"/>
        <w:ind w:firstLine="1134"/>
        <w:jc w:val="both"/>
        <w:rPr>
          <w:b/>
        </w:rPr>
      </w:pPr>
      <w:r>
        <w:rPr>
          <w:b/>
        </w:rPr>
        <w:t>Faţă de considerentele anterior expuse, în baza art. 432 alin. 1 Cod de procedură penală,</w:t>
      </w:r>
      <w:r>
        <w:rPr/>
        <w:t xml:space="preserve"> </w:t>
        <w:tab/>
        <w:t xml:space="preserve">Curtea va respinge, </w:t>
      </w:r>
      <w:r>
        <w:rPr>
          <w:b/>
          <w:i/>
        </w:rPr>
        <w:t>ca nefondate</w:t>
      </w:r>
      <w:r>
        <w:rPr/>
        <w:t xml:space="preserve">, </w:t>
      </w:r>
      <w:r>
        <w:rPr>
          <w:b/>
        </w:rPr>
        <w:t>contestațiile în anulare</w:t>
      </w:r>
      <w:r>
        <w:rPr/>
        <w:t xml:space="preserve"> formulate de către </w:t>
      </w:r>
      <w:r>
        <w:rPr>
          <w:b/>
        </w:rPr>
        <w:t xml:space="preserve">R1 </w:t>
      </w:r>
      <w:r>
        <w:rPr/>
        <w:t>şi</w:t>
      </w:r>
      <w:r>
        <w:rPr>
          <w:b/>
        </w:rPr>
        <w:t xml:space="preserve"> R2 </w:t>
      </w:r>
      <w:r>
        <w:rPr/>
        <w:t xml:space="preserve">împotriva </w:t>
      </w:r>
      <w:r>
        <w:rPr>
          <w:b/>
        </w:rPr>
        <w:t>Deciziei penale nr. DP2</w:t>
      </w:r>
      <w:r>
        <w:rPr/>
        <w:t xml:space="preserve">, pronunțată la data de </w:t>
      </w:r>
      <w:r>
        <w:rPr>
          <w:b/>
        </w:rPr>
        <w:t>...</w:t>
      </w:r>
      <w:r>
        <w:rPr/>
        <w:t xml:space="preserve">, de </w:t>
      </w:r>
      <w:r>
        <w:rPr>
          <w:b/>
        </w:rPr>
        <w:t>Curtea de Apel ...</w:t>
      </w:r>
      <w:r>
        <w:rPr/>
        <w:t xml:space="preserve">, în dosarul nr. D2, </w:t>
      </w:r>
      <w:r>
        <w:rPr>
          <w:b/>
        </w:rPr>
        <w:t>decizie pe care o menține.</w:t>
      </w:r>
    </w:p>
    <w:p>
      <w:pPr>
        <w:pStyle w:val="Normal"/>
        <w:ind w:firstLine="1134"/>
        <w:jc w:val="both"/>
        <w:rPr>
          <w:b/>
        </w:rPr>
      </w:pPr>
      <w:r>
        <w:rPr>
          <w:b/>
        </w:rPr>
      </w:r>
    </w:p>
    <w:p>
      <w:pPr>
        <w:pStyle w:val="Normal"/>
        <w:ind w:firstLine="1134"/>
        <w:jc w:val="both"/>
        <w:rPr/>
      </w:pPr>
      <w:r>
        <w:rPr>
          <w:i/>
        </w:rPr>
        <w:t>Constatând culpa procesuală, faţă de soluțiile de respingere a căilor extraordinare de atac</w:t>
      </w:r>
      <w:r>
        <w:rPr/>
        <w:t xml:space="preserve">, </w:t>
      </w:r>
      <w:r>
        <w:rPr>
          <w:b/>
        </w:rPr>
        <w:t>în baza dispoziţiilor art. 275 alin. 2 Cod procedură penală,</w:t>
      </w:r>
      <w:r>
        <w:rPr/>
        <w:t xml:space="preserve"> va obliga </w:t>
      </w:r>
      <w:r>
        <w:rPr>
          <w:b/>
        </w:rPr>
        <w:t>pe fiecare</w:t>
      </w:r>
      <w:r>
        <w:rPr/>
        <w:t xml:space="preserve"> dintre contestatorii </w:t>
      </w:r>
      <w:r>
        <w:rPr>
          <w:b/>
        </w:rPr>
        <w:t xml:space="preserve">R1 </w:t>
      </w:r>
      <w:r>
        <w:rPr/>
        <w:t>şi</w:t>
      </w:r>
      <w:r>
        <w:rPr>
          <w:b/>
        </w:rPr>
        <w:t xml:space="preserve"> R2</w:t>
      </w:r>
      <w:r>
        <w:rPr/>
        <w:t xml:space="preserve"> la plata sumei de 200 lei cu titlu de cheltuieli judiciare avansate de către stat în vederea soluționării contestațiilor.</w:t>
      </w:r>
    </w:p>
    <w:p>
      <w:pPr>
        <w:pStyle w:val="Normal"/>
        <w:ind w:firstLine="1134"/>
        <w:jc w:val="both"/>
        <w:rPr/>
      </w:pPr>
      <w:r>
        <w:rPr>
          <w:b/>
        </w:rPr>
        <w:t>În baza art. 275 alin. 6 Cod de procedură penală</w:t>
      </w:r>
      <w:r>
        <w:rPr/>
        <w:t xml:space="preserve">, suma de </w:t>
      </w:r>
      <w:r>
        <w:rPr>
          <w:b/>
        </w:rPr>
        <w:t>720 lei</w:t>
      </w:r>
      <w:r>
        <w:rPr/>
        <w:t xml:space="preserve"> reprezentând onorarii apărători desemnați din oficiu pentru contestatori (</w:t>
      </w:r>
      <w:r>
        <w:rPr>
          <w:i/>
        </w:rPr>
        <w:t>2*360 lei - delegaţii nr. ...2/2017 – av. Av5 şi nr. ...3/2017 – av. Av6</w:t>
      </w:r>
      <w:r>
        <w:rPr/>
        <w:t>) va fi avansată Baroului ... din fondurile Ministerului Justiţiei şi va rămâne în sarcina statului.</w:t>
      </w:r>
    </w:p>
    <w:p>
      <w:pPr>
        <w:pStyle w:val="Normal"/>
        <w:tabs>
          <w:tab w:val="clear" w:pos="720"/>
          <w:tab w:val="left" w:leader="none" w:pos="1936"/>
        </w:tabs>
        <w:rPr/>
      </w:pPr>
      <w:r>
        <w:rPr/>
      </w:r>
    </w:p>
    <w:p>
      <w:pPr>
        <w:pStyle w:val="Normal"/>
        <w:tabs>
          <w:tab w:val="clear" w:pos="720"/>
          <w:tab w:val="left" w:leader="none" w:pos="1936"/>
        </w:tabs>
        <w:rPr/>
      </w:pPr>
      <w:r>
        <w:rPr/>
      </w:r>
    </w:p>
    <w:p>
      <w:pPr>
        <w:pStyle w:val="Normal"/>
        <w:tabs>
          <w:tab w:val="clear" w:pos="720"/>
          <w:tab w:val="left" w:leader="none" w:pos="709"/>
        </w:tabs>
        <w:jc w:val="center"/>
        <w:rPr>
          <w:b/>
        </w:rPr>
      </w:pPr>
      <w:r>
        <w:rPr>
          <w:b/>
        </w:rPr>
        <w:t>PENTRU ACESTE MOTIVE</w:t>
      </w:r>
    </w:p>
    <w:p>
      <w:pPr>
        <w:pStyle w:val="Normal"/>
        <w:tabs>
          <w:tab w:val="clear" w:pos="720"/>
          <w:tab w:val="left" w:leader="none" w:pos="709"/>
        </w:tabs>
        <w:jc w:val="center"/>
        <w:rPr>
          <w:b/>
        </w:rPr>
      </w:pPr>
      <w:r>
        <w:rPr>
          <w:b/>
        </w:rPr>
        <w:t>ÎN NUMELE LEGII</w:t>
      </w:r>
    </w:p>
    <w:p>
      <w:pPr>
        <w:pStyle w:val="Normal"/>
        <w:jc w:val="center"/>
        <w:rPr>
          <w:b/>
          <w:color w:val="000000"/>
        </w:rPr>
      </w:pPr>
      <w:r>
        <w:rPr>
          <w:b/>
          <w:color w:val="000000"/>
        </w:rPr>
        <w:t>DECIDE:</w:t>
      </w:r>
    </w:p>
    <w:p>
      <w:pPr>
        <w:pStyle w:val="Normal"/>
        <w:jc w:val="center"/>
        <w:rPr>
          <w:b/>
          <w:color w:val="000000"/>
        </w:rPr>
      </w:pPr>
      <w:r>
        <w:rPr>
          <w:b/>
          <w:color w:val="000000"/>
        </w:rPr>
      </w:r>
    </w:p>
    <w:p>
      <w:pPr>
        <w:pStyle w:val="Normal"/>
        <w:tabs>
          <w:tab w:val="clear" w:pos="720"/>
          <w:tab w:val="left" w:leader="none" w:pos="709"/>
        </w:tabs>
        <w:ind w:firstLine="708"/>
        <w:jc w:val="both"/>
        <w:rPr>
          <w:b/>
          <w:i/>
          <w:i/>
        </w:rPr>
      </w:pPr>
      <w:r>
        <w:rPr>
          <w:b/>
          <w:i/>
        </w:rPr>
      </w:r>
    </w:p>
    <w:p>
      <w:pPr>
        <w:pStyle w:val="Normal"/>
        <w:ind w:firstLine="1134"/>
        <w:jc w:val="both"/>
        <w:rPr>
          <w:b/>
        </w:rPr>
      </w:pPr>
      <w:r>
        <w:rPr>
          <w:b/>
        </w:rPr>
        <w:t>În baza art. 432 alin. 1 Cod de procedură penală,</w:t>
      </w:r>
      <w:r>
        <w:rPr/>
        <w:t xml:space="preserve"> respinge, </w:t>
      </w:r>
      <w:r>
        <w:rPr>
          <w:b/>
          <w:i/>
        </w:rPr>
        <w:t>ca nefondate</w:t>
      </w:r>
      <w:r>
        <w:rPr/>
        <w:t xml:space="preserve">, </w:t>
      </w:r>
      <w:r>
        <w:rPr>
          <w:b/>
        </w:rPr>
        <w:t>contestațiile în anulare</w:t>
      </w:r>
      <w:r>
        <w:rPr/>
        <w:t xml:space="preserve"> formulate de către </w:t>
      </w:r>
      <w:r>
        <w:rPr>
          <w:b/>
        </w:rPr>
        <w:t xml:space="preserve">R1 </w:t>
      </w:r>
      <w:r>
        <w:rPr/>
        <w:t>şi</w:t>
      </w:r>
      <w:r>
        <w:rPr>
          <w:b/>
        </w:rPr>
        <w:t xml:space="preserve"> R2 </w:t>
      </w:r>
      <w:r>
        <w:rPr/>
        <w:t xml:space="preserve">împotriva </w:t>
      </w:r>
      <w:r>
        <w:rPr>
          <w:b/>
        </w:rPr>
        <w:t>Deciziei penale nr. DP2</w:t>
      </w:r>
      <w:r>
        <w:rPr/>
        <w:t xml:space="preserve">, pronunțată la data de </w:t>
      </w:r>
      <w:r>
        <w:rPr>
          <w:b/>
        </w:rPr>
        <w:t>...</w:t>
      </w:r>
      <w:r>
        <w:rPr/>
        <w:t xml:space="preserve">, de </w:t>
      </w:r>
      <w:r>
        <w:rPr>
          <w:b/>
        </w:rPr>
        <w:t>Curtea de Apel ...</w:t>
      </w:r>
      <w:r>
        <w:rPr/>
        <w:t xml:space="preserve">, în dosarul nr. D2, </w:t>
      </w:r>
      <w:r>
        <w:rPr>
          <w:b/>
        </w:rPr>
        <w:t>sentinţă pe care o menține.</w:t>
      </w:r>
    </w:p>
    <w:p>
      <w:pPr>
        <w:pStyle w:val="Normal"/>
        <w:ind w:firstLine="1134"/>
        <w:jc w:val="both"/>
        <w:rPr/>
      </w:pPr>
      <w:r>
        <w:rPr>
          <w:b/>
        </w:rPr>
        <w:t>În baza dispoziţiilor art. 275 alin. 2 Cod procedură penală,</w:t>
      </w:r>
      <w:r>
        <w:rPr/>
        <w:t xml:space="preserve"> obligă </w:t>
      </w:r>
      <w:r>
        <w:rPr>
          <w:b/>
        </w:rPr>
        <w:t>pe fiecare</w:t>
      </w:r>
      <w:r>
        <w:rPr/>
        <w:t xml:space="preserve"> dintre contestatorii </w:t>
      </w:r>
      <w:r>
        <w:rPr>
          <w:b/>
        </w:rPr>
        <w:t xml:space="preserve">R1 </w:t>
      </w:r>
      <w:r>
        <w:rPr/>
        <w:t>şi</w:t>
      </w:r>
      <w:r>
        <w:rPr>
          <w:b/>
        </w:rPr>
        <w:t xml:space="preserve"> R2</w:t>
      </w:r>
      <w:r>
        <w:rPr/>
        <w:t xml:space="preserve"> la plata sumei de 200 lei cu titlu de cheltuieli judiciare avansate de către stat în vederea soluționării contestațiilor.</w:t>
      </w:r>
    </w:p>
    <w:p>
      <w:pPr>
        <w:pStyle w:val="Normal"/>
        <w:ind w:firstLine="1134"/>
        <w:jc w:val="both"/>
        <w:rPr/>
      </w:pPr>
      <w:r>
        <w:rPr>
          <w:b/>
        </w:rPr>
        <w:t>În baza art. 275 alin. 6 Cod de procedură penală</w:t>
      </w:r>
      <w:r>
        <w:rPr/>
        <w:t xml:space="preserve">, suma de </w:t>
      </w:r>
      <w:r>
        <w:rPr>
          <w:b/>
        </w:rPr>
        <w:t>720 lei</w:t>
      </w:r>
      <w:r>
        <w:rPr/>
        <w:t xml:space="preserve"> reprezentând onorarii apărători desemnați din oficiu pentru contestatori (</w:t>
      </w:r>
      <w:r>
        <w:rPr>
          <w:i/>
        </w:rPr>
        <w:t>2*360 lei - delegaţii nr. ...2/2017 – av. Av5 şi nr. ...3/2017 – av. Av6</w:t>
      </w:r>
      <w:r>
        <w:rPr/>
        <w:t>) va fi avansată Baroului ... din fondurile Ministerului Justiţiei.</w:t>
      </w:r>
    </w:p>
    <w:p>
      <w:pPr>
        <w:pStyle w:val="Normal"/>
        <w:ind w:firstLine="1134"/>
        <w:rPr>
          <w:b/>
        </w:rPr>
      </w:pPr>
      <w:r>
        <w:rPr>
          <w:b/>
        </w:rPr>
        <w:t>Definitivă.</w:t>
      </w:r>
    </w:p>
    <w:p>
      <w:pPr>
        <w:pStyle w:val="Normal"/>
        <w:ind w:firstLine="1134"/>
        <w:rPr>
          <w:b/>
        </w:rPr>
      </w:pPr>
      <w:r>
        <w:rPr>
          <w:b/>
        </w:rPr>
        <w:t>Pronunţată în şedinţă publică, astăzi, .....</w:t>
      </w:r>
    </w:p>
    <w:p>
      <w:pPr>
        <w:pStyle w:val="Normal"/>
        <w:rPr/>
      </w:pPr>
      <w:r>
        <w:rPr/>
      </w:r>
    </w:p>
    <w:p>
      <w:pPr>
        <w:pStyle w:val="Normal"/>
        <w:ind w:firstLine="708"/>
        <w:rPr>
          <w:b/>
        </w:rPr>
      </w:pPr>
      <w:r>
        <w:rPr>
          <w:b/>
        </w:rPr>
        <w:t xml:space="preserve">       </w:t>
      </w:r>
      <w:r>
        <w:rPr>
          <w:b/>
        </w:rPr>
        <w:t>Preşedinte,                                                                                  Judecător,</w:t>
      </w:r>
    </w:p>
    <w:p>
      <w:pPr>
        <w:pStyle w:val="Normal"/>
        <w:ind w:firstLine="708"/>
        <w:rPr>
          <w:b/>
        </w:rPr>
      </w:pPr>
      <w:r>
        <w:rPr>
          <w:b/>
        </w:rPr>
        <w:t>A0013</w:t>
        <w:tab/>
        <w:tab/>
        <w:tab/>
        <w:tab/>
        <w:tab/>
        <w:t>...</w:t>
      </w:r>
    </w:p>
    <w:p>
      <w:pPr>
        <w:pStyle w:val="Normal"/>
        <w:rPr/>
      </w:pPr>
      <w:r>
        <w:rPr/>
      </w:r>
    </w:p>
    <w:p>
      <w:pPr>
        <w:pStyle w:val="Normal"/>
        <w:jc w:val="center"/>
        <w:rPr>
          <w:b/>
        </w:rPr>
      </w:pPr>
      <w:r>
        <w:rPr>
          <w:b/>
        </w:rPr>
        <w:t>Grefier,</w:t>
      </w:r>
    </w:p>
    <w:p>
      <w:pPr>
        <w:pStyle w:val="Normal"/>
        <w:jc w:val="center"/>
        <w:rPr>
          <w:b/>
        </w:rPr>
      </w:pPr>
      <w:r>
        <w:rPr>
          <w:b/>
        </w:rPr>
        <w:t>...</w:t>
      </w:r>
    </w:p>
    <w:p>
      <w:pPr>
        <w:pStyle w:val="Normal"/>
        <w:rPr>
          <w:b/>
          <w:i/>
          <w:i/>
          <w:sz w:val="16"/>
        </w:rPr>
      </w:pPr>
      <w:r>
        <w:rPr>
          <w:b/>
          <w:i/>
          <w:sz w:val="16"/>
        </w:rPr>
        <w:t>Redactat/Tehnoredactat judecător A0013</w:t>
      </w:r>
    </w:p>
    <w:p>
      <w:pPr>
        <w:pStyle w:val="Normal"/>
        <w:tabs>
          <w:tab w:val="clear" w:pos="720"/>
          <w:tab w:val="left" w:leader="none" w:pos="4032"/>
        </w:tabs>
        <w:rPr>
          <w:b/>
          <w:i/>
          <w:i/>
          <w:sz w:val="16"/>
        </w:rPr>
      </w:pPr>
      <w:r>
        <w:rPr>
          <w:b/>
          <w:i/>
          <w:sz w:val="16"/>
        </w:rPr>
        <w:t>2 ex./...</w:t>
        <w:tab/>
      </w:r>
    </w:p>
    <w:p>
      <w:pPr>
        <w:pStyle w:val="Normal"/>
        <w:rPr>
          <w:b/>
          <w:i/>
          <w:i/>
          <w:sz w:val="16"/>
        </w:rPr>
      </w:pPr>
      <w:r>
        <w:rPr>
          <w:b/>
          <w:i/>
          <w:sz w:val="16"/>
        </w:rPr>
        <w:t>Judecătoria ...– judecător fond ...</w:t>
      </w:r>
    </w:p>
    <w:p>
      <w:pPr>
        <w:pStyle w:val="Normal"/>
        <w:rPr>
          <w:b/>
          <w:i/>
          <w:i/>
          <w:sz w:val="16"/>
        </w:rPr>
      </w:pPr>
      <w:r>
        <w:rPr>
          <w:b/>
          <w:i/>
          <w:sz w:val="16"/>
        </w:rPr>
        <w:t>Curtea de Apel .. : Preşedinte – ...</w:t>
      </w:r>
    </w:p>
    <w:p>
      <w:pPr>
        <w:pStyle w:val="Normal"/>
        <w:rPr>
          <w:b/>
          <w:i/>
          <w:i/>
          <w:sz w:val="16"/>
        </w:rPr>
      </w:pPr>
      <w:r>
        <w:rPr>
          <w:b/>
          <w:i/>
          <w:sz w:val="16"/>
        </w:rPr>
        <w:tab/>
        <w:t xml:space="preserve">                      Judecător  – ...: </w:t>
      </w:r>
    </w:p>
    <w:p>
      <w:pPr>
        <w:pStyle w:val="Normal"/>
        <w:rPr>
          <w:b/>
          <w:i/>
          <w:i/>
          <w:sz w:val="16"/>
        </w:rPr>
      </w:pPr>
      <w:r>
        <w:rPr>
          <w:b/>
          <w:i/>
          <w:sz w:val="16"/>
        </w:rPr>
        <w:t>Au fost emise 15 comunicări:</w:t>
      </w:r>
    </w:p>
    <w:p>
      <w:pPr>
        <w:pStyle w:val="Normal"/>
        <w:numPr>
          <w:ilvl w:val="0"/>
          <w:numId w:val="2"/>
        </w:numPr>
        <w:rPr>
          <w:b/>
          <w:i/>
          <w:i/>
          <w:sz w:val="16"/>
        </w:rPr>
      </w:pPr>
      <w:r>
        <w:rPr>
          <w:b/>
          <w:i/>
          <w:sz w:val="16"/>
        </w:rPr>
        <w:t>2 contestatori,</w:t>
      </w:r>
    </w:p>
    <w:p>
      <w:pPr>
        <w:pStyle w:val="Normal"/>
        <w:numPr>
          <w:ilvl w:val="0"/>
          <w:numId w:val="2"/>
        </w:numPr>
        <w:rPr>
          <w:b/>
          <w:i/>
          <w:i/>
          <w:sz w:val="16"/>
        </w:rPr>
      </w:pPr>
      <w:r>
        <w:rPr>
          <w:b/>
          <w:i/>
          <w:sz w:val="16"/>
        </w:rPr>
        <w:t>Partea civilă ..</w:t>
      </w:r>
    </w:p>
    <w:p>
      <w:pPr>
        <w:pStyle w:val="Normal"/>
        <w:numPr>
          <w:ilvl w:val="0"/>
          <w:numId w:val="2"/>
        </w:numPr>
        <w:rPr>
          <w:b/>
          <w:i/>
          <w:i/>
          <w:sz w:val="16"/>
        </w:rPr>
      </w:pPr>
      <w:r>
        <w:rPr>
          <w:b/>
          <w:i/>
          <w:sz w:val="16"/>
        </w:rPr>
        <w:t>p.v. ..</w:t>
      </w:r>
    </w:p>
    <w:p>
      <w:pPr>
        <w:pStyle w:val="Normal"/>
        <w:numPr>
          <w:ilvl w:val="0"/>
          <w:numId w:val="2"/>
        </w:numPr>
        <w:rPr>
          <w:b/>
          <w:i/>
          <w:i/>
          <w:sz w:val="16"/>
        </w:rPr>
      </w:pPr>
      <w:r>
        <w:rPr>
          <w:b/>
          <w:i/>
          <w:sz w:val="16"/>
        </w:rPr>
        <w:t>p.v. .. (2 com. – domic.+afişare)</w:t>
      </w:r>
    </w:p>
    <w:p>
      <w:pPr>
        <w:pStyle w:val="Normal"/>
        <w:numPr>
          <w:ilvl w:val="0"/>
          <w:numId w:val="2"/>
        </w:numPr>
        <w:rPr>
          <w:b/>
          <w:i/>
          <w:i/>
          <w:sz w:val="16"/>
        </w:rPr>
      </w:pPr>
      <w:r>
        <w:rPr>
          <w:b/>
          <w:i/>
          <w:sz w:val="16"/>
        </w:rPr>
        <w:t>p.v. ...</w:t>
      </w:r>
    </w:p>
    <w:p>
      <w:pPr>
        <w:pStyle w:val="Normal"/>
        <w:numPr>
          <w:ilvl w:val="0"/>
          <w:numId w:val="2"/>
        </w:numPr>
        <w:rPr>
          <w:b/>
          <w:i/>
          <w:i/>
          <w:sz w:val="16"/>
        </w:rPr>
      </w:pPr>
      <w:r>
        <w:rPr>
          <w:b/>
          <w:i/>
          <w:sz w:val="16"/>
        </w:rPr>
        <w:t>p.v. ..</w:t>
      </w:r>
    </w:p>
    <w:p>
      <w:pPr>
        <w:pStyle w:val="Normal"/>
        <w:numPr>
          <w:ilvl w:val="0"/>
          <w:numId w:val="2"/>
        </w:numPr>
        <w:rPr>
          <w:b/>
          <w:i/>
          <w:i/>
          <w:sz w:val="16"/>
        </w:rPr>
      </w:pPr>
      <w:r>
        <w:rPr>
          <w:b/>
          <w:i/>
          <w:sz w:val="16"/>
        </w:rPr>
        <w:t>p.v. ... (2 com. – domic.+afişare)</w:t>
      </w:r>
    </w:p>
    <w:p>
      <w:pPr>
        <w:pStyle w:val="Normal"/>
        <w:numPr>
          <w:ilvl w:val="0"/>
          <w:numId w:val="2"/>
        </w:numPr>
        <w:rPr>
          <w:b/>
          <w:i/>
          <w:i/>
          <w:sz w:val="16"/>
        </w:rPr>
      </w:pPr>
      <w:r>
        <w:rPr>
          <w:b/>
          <w:i/>
          <w:sz w:val="16"/>
        </w:rPr>
        <w:t>p.v. ...</w:t>
      </w:r>
    </w:p>
    <w:p>
      <w:pPr>
        <w:pStyle w:val="Normal"/>
        <w:numPr>
          <w:ilvl w:val="0"/>
          <w:numId w:val="2"/>
        </w:numPr>
        <w:rPr>
          <w:b/>
          <w:i/>
          <w:i/>
          <w:sz w:val="16"/>
        </w:rPr>
      </w:pPr>
      <w:r>
        <w:rPr>
          <w:b/>
          <w:i/>
          <w:sz w:val="16"/>
        </w:rPr>
        <w:t>p.v. ...</w:t>
      </w:r>
    </w:p>
    <w:p>
      <w:pPr>
        <w:pStyle w:val="Normal"/>
        <w:numPr>
          <w:ilvl w:val="0"/>
          <w:numId w:val="2"/>
        </w:numPr>
        <w:rPr>
          <w:b/>
          <w:i/>
          <w:i/>
          <w:sz w:val="16"/>
        </w:rPr>
      </w:pPr>
      <w:r>
        <w:rPr>
          <w:b/>
          <w:i/>
          <w:sz w:val="16"/>
        </w:rPr>
        <w:t>p.v. ...</w:t>
      </w:r>
    </w:p>
    <w:p>
      <w:pPr>
        <w:pStyle w:val="Normal"/>
        <w:numPr>
          <w:ilvl w:val="0"/>
          <w:numId w:val="2"/>
        </w:numPr>
        <w:rPr>
          <w:b/>
          <w:i/>
          <w:i/>
          <w:sz w:val="16"/>
        </w:rPr>
      </w:pPr>
      <w:r>
        <w:rPr>
          <w:b/>
          <w:i/>
          <w:sz w:val="16"/>
        </w:rPr>
        <w:t>Penitenciarul ..</w:t>
      </w:r>
    </w:p>
    <w:p>
      <w:pPr>
        <w:pStyle w:val="Normal"/>
        <w:numPr>
          <w:ilvl w:val="0"/>
          <w:numId w:val="2"/>
        </w:numPr>
        <w:rPr>
          <w:b/>
          <w:i/>
          <w:i/>
          <w:sz w:val="16"/>
        </w:rPr>
      </w:pPr>
      <w:r>
        <w:rPr>
          <w:b/>
          <w:i/>
          <w:sz w:val="16"/>
        </w:rPr>
        <w:t>Parchetul de pe lângă Curtea de Apel ...</w:t>
      </w:r>
    </w:p>
    <w:p>
      <w:pPr>
        <w:pStyle w:val="Normal"/>
        <w:rPr>
          <w:b/>
          <w:i/>
          <w:i/>
          <w:sz w:val="16"/>
        </w:rPr>
      </w:pPr>
      <w:r>
        <w:rPr>
          <w:b/>
          <w:i/>
          <w:sz w:val="16"/>
        </w:rPr>
        <w:t>Data emiterii comunicărilor  -</w:t>
      </w:r>
    </w:p>
    <w:p>
      <w:pPr>
        <w:pStyle w:val="Normal"/>
        <w:rPr>
          <w:sz w:val="16"/>
        </w:rPr>
      </w:pPr>
      <w:r>
        <w:rPr>
          <w:sz w:val="16"/>
        </w:rPr>
      </w:r>
    </w:p>
    <w:sectPr>
      <w:footerReference w:type="default" r:id="rId2"/>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 w:name="Franklin Gothic Heavy">
    <w:charset w:val="00"/>
    <w:family w:val="roman"/>
    <w:pitch w:val="variable"/>
  </w:font>
  <w:font w:name="Franklin Gothic Medium">
    <w:charset w:val="00"/>
    <w:family w:val="roman"/>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12</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0"/>
        </w:tabs>
        <w:ind w:left="1129" w:hanging="360"/>
      </w:pPr>
      <w:rPr>
        <w:rFonts w:ascii="Times New Roman" w:hAnsi="Times New Roman" w:cs="Times New Roman" w:hint="default"/>
      </w:rPr>
    </w:lvl>
    <w:lvl w:ilvl="1">
      <w:start w:val="1"/>
      <w:numFmt w:val="bullet"/>
      <w:lvlText w:val="o"/>
      <w:lvlJc w:val="left"/>
      <w:pPr>
        <w:tabs>
          <w:tab w:val="num" w:pos="0"/>
        </w:tabs>
        <w:ind w:left="1849" w:hanging="360"/>
      </w:pPr>
      <w:rPr>
        <w:rFonts w:ascii="Courier New" w:hAnsi="Courier New" w:cs="Courier New" w:hint="default"/>
      </w:rPr>
    </w:lvl>
    <w:lvl w:ilvl="2">
      <w:start w:val="1"/>
      <w:numFmt w:val="bullet"/>
      <w:lvlText w:val=""/>
      <w:lvlJc w:val="left"/>
      <w:pPr>
        <w:tabs>
          <w:tab w:val="num" w:pos="0"/>
        </w:tabs>
        <w:ind w:left="2569" w:hanging="360"/>
      </w:pPr>
      <w:rPr>
        <w:rFonts w:ascii="Wingdings" w:hAnsi="Wingdings" w:cs="Wingdings" w:hint="default"/>
      </w:rPr>
    </w:lvl>
    <w:lvl w:ilvl="3">
      <w:start w:val="1"/>
      <w:numFmt w:val="bullet"/>
      <w:lvlText w:val=""/>
      <w:lvlJc w:val="left"/>
      <w:pPr>
        <w:tabs>
          <w:tab w:val="num" w:pos="0"/>
        </w:tabs>
        <w:ind w:left="3289" w:hanging="360"/>
      </w:pPr>
      <w:rPr>
        <w:rFonts w:ascii="Symbol" w:hAnsi="Symbol" w:cs="Symbol" w:hint="default"/>
      </w:rPr>
    </w:lvl>
    <w:lvl w:ilvl="4">
      <w:start w:val="1"/>
      <w:numFmt w:val="bullet"/>
      <w:lvlText w:val="o"/>
      <w:lvlJc w:val="left"/>
      <w:pPr>
        <w:tabs>
          <w:tab w:val="num" w:pos="0"/>
        </w:tabs>
        <w:ind w:left="4009" w:hanging="360"/>
      </w:pPr>
      <w:rPr>
        <w:rFonts w:ascii="Courier New" w:hAnsi="Courier New" w:cs="Courier New" w:hint="default"/>
      </w:rPr>
    </w:lvl>
    <w:lvl w:ilvl="5">
      <w:start w:val="1"/>
      <w:numFmt w:val="bullet"/>
      <w:lvlText w:val=""/>
      <w:lvlJc w:val="left"/>
      <w:pPr>
        <w:tabs>
          <w:tab w:val="num" w:pos="0"/>
        </w:tabs>
        <w:ind w:left="4729" w:hanging="360"/>
      </w:pPr>
      <w:rPr>
        <w:rFonts w:ascii="Wingdings" w:hAnsi="Wingdings" w:cs="Wingdings" w:hint="default"/>
      </w:rPr>
    </w:lvl>
    <w:lvl w:ilvl="6">
      <w:start w:val="1"/>
      <w:numFmt w:val="bullet"/>
      <w:lvlText w:val=""/>
      <w:lvlJc w:val="left"/>
      <w:pPr>
        <w:tabs>
          <w:tab w:val="num" w:pos="0"/>
        </w:tabs>
        <w:ind w:left="5449" w:hanging="360"/>
      </w:pPr>
      <w:rPr>
        <w:rFonts w:ascii="Symbol" w:hAnsi="Symbol" w:cs="Symbol" w:hint="default"/>
      </w:rPr>
    </w:lvl>
    <w:lvl w:ilvl="7">
      <w:start w:val="1"/>
      <w:numFmt w:val="bullet"/>
      <w:lvlText w:val="o"/>
      <w:lvlJc w:val="left"/>
      <w:pPr>
        <w:tabs>
          <w:tab w:val="num" w:pos="0"/>
        </w:tabs>
        <w:ind w:left="6169" w:hanging="360"/>
      </w:pPr>
      <w:rPr>
        <w:rFonts w:ascii="Courier New" w:hAnsi="Courier New" w:cs="Courier New" w:hint="default"/>
      </w:rPr>
    </w:lvl>
    <w:lvl w:ilvl="8">
      <w:start w:val="1"/>
      <w:numFmt w:val="bullet"/>
      <w:lvlText w:val=""/>
      <w:lvlJc w:val="left"/>
      <w:pPr>
        <w:tabs>
          <w:tab w:val="num" w:pos="0"/>
        </w:tabs>
        <w:ind w:left="6889" w:hanging="360"/>
      </w:pPr>
      <w:rPr>
        <w:rFonts w:ascii="Wingdings" w:hAnsi="Wingdings" w:cs="Wingdings" w:hint="default"/>
      </w:rPr>
    </w:lvl>
  </w:abstractNum>
  <w:abstractNum w:abstractNumId="3">
    <w:lvl w:ilvl="0">
      <w:start w:val="1"/>
      <w:numFmt w:val="bullet"/>
      <w:lvlText w:val="-"/>
      <w:lvlJc w:val="left"/>
      <w:pPr>
        <w:tabs>
          <w:tab w:val="num" w:pos="0"/>
        </w:tabs>
        <w:ind w:left="1495" w:hanging="360"/>
      </w:pPr>
      <w:rPr>
        <w:rFonts w:ascii="Times New Roman" w:hAnsi="Times New Roman" w:cs="Times New Roman" w:hint="default"/>
      </w:rPr>
    </w:lvl>
    <w:lvl w:ilvl="1">
      <w:start w:val="1"/>
      <w:numFmt w:val="bullet"/>
      <w:lvlText w:val="o"/>
      <w:lvlJc w:val="left"/>
      <w:pPr>
        <w:tabs>
          <w:tab w:val="num" w:pos="0"/>
        </w:tabs>
        <w:ind w:left="2215" w:hanging="360"/>
      </w:pPr>
      <w:rPr>
        <w:rFonts w:ascii="Courier New" w:hAnsi="Courier New" w:cs="Courier New" w:hint="default"/>
      </w:rPr>
    </w:lvl>
    <w:lvl w:ilvl="2">
      <w:start w:val="1"/>
      <w:numFmt w:val="bullet"/>
      <w:lvlText w:val=""/>
      <w:lvlJc w:val="left"/>
      <w:pPr>
        <w:tabs>
          <w:tab w:val="num" w:pos="0"/>
        </w:tabs>
        <w:ind w:left="2935" w:hanging="360"/>
      </w:pPr>
      <w:rPr>
        <w:rFonts w:ascii="Wingdings" w:hAnsi="Wingdings" w:cs="Wingdings" w:hint="default"/>
      </w:rPr>
    </w:lvl>
    <w:lvl w:ilvl="3">
      <w:start w:val="1"/>
      <w:numFmt w:val="bullet"/>
      <w:lvlText w:val=""/>
      <w:lvlJc w:val="left"/>
      <w:pPr>
        <w:tabs>
          <w:tab w:val="num" w:pos="0"/>
        </w:tabs>
        <w:ind w:left="3655" w:hanging="360"/>
      </w:pPr>
      <w:rPr>
        <w:rFonts w:ascii="Symbol" w:hAnsi="Symbol" w:cs="Symbol" w:hint="default"/>
      </w:rPr>
    </w:lvl>
    <w:lvl w:ilvl="4">
      <w:start w:val="1"/>
      <w:numFmt w:val="bullet"/>
      <w:lvlText w:val="o"/>
      <w:lvlJc w:val="left"/>
      <w:pPr>
        <w:tabs>
          <w:tab w:val="num" w:pos="0"/>
        </w:tabs>
        <w:ind w:left="4375" w:hanging="360"/>
      </w:pPr>
      <w:rPr>
        <w:rFonts w:ascii="Courier New" w:hAnsi="Courier New" w:cs="Courier New" w:hint="default"/>
      </w:rPr>
    </w:lvl>
    <w:lvl w:ilvl="5">
      <w:start w:val="1"/>
      <w:numFmt w:val="bullet"/>
      <w:lvlText w:val=""/>
      <w:lvlJc w:val="left"/>
      <w:pPr>
        <w:tabs>
          <w:tab w:val="num" w:pos="0"/>
        </w:tabs>
        <w:ind w:left="5095" w:hanging="360"/>
      </w:pPr>
      <w:rPr>
        <w:rFonts w:ascii="Wingdings" w:hAnsi="Wingdings" w:cs="Wingdings" w:hint="default"/>
      </w:rPr>
    </w:lvl>
    <w:lvl w:ilvl="6">
      <w:start w:val="1"/>
      <w:numFmt w:val="bullet"/>
      <w:lvlText w:val=""/>
      <w:lvlJc w:val="left"/>
      <w:pPr>
        <w:tabs>
          <w:tab w:val="num" w:pos="0"/>
        </w:tabs>
        <w:ind w:left="5815" w:hanging="360"/>
      </w:pPr>
      <w:rPr>
        <w:rFonts w:ascii="Symbol" w:hAnsi="Symbol" w:cs="Symbol" w:hint="default"/>
      </w:rPr>
    </w:lvl>
    <w:lvl w:ilvl="7">
      <w:start w:val="1"/>
      <w:numFmt w:val="bullet"/>
      <w:lvlText w:val="o"/>
      <w:lvlJc w:val="left"/>
      <w:pPr>
        <w:tabs>
          <w:tab w:val="num" w:pos="0"/>
        </w:tabs>
        <w:ind w:left="6535" w:hanging="360"/>
      </w:pPr>
      <w:rPr>
        <w:rFonts w:ascii="Courier New" w:hAnsi="Courier New" w:cs="Courier New" w:hint="default"/>
      </w:rPr>
    </w:lvl>
    <w:lvl w:ilvl="8">
      <w:start w:val="1"/>
      <w:numFmt w:val="bullet"/>
      <w:lvlText w:val=""/>
      <w:lvlJc w:val="left"/>
      <w:pPr>
        <w:tabs>
          <w:tab w:val="num" w:pos="0"/>
        </w:tabs>
        <w:ind w:left="7255" w:hanging="360"/>
      </w:pPr>
      <w:rPr>
        <w:rFonts w:ascii="Wingdings" w:hAnsi="Wingdings" w:cs="Wingdings"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26.48.53:80/ecris_cdms/document_upload.aspx?id_document=4500000000701479&amp;id_departament=26&amp;id_sesiune=357073&amp;id_user=168&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ListParagraph">
    <w:name w:val="List Paragraph"/>
    <w:basedOn w:val="Normal"/>
    <w:qFormat/>
    <w:pPr>
      <w:spacing w:lineRule="auto" w:line="276" w:before="0" w:after="200"/>
      <w:ind w:left="720"/>
      <w:contextualSpacing/>
    </w:pPr>
    <w:rPr>
      <w:rFonts w:ascii="Calibri" w:hAnsi="Calibri"/>
      <w:sz w:val="22"/>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67</ap:TotalTime>
  <ap:Application>LibreOffice/24.2.7.2$Linux_X86_64 LibreOffice_project/420$Build-2</ap:Application>
  <ap:AppVersion>15.0000</ap:AppVersion>
  <ap:Pages>11</ap:Pages>
  <ap:Words>7530</ap:Words>
  <ap:Characters>38815</ap:Characters>
  <ap:CharactersWithSpaces>46388</ap:CharactersWithSpaces>
  <ap:Paragraphs>196</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