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Hot.30</w:t>
      </w:r>
    </w:p>
    <w:p>
      <w:pPr>
        <w:pStyle w:val="Normal"/>
        <w:rPr>
          <w:b/>
        </w:rPr>
      </w:pPr>
      <w:r>
        <w:rPr>
          <w:b/>
        </w:rPr>
        <w:t>Dosar nr. D1</w:t>
      </w:r>
    </w:p>
    <w:p>
      <w:pPr>
        <w:pStyle w:val="Normal"/>
        <w:jc w:val="center"/>
        <w:rPr>
          <w:b/>
        </w:rPr>
      </w:pPr>
      <w:r>
        <w:rPr>
          <w:b/>
        </w:rPr>
        <w:t>R O M Â N I A</w:t>
      </w:r>
    </w:p>
    <w:p>
      <w:pPr>
        <w:pStyle w:val="Normal"/>
        <w:jc w:val="center"/>
        <w:rPr>
          <w:b/>
        </w:rPr>
      </w:pPr>
      <w:r>
        <w:rPr>
          <w:b/>
        </w:rPr>
      </w:r>
    </w:p>
    <w:p>
      <w:pPr>
        <w:pStyle w:val="Normal"/>
        <w:jc w:val="center"/>
        <w:rPr>
          <w:b/>
        </w:rPr>
      </w:pPr>
      <w:r>
        <w:rPr>
          <w:b/>
        </w:rPr>
        <w:t>CURTEA DE APEL /...</w:t>
      </w:r>
    </w:p>
    <w:p>
      <w:pPr>
        <w:pStyle w:val="Normal"/>
        <w:jc w:val="center"/>
        <w:rPr>
          <w:b/>
        </w:rPr>
      </w:pPr>
      <w:r>
        <w:rPr>
          <w:b/>
        </w:rPr>
        <w:t>SECŢIA ....</w:t>
      </w:r>
    </w:p>
    <w:p>
      <w:pPr>
        <w:pStyle w:val="Normal"/>
        <w:rPr>
          <w:b/>
          <w:color w:val="FF0000"/>
          <w:lang w:val="en-US"/>
        </w:rPr>
      </w:pPr>
      <w:r>
        <w:rPr>
          <w:b/>
          <w:color w:val="FF0000"/>
          <w:lang w:val="en-US"/>
        </w:rPr>
      </w:r>
    </w:p>
    <w:p>
      <w:pPr>
        <w:pStyle w:val="Normal"/>
        <w:jc w:val="center"/>
        <w:rPr/>
      </w:pPr>
      <w:r>
        <w:rPr/>
      </w:r>
      <w:r>
        <w:rPr/>
      </w:r>
      <w:r>
        <w:rPr/>
      </w:r>
      <w:r>
        <w:rPr/>
      </w:r>
      <w:r>
        <w:rPr>
          <w:b/>
        </w:rPr>
        <w:t>DECIZIE</w:t>
      </w:r>
      <w:r>
        <w:rPr/>
      </w:r>
      <w:r>
        <w:rPr/>
      </w:r>
      <w:r>
        <w:rPr>
          <w:b/>
        </w:rPr>
        <w:t xml:space="preserve"> Nr. ...</w:t>
      </w:r>
    </w:p>
    <w:p>
      <w:pPr>
        <w:pStyle w:val="Normal"/>
        <w:jc w:val="center"/>
        <w:rPr/>
      </w:pPr>
      <w:r>
        <w:rPr>
          <w:b/>
        </w:rPr>
        <w:t>Şedinţa </w:t>
      </w:r>
      <w:r>
        <w:rPr/>
      </w:r>
      <w:r>
        <w:rPr/>
      </w:r>
      <w:r>
        <w:rPr/>
      </w:r>
      <w:r>
        <w:rPr/>
      </w:r>
      <w:r>
        <w:rPr>
          <w:b/>
        </w:rPr>
        <w:t>publică</w:t>
      </w:r>
      <w:r>
        <w:rPr/>
      </w:r>
      <w:r>
        <w:rPr/>
      </w:r>
      <w:r>
        <w:rPr>
          <w:b/>
        </w:rPr>
        <w:t xml:space="preserve"> de la ... </w:t>
      </w:r>
    </w:p>
    <w:p>
      <w:pPr>
        <w:pStyle w:val="Normal"/>
        <w:jc w:val="center"/>
        <w:rPr>
          <w:b/>
        </w:rPr>
      </w:pPr>
      <w:r>
        <w:rPr>
          <w:b/>
        </w:rPr>
        <w:t>Instanţa constituită din:</w:t>
      </w:r>
    </w:p>
    <w:p>
      <w:pPr>
        <w:pStyle w:val="Normal"/>
        <w:jc w:val="center"/>
        <w:rPr>
          <w:b/>
        </w:rPr>
      </w:pPr>
      <w:r>
        <w:rPr>
          <w:b/>
        </w:rPr>
        <w:t>PREŞEDINTE ...</w:t>
      </w:r>
    </w:p>
    <w:p>
      <w:pPr>
        <w:pStyle w:val="Normal"/>
        <w:jc w:val="center"/>
        <w:rPr>
          <w:b/>
        </w:rPr>
      </w:pPr>
      <w:r>
        <w:rPr>
          <w:b/>
        </w:rPr>
        <w:t>Judecător ...</w:t>
      </w:r>
    </w:p>
    <w:p>
      <w:pPr>
        <w:pStyle w:val="Normal"/>
        <w:jc w:val="center"/>
        <w:rPr>
          <w:b/>
        </w:rPr>
      </w:pPr>
      <w:r>
        <w:rPr>
          <w:b/>
        </w:rPr>
        <w:t>Judecător A0006</w:t>
      </w:r>
    </w:p>
    <w:p>
      <w:pPr>
        <w:pStyle w:val="Normal"/>
        <w:jc w:val="center"/>
        <w:rPr>
          <w:b/>
        </w:rPr>
      </w:pPr>
      <w:r>
        <w:rPr>
          <w:b/>
        </w:rPr>
        <w:t>Grefier ...</w:t>
      </w:r>
    </w:p>
    <w:p>
      <w:pPr>
        <w:pStyle w:val="Normal"/>
        <w:jc w:val="center"/>
        <w:rPr>
          <w:b/>
        </w:rPr>
      </w:pPr>
      <w:r>
        <w:rPr>
          <w:b/>
        </w:rPr>
      </w:r>
    </w:p>
    <w:p>
      <w:pPr>
        <w:pStyle w:val="Normal"/>
        <w:jc w:val="center"/>
        <w:rPr/>
      </w:pPr>
      <w:r>
        <w:rPr/>
      </w:r>
    </w:p>
    <w:p>
      <w:pPr>
        <w:pStyle w:val="Normal"/>
        <w:ind w:right="0" w:firstLine="709"/>
        <w:jc w:val="both"/>
        <w:rPr/>
      </w:pPr>
      <w:r>
        <w:rPr/>
        <w:t xml:space="preserve">Pe rol soluţionarea recursului formulat de reclamanţii </w:t>
      </w:r>
      <w:r>
        <w:rPr>
          <w:b/>
        </w:rPr>
        <w:t>R1 şi R1 INTREPRINDERE INDIVIDUALĂ</w:t>
      </w:r>
      <w:r>
        <w:rPr/>
        <w:t xml:space="preserve">, împotriva sentinţei nr. SC1, pronunţate de Tribunalul ..., în dosarul nr. D1, în contradictoriu cu intimata pârâtă </w:t>
      </w:r>
      <w:r>
        <w:rPr>
          <w:b/>
        </w:rPr>
        <w:t>AGENTIA JUDETEANA PENTRU PLATI SI INSPECTIE SOCIALA...</w:t>
      </w:r>
      <w:r>
        <w:rPr/>
        <w:t xml:space="preserve">, având ca obiect anulare act.  </w:t>
      </w:r>
    </w:p>
    <w:p>
      <w:pPr>
        <w:pStyle w:val="Normal"/>
        <w:ind w:right="0" w:firstLine="709"/>
        <w:jc w:val="both"/>
        <w:rPr/>
      </w:pPr>
      <w:r>
        <w:rPr/>
        <w:t xml:space="preserve">La apelul nominal făcut în şedinţa </w:t>
      </w:r>
      <w:r>
        <w:rPr/>
      </w:r>
      <w:r>
        <w:rPr/>
      </w:r>
      <w:r>
        <w:rPr/>
      </w:r>
      <w:r>
        <w:rPr/>
        <w:t>publică</w:t>
      </w:r>
      <w:r>
        <w:rPr/>
      </w:r>
      <w:r>
        <w:rPr/>
      </w:r>
      <w:r>
        <w:rPr/>
        <w:t xml:space="preserve"> a răspuns av. Av1, pentru recurenţii reclamanţi R1 şi R1 II, lipsind intimata pârâtă AJPIS.....</w:t>
      </w:r>
    </w:p>
    <w:p>
      <w:pPr>
        <w:pStyle w:val="Normal"/>
        <w:ind w:right="0" w:firstLine="709"/>
        <w:jc w:val="both"/>
        <w:rPr/>
      </w:pPr>
      <w:r>
        <w:rPr/>
        <w:t xml:space="preserve">Procedura de citare a părţilor este </w:t>
      </w:r>
      <w:r>
        <w:rPr/>
      </w:r>
      <w:r>
        <w:rPr/>
      </w:r>
      <w:r>
        <w:rPr/>
      </w:r>
      <w:r>
        <w:rPr/>
        <w:t>legal</w:t>
      </w:r>
      <w:r>
        <w:rPr/>
      </w:r>
      <w:r>
        <w:rPr/>
      </w:r>
      <w:r>
        <w:rPr/>
        <w:t xml:space="preserve"> îndeplinită.</w:t>
      </w:r>
    </w:p>
    <w:p>
      <w:pPr>
        <w:pStyle w:val="Normal"/>
        <w:ind w:right="0" w:firstLine="709"/>
        <w:jc w:val="both"/>
        <w:rPr/>
      </w:pPr>
      <w:r>
        <w:rPr/>
        <w:t xml:space="preserve">S-a făcut </w:t>
      </w:r>
      <w:r>
        <w:rPr/>
      </w:r>
      <w:r>
        <w:rPr/>
      </w:r>
      <w:r>
        <w:rPr/>
      </w:r>
      <w:r>
        <w:rPr/>
        <w:t>referatul</w:t>
      </w:r>
      <w:r>
        <w:rPr/>
      </w:r>
      <w:r>
        <w:rPr/>
      </w:r>
      <w:r>
        <w:rPr/>
        <w:t xml:space="preserve"> cauzei de către </w:t>
      </w:r>
      <w:r>
        <w:rPr/>
      </w:r>
      <w:r>
        <w:rPr/>
      </w:r>
      <w:r>
        <w:rPr/>
      </w:r>
      <w:r>
        <w:rPr/>
        <w:t>grefier</w:t>
      </w:r>
      <w:r>
        <w:rPr/>
      </w:r>
      <w:r>
        <w:rPr/>
      </w:r>
      <w:r>
        <w:rPr/>
        <w:t xml:space="preserve">ul de şedinţă </w:t>
      </w:r>
      <w:r>
        <w:rPr/>
      </w:r>
      <w:r>
        <w:rPr/>
      </w:r>
      <w:r>
        <w:rPr/>
      </w:r>
      <w:r>
        <w:rPr/>
        <w:t>care învederează</w:t>
      </w:r>
      <w:r>
        <w:rPr/>
      </w:r>
      <w:r>
        <w:rPr/>
      </w:r>
      <w:r>
        <w:rPr/>
        <w:t xml:space="preserve"> insatanţei obiectul cauzei, stadiul judecăţii, modalitatea de îndeplinire a procedurii de citare, faptul că intimata pârâtă nu a formulat întâmpinare, după care: </w:t>
      </w:r>
    </w:p>
    <w:p>
      <w:pPr>
        <w:pStyle w:val="Normal"/>
        <w:ind w:right="0" w:firstLine="709"/>
        <w:jc w:val="both"/>
        <w:rPr/>
      </w:pPr>
      <w:r>
        <w:rPr/>
        <w:t>Nemaifiind alte cereri de formulat, instanţa constată cauza în stare de judecată şi acordă cuvântul la dezbateri.</w:t>
      </w:r>
    </w:p>
    <w:p>
      <w:pPr>
        <w:pStyle w:val="Normal"/>
        <w:ind w:right="0" w:firstLine="709"/>
        <w:jc w:val="both"/>
        <w:rPr/>
      </w:pPr>
      <w:r>
        <w:rPr/>
        <w:t>Av. Av1, pentru recurenţii reclamanţi R1 şi R1 II, depune la dosar practică judiciară şi solicită admiterea recursului, casarea sentinţei, cu consecința admiterii cererii de chemare în judecată şi anularea deciziei emise de AJPIS.</w:t>
      </w:r>
    </w:p>
    <w:p>
      <w:pPr>
        <w:pStyle w:val="Normal"/>
        <w:ind w:right="0" w:firstLine="709"/>
        <w:jc w:val="both"/>
        <w:rPr/>
      </w:pPr>
      <w:r>
        <w:rPr/>
        <w:t>Criticile au fost încadrate pe dispozițiile 488 alineatul 1 pct. 8 C.pr.civ., în esența apreciază că instanța de fond a aplicat greșit dispozițiile art. 15 alineatul 1 din OUG 30/2020 prin raportarea și cu încălcarea prevederilor 5 alin. 2 din HG 248/2020, de asemenea neavând în vedere instanţa de fond rațiunea emiterii OUG 30/2020 în concret expunerea de motive actului normativ la care a făcut referire.</w:t>
      </w:r>
    </w:p>
    <w:p>
      <w:pPr>
        <w:pStyle w:val="Normal"/>
        <w:ind w:right="0" w:firstLine="709"/>
        <w:jc w:val="both"/>
        <w:rPr/>
      </w:pPr>
      <w:r>
        <w:rPr/>
        <w:t xml:space="preserve">Prima chestiune se referă la faptul că instanța de fond în analiza sa stabilește faptul că în esență ar fi incompatibilă solicitarea indemnizației prevăzute pe OUG 30/2020 cu solicitarea și obținerea ajutorului </w:t>
      </w:r>
      <w:r>
        <w:rPr>
          <w:i/>
        </w:rPr>
        <w:t>de minimis</w:t>
      </w:r>
      <w:r>
        <w:rPr/>
        <w:t xml:space="preserve"> prevăzută de HG 248/2020, având în vedere că OUG 30/2020 ar fi prevăzut încetarea activității pe când HG 248/2020 ar fi prevăzut exact situația exact contrară în opinia instanței, în sensul de menținere a activității într-o anumită perioadă.</w:t>
      </w:r>
    </w:p>
    <w:p>
      <w:pPr>
        <w:pStyle w:val="Normal"/>
        <w:ind w:right="0" w:firstLine="709"/>
        <w:jc w:val="both"/>
        <w:rPr/>
      </w:pPr>
      <w:r>
        <w:rPr/>
        <w:t xml:space="preserve">Apreciază că dispoziție de articolului 5 alineatul 2 din HG 248/2020, încălcate de către instanța de fond, stabilesc în mod expres faptul că valorificarea producției pentru obținerea ajutorului </w:t>
      </w:r>
      <w:r>
        <w:rPr>
          <w:i/>
        </w:rPr>
        <w:t>de minimis</w:t>
      </w:r>
      <w:r>
        <w:rPr/>
        <w:t xml:space="preserve"> prevăzut de HG 248/2020 trebuia să se facă până la 1 iulie, or, acest moment este evident ulterior momentului pentru care a fost obținută indemnizația pe OUG 30/2020 - lunile aprilie și mai 2020. Ca atare, raportat la această chestiune este evident că cele două beneficii acordate în temeiul actelor normative nu se exclud reciproc. Mai mult decât atât dispozițiile OUG 30/2020 în forma analizată de instanță se referă la întreruperea activității. Aici într-adevăr a intervenit o modificare legislativă: prima formă a articolului 15 prevedea o formulare ceva mai completă în sensul de întrerupere totală sau parțială a activității, iar după 9 zile de la intrarea în vigoare actului normativ se elimină această completare și rămâne mențiunea </w:t>
      </w:r>
      <w:r>
        <w:rPr>
          <w:i/>
        </w:rPr>
        <w:t>întreruperea activității.</w:t>
      </w:r>
    </w:p>
    <w:p>
      <w:pPr>
        <w:pStyle w:val="Normal"/>
        <w:ind w:right="0" w:firstLine="709"/>
        <w:jc w:val="both"/>
        <w:rPr/>
      </w:pPr>
      <w:r>
        <w:rPr/>
        <w:t>Ca atare, recurenţii apreciază că ar trebui avute în vedere două ipoteze: în primul rând chestiunea întreruperii activității în ceea ce îi privește este îndeplinită pentru că întreruperea activității nu este o noțiune definită legal, în cuprinsul legislației nu se face referire în mod expres la ce înseamnă să se întrerupă activitatea. Întreruperea activității, fiind o noțiune care trebuie interpretată de către instituția publică și în cazul de faţă de către instanță apreciază că trebuie făcută în contextul OUG 30/2020 și în contextul avut în vedere de leguitor, respectiv indemnizația acordată conform OUG 30/2020 prevăzută de art. 15, a avut o funcţie socială; se vorbește despre interesul social dat de situaţia generată pentru operatorii economici de pandemia de Covid și ce se întâmpla la nivelul lunilor aprilie - mai în contextul stării de urgență pe teritoriul României. Aceasta a fost rațiunea pentru care s-a acordat ajutorul.</w:t>
      </w:r>
    </w:p>
    <w:p>
      <w:pPr>
        <w:pStyle w:val="Normal"/>
        <w:ind w:right="0" w:firstLine="709"/>
        <w:jc w:val="both"/>
        <w:rPr/>
      </w:pPr>
      <w:r>
        <w:rPr/>
        <w:t>Întreruperea activității, interpretată în acest context înseamnă că nu s-a desfășurat activitate specifică, activitate economică, chestiune care nu este contestată nici de AJPIS, nu s-a realizat o astfel de activitate, nu au fost vânzări. Instanța de fond a respins solicitarea reclamațiilor de emitere a unei adresei către Agenția de Agricultură care ținea evidența sumelor acordate pe HG 248/2020, dar acolo se vede că acel ajutor a venit în luna iulie, or, toate plăţile care au fost acordate în acel context s-au făcut după momentul acordării indemnizației respective. În lunile Aprilie și Mai activitatea a fost întreruptă, faptul că s-au aplicat niște tratamente apreciază că nu se încadrează în noțiunea de desfășurare a unei activități comerciale în sensul a avut de în vedere de legiuitori pentru OUG 30/2020, pentru că atâta timp cât legiuitorul a vorbit despre întrerupere totală sau parțială după care a înțeles să elimine această completare, înseamnă că întreruperea activității înseamnă fie întrerupere totală fie întrerupere parțială, ca atare și sub acest aspect aplicarea tratamentelor se circumscrie unei anumite activități accesorii activității comerciale obișnuite a reclamanților sunt în situația unei întreruperi cel puțin parțiale care dă dreptul la acordarea indemnizației pe OUG 30/2020. Subliniază funcția socială a indemnizației respective, fermierii au beneficiat în lunile care nu obțineau nici un venit de această indemnizație, care acum le-a fost solicitată înapoi fără să se constate că s-au plătit contribuții la bugetul de stat pentru această indemnizație.</w:t>
      </w:r>
    </w:p>
    <w:p>
      <w:pPr>
        <w:pStyle w:val="Normal"/>
        <w:ind w:right="0" w:firstLine="709"/>
        <w:jc w:val="both"/>
        <w:rPr/>
      </w:pPr>
      <w:r>
        <w:rPr/>
        <w:t>Solicită admiterea recursului.</w:t>
      </w:r>
    </w:p>
    <w:p>
      <w:pPr>
        <w:pStyle w:val="Normal"/>
        <w:ind w:right="0" w:firstLine="709"/>
        <w:jc w:val="both"/>
        <w:rPr/>
      </w:pPr>
      <w:r>
        <w:rPr/>
        <w:t>Cu cheltuieli de judecată reprezentând onorariul de avocat în fața instanței de fond și în fața instanței de recurs, precum și taxa de timbru achitată la fond şi recurs.</w:t>
      </w:r>
    </w:p>
    <w:p>
      <w:pPr>
        <w:pStyle w:val="Normal"/>
        <w:ind w:right="0" w:firstLine="709"/>
        <w:jc w:val="both"/>
        <w:rPr/>
      </w:pPr>
      <w:r>
        <w:rPr/>
      </w:r>
    </w:p>
    <w:p>
      <w:pPr>
        <w:pStyle w:val="Normal"/>
        <w:jc w:val="center"/>
        <w:rPr>
          <w:b/>
        </w:rPr>
      </w:pPr>
      <w:r>
        <w:rPr>
          <w:b/>
        </w:rPr>
        <w:t>CURTEA</w:t>
      </w:r>
    </w:p>
    <w:p>
      <w:pPr>
        <w:pStyle w:val="Normal"/>
        <w:jc w:val="center"/>
        <w:rPr>
          <w:b/>
        </w:rPr>
      </w:pPr>
      <w:r>
        <w:rPr>
          <w:b/>
        </w:rPr>
      </w:r>
    </w:p>
    <w:p>
      <w:pPr>
        <w:pStyle w:val="Normal"/>
        <w:ind w:right="0" w:firstLine="709"/>
        <w:jc w:val="both"/>
        <w:rPr/>
      </w:pPr>
      <w:r>
        <w:rPr/>
        <w:t>Deliberând asupra recursului declarat, constată următoarele:</w:t>
      </w:r>
    </w:p>
    <w:p>
      <w:pPr>
        <w:pStyle w:val="Normal"/>
        <w:ind w:right="0" w:firstLine="709"/>
        <w:jc w:val="both"/>
        <w:rPr/>
      </w:pPr>
      <w:r>
        <w:rPr/>
        <w:t>Prin sentinţa nr. SC1, pronunţată de Tribunalul ..., în dosarul nr. D1, s-a respins acţiunea formulată de reclamanţii R1 şi R1 PFA, în contradictoriu cu  pârâta  AJPIS.... cu sediul în Str..... nr. ...., jud..., ca neîntemeiată.</w:t>
      </w:r>
    </w:p>
    <w:p>
      <w:pPr>
        <w:pStyle w:val="Normal"/>
        <w:ind w:right="0" w:firstLine="709"/>
        <w:jc w:val="both"/>
        <w:rPr/>
      </w:pPr>
      <w:r>
        <w:rPr/>
        <w:t>Împotriva sentinţei nr. SC1, pronunţate de Tribunalul ..., în dosarul nr. D1, au formulat recurs reclamanţii, criticând-o pentru nelegalitate şi netemeinicie.</w:t>
      </w:r>
    </w:p>
    <w:p>
      <w:pPr>
        <w:pStyle w:val="Normal"/>
        <w:jc w:val="both"/>
        <w:rPr>
          <w:lang w:val="ro-MD"/>
        </w:rPr>
      </w:pPr>
      <w:r>
        <w:rPr/>
        <w:t xml:space="preserve">În motivare, recurenţii au arătat că instanţa de fond a aplicat greşit dispoziţiile </w:t>
      </w:r>
      <w:r>
        <w:rPr>
          <w:lang w:val="ro-MD"/>
        </w:rPr>
        <w:t>art. XV alin. (1) din OUG 30/2020 și a beneficiat şi de ajutorul de minimis pentru aplicarea programului de susținere a produsului tomate în spații protejate pentru anul 2020, conform HG nr. 248/2020, în perioada aprilie-mai 2020.</w:t>
      </w:r>
    </w:p>
    <w:p>
      <w:pPr>
        <w:pStyle w:val="Normal"/>
        <w:jc w:val="both"/>
        <w:rPr/>
      </w:pPr>
      <w:r>
        <w:rPr>
          <w:lang w:val="ro-MD"/>
        </w:rPr>
        <w:tab/>
      </w:r>
      <w:r>
        <w:rPr>
          <w:rFonts w:eastAsia="Calibri"/>
          <w:lang w:eastAsia="en-US"/>
        </w:rPr>
        <w:t>Aşadar, condiţia despre care autoritatea publică arată că nu ar fi îndeplinită se referă la: „întreruperea activităţii” profesionistului care a formulat cererea, ca urmare a efectelor pandemiei SARS-CoV-2, pe perioada stării de urgenţă.</w:t>
      </w:r>
    </w:p>
    <w:p>
      <w:pPr>
        <w:pStyle w:val="Normal"/>
        <w:jc w:val="both"/>
        <w:rPr>
          <w:rFonts w:eastAsia="Calibri"/>
          <w:lang w:eastAsia="en-US"/>
        </w:rPr>
      </w:pPr>
      <w:r>
        <w:rPr>
          <w:rFonts w:eastAsia="Calibri"/>
          <w:lang w:eastAsia="en-US"/>
        </w:rPr>
        <w:tab/>
        <w:t>Cu privire la îndeplinirea acestei condiţii, dovezile în acest sens au fost transmise către AJPIS.... împreună cu solicitarea de acordare a indemnizaţiei. De altfel, reprezentanţii AJPIS au verificat şi au constatat îndeplinirea acestei condiţii, în speţă situaţia descrisă de mine prin cererea de acordare a indemnizaţiei fiind conformă cu realitate şi încadrându-se în situaţiile prevăzute de lege.</w:t>
      </w:r>
    </w:p>
    <w:p>
      <w:pPr>
        <w:pStyle w:val="Normal"/>
        <w:jc w:val="both"/>
        <w:rPr>
          <w:lang w:val="ro-MD"/>
        </w:rPr>
      </w:pPr>
      <w:r>
        <w:rPr>
          <w:lang w:val="ro-MD"/>
        </w:rPr>
        <w:tab/>
        <w:t>Mai arată că instanţa de fond nu a urmărit scopul OUG 30/2020.</w:t>
      </w:r>
    </w:p>
    <w:p>
      <w:pPr>
        <w:pStyle w:val="Normal"/>
        <w:jc w:val="both"/>
        <w:rPr>
          <w:lang w:val="ro-MD"/>
        </w:rPr>
      </w:pPr>
      <w:r>
        <w:rPr>
          <w:lang w:val="ro-MD"/>
        </w:rPr>
        <w:tab/>
        <w:t>De asemenea, arată că prin decizia emisă s-a încălcat principiul securităţii juridice şi al protecţiei legitime.</w:t>
      </w:r>
    </w:p>
    <w:p>
      <w:pPr>
        <w:pStyle w:val="Normal"/>
        <w:ind w:right="0" w:firstLine="709"/>
        <w:jc w:val="both"/>
        <w:rPr>
          <w:lang w:val="ro-MD"/>
        </w:rPr>
      </w:pPr>
      <w:r>
        <w:rPr>
          <w:lang w:val="ro-MD"/>
        </w:rPr>
        <w:t>Recursul este întemeiat pe dispoziţiile art. 488 pct.8 din Codul de procedură civilă.</w:t>
      </w:r>
    </w:p>
    <w:p>
      <w:pPr>
        <w:pStyle w:val="NoSpacing"/>
        <w:ind w:right="0" w:firstLine="720"/>
        <w:rPr>
          <w:rFonts w:eastAsia="Calibri"/>
          <w:b/>
          <w:bCs/>
          <w:lang w:val="ro-MD" w:eastAsia="en-US"/>
        </w:rPr>
      </w:pPr>
      <w:r>
        <w:rPr>
          <w:b/>
          <w:bCs/>
          <w:lang w:val="ro-MD"/>
        </w:rPr>
        <w:t xml:space="preserve">Examinând recursul prin prisma motivelor formulate şi dispoziţiilor legale incidente în cauză, Curtea constată că: </w:t>
      </w:r>
    </w:p>
    <w:p>
      <w:pPr>
        <w:pStyle w:val="NoSpacing"/>
        <w:rPr/>
      </w:pPr>
      <w:r>
        <w:rPr>
          <w:lang w:val="ro-MD"/>
        </w:rPr>
        <w:tab/>
        <w:t xml:space="preserve">Prin cererea de chemare în judecată reclamanții au solicitat </w:t>
      </w:r>
      <w:r>
        <w:rPr>
          <w:rFonts w:eastAsia="Calibri"/>
          <w:lang w:val="ro-MD"/>
        </w:rPr>
        <w:t>anularea Deciziei nr. ...2/11.04.2022, emisă de Agenţia Judeţeană pentru Plăţi şi Inspecţie SOCIALA... şi obligarea pârâtei la plata cheltuielilor de judecată.</w:t>
      </w:r>
    </w:p>
    <w:p>
      <w:pPr>
        <w:pStyle w:val="NoSpacing"/>
        <w:rPr>
          <w:lang w:val="ro-MD"/>
        </w:rPr>
      </w:pPr>
      <w:r>
        <w:rPr>
          <w:lang w:val="ro-MD"/>
        </w:rPr>
        <w:tab/>
        <w:t>Instanța de fond a respins acțiunea ca neîntemeiată.</w:t>
      </w:r>
    </w:p>
    <w:p>
      <w:pPr>
        <w:pStyle w:val="NoSpacing"/>
        <w:ind w:right="0" w:firstLine="720"/>
        <w:rPr>
          <w:rFonts w:eastAsia="Calibri"/>
          <w:szCs w:val="22"/>
          <w:lang w:val="ro-MD" w:eastAsia="en-US"/>
        </w:rPr>
      </w:pPr>
      <w:r>
        <w:rPr>
          <w:rFonts w:eastAsia="Calibri"/>
          <w:szCs w:val="22"/>
          <w:lang w:val="ro-MD" w:eastAsia="en-US"/>
        </w:rPr>
        <w:t>Formulând prezenta cale de atac împotriva sentinței nr. SC1 recurenții-reclamanți au criticat sentința instanței de fond, invocând motivul de casare reglementat de dispozițiile art. 488 alin. 1 pct. 8 Cod procedură civilă.</w:t>
      </w:r>
    </w:p>
    <w:p>
      <w:pPr>
        <w:pStyle w:val="NoSpacing"/>
        <w:rPr>
          <w:rFonts w:eastAsia="Calibri"/>
          <w:lang w:val="ro-MD"/>
        </w:rPr>
      </w:pPr>
      <w:r>
        <w:rPr>
          <w:rFonts w:eastAsia="Calibri"/>
          <w:lang w:val="ro-MD"/>
        </w:rPr>
        <w:tab/>
        <w:t>Textul legal are în vedere situații în care instanța recurge la textele de lege ce sunt de natură să ducă la dezlegarea cauzei, dar fie le încalcă, în litera sau spiritul lor, fie le aplică greșit, interpretarea pe care le-o dă fiind prea întinsă sau restrânsă ori cu totul eronată.</w:t>
      </w:r>
    </w:p>
    <w:p>
      <w:pPr>
        <w:pStyle w:val="Normal"/>
        <w:jc w:val="both"/>
        <w:rPr>
          <w:lang w:val="ro-MD"/>
        </w:rPr>
      </w:pPr>
      <w:r>
        <w:rPr>
          <w:lang w:val="ro-MD"/>
        </w:rPr>
        <w:tab/>
        <w:t>În fapt, Curtea constată că reclamantul a fost beneficiar al indemnizației prevăzută de art. XV alin. (1) din OUG 30/2020 și a beneficiat şi de ajutorul de minimis pentru aplicarea programului de susținere a produsului tomate în spații protejate pentru anul 2020, conform HG nr. 248/2020, în perioada aprilie-mai 2020.</w:t>
      </w:r>
    </w:p>
    <w:p>
      <w:pPr>
        <w:pStyle w:val="NoSpacing"/>
        <w:rPr/>
      </w:pPr>
      <w:r>
        <w:rPr>
          <w:lang w:val="ro-MD"/>
        </w:rPr>
        <w:tab/>
      </w:r>
      <w:bookmarkStart w:name="_Hlk131352445" w:id="0"/>
      <w:r>
        <w:rPr>
          <w:rFonts w:eastAsia="Calibri"/>
          <w:lang w:val="ro-MD"/>
        </w:rPr>
        <w:t>Prin Decizia nr. ...2/11.04.2022 s-a dispus de către AJPIS.... constituirea debitului şi recuperarea de la reclamant a sumei de 8.144 lei, reprezentând indemnizație lunară acordată în temeiul art. XV alin. 1 din OUG nr. 30/2020, apreciindu-se că acesta a declarat în fals că a întrerupt activitatea ca efect al pandemiei Covid 19, pe perioada stării de urgență, din suprapunerea bazei de date a pârâtei şi a Direcției pentru agricultură .... rezultând neechivoc faptul că acesta nu a întrerupt activitatea, beneficiind de ajutorul de minimis pentru aplicarea programului de susținere a producției de tomate în spații protejate pentru anul 2020, conform HG nr. 248/2020.</w:t>
      </w:r>
    </w:p>
    <w:p>
      <w:pPr>
        <w:pStyle w:val="NoSpacing"/>
        <w:rPr/>
      </w:pPr>
      <w:r>
        <w:rPr>
          <w:lang w:val="ro-MD"/>
        </w:rPr>
        <w:tab/>
      </w:r>
      <w:r>
        <w:rPr>
          <w:rFonts w:eastAsia="Calibri"/>
          <w:lang w:val="ro-MD"/>
        </w:rPr>
        <w:t>Curtea constată că problema de drept dedusa judecații este aceea de a stabili dacă poate exista un cumul între indemnizația acordată pe perioada suspendării activității conform Covid 19 și ajutorul de minimis pentru aplicarea programului de susținere a produsului tomate în spații protejate pentru anul 2020, respectiv dacă această din urmă subvenţie echivalează eo ipso cu faptul că „profesionistul” nu şi-a întrerupt activitatea.</w:t>
      </w:r>
    </w:p>
    <w:p>
      <w:pPr>
        <w:pStyle w:val="NoSpacing"/>
        <w:rPr/>
      </w:pPr>
      <w:r>
        <w:rPr>
          <w:rFonts w:eastAsia="Calibri"/>
          <w:lang w:val="ro-MD"/>
        </w:rPr>
        <w:tab/>
        <w:t xml:space="preserve">Pe de o parte  HG 248/2020 reglementează o </w:t>
      </w:r>
      <w:r>
        <w:rPr>
          <w:lang w:val="ro-MD"/>
        </w:rPr>
        <w:t>schemă transparentă de ajutor de minimis, potrivit prevederilor Regulamentului (UE) nr. 1.408/2013 al Comisiei din 18 decembrie 2013 privind aplicarea articolelor 107 şi 108 din Tratatul privind funcţionarea Uniunii Europene ajutoarelor de minimis în sectorul agricol, modificat prin Regulamentul (UE) 2019/316 al Comisiei din 21 februarie 2019, denumit în continuare Regulamentul de minimis în sectorul agricol, respectiv acordarea unui ajutor de minimis pentru aplicarea programului de susţinere a produsului tomate în spaţii protejate, pentru anul 2020.</w:t>
      </w:r>
    </w:p>
    <w:p>
      <w:pPr>
        <w:pStyle w:val="Normal"/>
        <w:ind w:right="0" w:firstLine="709"/>
        <w:jc w:val="both"/>
        <w:rPr>
          <w:lang w:val="ro-MD"/>
        </w:rPr>
      </w:pPr>
      <w:r>
        <w:rPr>
          <w:lang w:val="ro-MD"/>
        </w:rPr>
        <w:t>Beneficiarii prevăzuți la art. 4 alin. (2) trebuie să îndeplinească criterii de eligibilitate enumerate la art. 5, iar potrivit al.  (2) Valorificarea producţiei prevăzute la alin. (1) lit. b) se face până la data de 1 iulie inclusiv.</w:t>
      </w:r>
    </w:p>
    <w:p>
      <w:pPr>
        <w:pStyle w:val="Normal"/>
        <w:ind w:right="0" w:firstLine="720"/>
        <w:jc w:val="both"/>
        <w:rPr/>
      </w:pPr>
      <w:r>
        <w:rPr>
          <w:lang w:val="ro-MD"/>
        </w:rPr>
        <w:t xml:space="preserve">Potrivit Art. 7 (1) din HG nr. 248/2020 “Valoarea </w:t>
      </w:r>
      <w:bookmarkStart w:name="_Hlk131354773" w:id="1"/>
      <w:r>
        <w:rPr>
          <w:lang w:val="ro-MD"/>
        </w:rPr>
        <w:t>sprijinului financiar acordat prin schema de ajutor de minimis se exprimă sub forma unei subvenții</w:t>
      </w:r>
      <w:bookmarkEnd w:id="1"/>
      <w:r>
        <w:rPr>
          <w:lang w:val="ro-MD"/>
        </w:rPr>
        <w:t>, potrivit art. 3 alin. (6) din Regulamentul de minimis în sectorul agricol, și se acordă beneficiarilor care îndeplinesc condițiile prevăzute la art. 5.”</w:t>
      </w:r>
    </w:p>
    <w:p>
      <w:pPr>
        <w:pStyle w:val="NoSpacing"/>
        <w:rPr/>
      </w:pPr>
      <w:r>
        <w:rPr>
          <w:lang w:val="ro-MD"/>
        </w:rPr>
        <w:tab/>
      </w:r>
      <w:r>
        <w:rPr>
          <w:rFonts w:eastAsia="Calibri"/>
          <w:lang w:val="ro-MD"/>
        </w:rPr>
        <w:t>Pe de altă parte, pentru contracararea efectelor pandemiei Covid 19, s-a adoptat OG 30/2020, pentru modificarea şi completarea unor acte normative, precum şi pentru stabilirea unor măsuri în domeniul protecției sociale în contextul situaţiei epidemiologice determinate de răspândirea coronavirusului SARS-CoV-2, ținând cont de faptul că neluarea unor măsuri urgente, cu caracter excepțional, în domeniul social şi economic ar aduce grave prejudicii cu efecte pe termen lung asupra angajaților şi a beneficiarilor unor măsuri de asistență socială.</w:t>
      </w:r>
    </w:p>
    <w:p>
      <w:pPr>
        <w:pStyle w:val="NoSpacing"/>
        <w:rPr/>
      </w:pPr>
      <w:r>
        <w:rPr>
          <w:rFonts w:eastAsia="Calibri"/>
          <w:lang w:val="ro-MD"/>
        </w:rPr>
        <w:t> </w:t>
      </w:r>
      <w:r>
        <w:rPr>
          <w:rFonts w:eastAsia="Times New Roman"/>
          <w:lang w:val="ro-MD"/>
        </w:rPr>
        <w:t xml:space="preserve"> </w:t>
      </w:r>
      <w:r>
        <w:rPr>
          <w:rFonts w:eastAsia="Calibri"/>
          <w:lang w:val="ro-MD"/>
        </w:rPr>
        <w:t> </w:t>
      </w:r>
      <w:r>
        <w:rPr>
          <w:rFonts w:eastAsia="Calibri"/>
          <w:lang w:val="ro-MD"/>
        </w:rPr>
        <w:tab/>
        <w:t xml:space="preserve"> De asemenea, în preambul actului normativ s-a menționat că aceste elemente vizează un interes public şi constituie o situație extraordinară, a cărei reglementare nu poate fi amânată şi impune adoptarea de măsuri imediate pe calea ordonanței de urgență, pentru stabilirea mijloacelor şi procedurilor necesare pentru siguranța socială şi economică a populației, precum şi reglementarea unor măsuri de protecție socială pe perioada stării de urgență decretate.</w:t>
      </w:r>
    </w:p>
    <w:p>
      <w:pPr>
        <w:pStyle w:val="NoSpacing"/>
        <w:rPr/>
      </w:pPr>
      <w:r>
        <w:rPr>
          <w:rFonts w:eastAsia="Calibri"/>
          <w:lang w:val="ro-MD"/>
        </w:rPr>
        <w:tab/>
        <w:t xml:space="preserve">Potrivit art. XV (1) din OUG nr.30/2020 „ Alți profesioniști, astfel cum sunt reglementați de </w:t>
      </w:r>
      <w:hyperlink r:id="rId2">
        <w:r>
          <w:rPr>
            <w:rStyle w:val="Hyperlink"/>
            <w:rFonts w:eastAsia="Calibri"/>
            <w:lang w:val="ro-MD"/>
          </w:rPr>
          <w:t>art. 3 alin. (2) din Legea nr. 287/2009 privind Codul civil, republicată</w:t>
        </w:r>
      </w:hyperlink>
      <w:r>
        <w:rPr>
          <w:rFonts w:eastAsia="Calibri"/>
          <w:lang w:val="ro-MD"/>
        </w:rPr>
        <w:t xml:space="preserve">, cu modificările ulterioare, precum și persoanele care au încheiate convenții individuale de muncă în baza </w:t>
      </w:r>
      <w:hyperlink r:id="rId3">
        <w:r>
          <w:rPr>
            <w:rStyle w:val="Hyperlink"/>
            <w:rFonts w:eastAsia="Calibri"/>
            <w:lang w:val="ro-MD"/>
          </w:rPr>
          <w:t>Legii nr. 1/2005</w:t>
        </w:r>
      </w:hyperlink>
      <w:r>
        <w:rPr>
          <w:rFonts w:eastAsia="Calibri"/>
          <w:lang w:val="ro-MD"/>
        </w:rPr>
        <w:t xml:space="preserve"> privind organizarea și funcționarea cooperației, republicată, cu modificările ulterioare, care întrerup activitatea ca urmare a efectelor coronavirusului SARS-CoV-2, pe perioada stării de urgență instituite prin </w:t>
      </w:r>
      <w:hyperlink r:id="rId4">
        <w:r>
          <w:rPr>
            <w:rStyle w:val="Hyperlink"/>
            <w:rFonts w:eastAsia="Calibri"/>
            <w:lang w:val="ro-MD"/>
          </w:rPr>
          <w:t>Decretul nr. 195/2020</w:t>
        </w:r>
      </w:hyperlink>
      <w:r>
        <w:rPr>
          <w:rFonts w:eastAsia="Calibri"/>
          <w:lang w:val="ro-MD"/>
        </w:rPr>
        <w:t xml:space="preserve"> privind instituirea stării de urgență pe teritoriul României, beneficiază, din bugetul de stat, în baza declarației pe propria răspundere, de o indemnizație lunară de 75% din câștigul salarial mediu brut prevăzut de </w:t>
      </w:r>
      <w:hyperlink r:id="rId5">
        <w:r>
          <w:rPr>
            <w:rStyle w:val="Hyperlink"/>
            <w:rFonts w:eastAsia="Calibri"/>
            <w:lang w:val="ro-MD"/>
          </w:rPr>
          <w:t>Legea bugetului asigurărilor sociale de stat pentru anul 2020 nr. 6/2020</w:t>
        </w:r>
      </w:hyperlink>
      <w:r>
        <w:rPr>
          <w:rFonts w:eastAsia="Calibri"/>
          <w:lang w:val="ro-MD"/>
        </w:rPr>
        <w:t xml:space="preserve">. </w:t>
      </w:r>
    </w:p>
    <w:p>
      <w:pPr>
        <w:pStyle w:val="NoSpacing"/>
        <w:rPr>
          <w:lang w:val="ro-MD"/>
        </w:rPr>
      </w:pPr>
      <w:r>
        <w:rPr>
          <w:lang w:val="ro-MD"/>
        </w:rPr>
        <w:tab/>
        <w:t>De observat că în data de 21.04.2020, textul art. XV din OUG nr. 30/2020 a fost din nou modificat și completat, iar la alin. (1^1) s-a prevăzut că : ”De indemnizaţia prevăzută la alin. (1) beneficiază şi avocaţii a căror activitate este redusă ca urmare a efectelor coronavirusului SARS-CoV-2, pe perioada stării de urgenţă, dacă în luna pentru care solicită indemnizaţia au realizat încasări cu minimum 25% mai mici decât media lunară pe anul 2019, dar care nu depăşesc câştigul salarial mediu brut prevăzut de Legea nr. 6/2020.”</w:t>
      </w:r>
    </w:p>
    <w:p>
      <w:pPr>
        <w:pStyle w:val="NoSpacing"/>
        <w:rPr/>
      </w:pPr>
      <w:r>
        <w:rPr>
          <w:lang w:val="ro-MD"/>
        </w:rPr>
        <w:tab/>
        <w:t xml:space="preserve">Prin Decizia nr. 29 din 16 mai 2022, referitoare la interpretarea și aplicarea dispozițiilor </w:t>
      </w:r>
      <w:hyperlink r:id="rId6">
        <w:r>
          <w:rPr>
            <w:rStyle w:val="Hyperlink"/>
            <w:lang w:val="ro-MD"/>
          </w:rPr>
          <w:t>art. XV alin. (1^1)</w:t>
        </w:r>
      </w:hyperlink>
      <w:r>
        <w:rPr>
          <w:lang w:val="ro-MD"/>
        </w:rPr>
        <w:t xml:space="preserve"> raportat la </w:t>
      </w:r>
      <w:hyperlink r:id="rId7">
        <w:r>
          <w:rPr>
            <w:rStyle w:val="Hyperlink"/>
            <w:lang w:val="ro-MD"/>
          </w:rPr>
          <w:t>art. XV alin. (1) din Ordonanța de urgență a Guvernului nr. 30/2020</w:t>
        </w:r>
      </w:hyperlink>
      <w:r>
        <w:rPr>
          <w:lang w:val="ro-MD"/>
        </w:rPr>
        <w:t xml:space="preserve">, ICCJ, </w:t>
      </w:r>
      <w:r>
        <w:rPr>
          <w:rFonts w:eastAsia="Calibri"/>
          <w:lang w:val="ro-MD" w:eastAsia="en-US"/>
        </w:rPr>
        <w:t xml:space="preserve">cu privire la chestiunea de drept supusă dezlegării, in paragraful 38 şi următoarele  arată că “ actul normativ, devenit parte a ordinii de drept începând cu data de 21 aprilie 2020, instituie măsuri de protecție socială, legiuitorul optând pentru a repara eventualele prejudicii cauzate de limitarea sau întreruperea unor activități socioeconomice, pe perioada pandemiei(… )40. </w:t>
      </w:r>
      <w:hyperlink r:id="rId8">
        <w:r>
          <w:rPr>
            <w:rStyle w:val="Hyperlink"/>
            <w:rFonts w:eastAsia="Calibri"/>
            <w:lang w:val="ro-MD" w:eastAsia="en-US"/>
          </w:rPr>
          <w:t>Ordonanța de urgență a Guvernului nr. 30/2020</w:t>
        </w:r>
      </w:hyperlink>
      <w:r>
        <w:rPr>
          <w:rFonts w:eastAsia="Calibri"/>
          <w:lang w:val="ro-MD" w:eastAsia="en-US"/>
        </w:rPr>
        <w:t xml:space="preserve"> a fost adoptată având ca bază Comunicarea privind „Răspunsul economic coordonat la epidemia de COVID-19“ (52020DC0112), fiind stabilit un set măsuri de protecție (ajutoare de stat) ce intră în sfera de aplicare a </w:t>
      </w:r>
      <w:hyperlink r:id="rId9">
        <w:r>
          <w:rPr>
            <w:rStyle w:val="Hyperlink"/>
            <w:rFonts w:eastAsia="Calibri"/>
            <w:lang w:val="ro-MD" w:eastAsia="en-US"/>
          </w:rPr>
          <w:t>art. 107 alin. (3) lit. b) din Tratatul</w:t>
        </w:r>
      </w:hyperlink>
      <w:r>
        <w:rPr>
          <w:rFonts w:eastAsia="Calibri"/>
          <w:lang w:val="ro-MD" w:eastAsia="en-US"/>
        </w:rPr>
        <w:t xml:space="preserve"> privind funcționarea Uniunii Europene </w:t>
      </w:r>
      <w:hyperlink r:id="rId10">
        <w:r>
          <w:rPr>
            <w:rStyle w:val="Hyperlink"/>
            <w:rFonts w:eastAsia="Calibri"/>
            <w:lang w:val="ro-MD" w:eastAsia="en-US"/>
          </w:rPr>
          <w:t>(TFUE)</w:t>
        </w:r>
      </w:hyperlink>
      <w:r>
        <w:rPr>
          <w:rFonts w:eastAsia="Calibri"/>
          <w:lang w:val="ro-MD" w:eastAsia="en-US"/>
        </w:rPr>
        <w:t xml:space="preserve">.41. În partea relevantă, Comisia Europeană a constatat că sunt necesare măsuri specifice pentru a atenua impactul asupra ocupării forței de muncă pentru persoanele fizice și pentru sectoarele cele mai afectate și a permis acordarea unor ajutoare de stat, cu respectarea </w:t>
      </w:r>
      <w:hyperlink r:id="rId11">
        <w:r>
          <w:rPr>
            <w:rStyle w:val="Hyperlink"/>
            <w:rFonts w:eastAsia="Calibri"/>
            <w:lang w:val="ro-MD" w:eastAsia="en-US"/>
          </w:rPr>
          <w:t>art. 107 alin. (2) lit. b) din TFUE</w:t>
        </w:r>
      </w:hyperlink>
      <w:r>
        <w:rPr>
          <w:rFonts w:eastAsia="Calibri"/>
          <w:lang w:val="ro-MD" w:eastAsia="en-US"/>
        </w:rPr>
        <w:t>, în sensul existenței, în cazul fiecărui beneficiar, a unei legături de cauzalitate directă între ajutorul acordat și prejudiciul rezultat din evenimentul extraordinar și a limitării eventualelor ajutoare la ceea ce este necesar pentru repararea pagubelor.</w:t>
      </w:r>
    </w:p>
    <w:p>
      <w:pPr>
        <w:pStyle w:val="NoSpacing"/>
        <w:rPr>
          <w:lang w:val="ro-MD"/>
        </w:rPr>
      </w:pPr>
      <w:r>
        <w:rPr>
          <w:lang w:val="ro-MD"/>
        </w:rPr>
        <w:tab/>
        <w:t xml:space="preserve">Rezultă așadar, că nu e suficient argumentul intimatelor potrivit cărora recurentul nu avea dreptul, în interpretarea legii, să beneficieze de indemnizația acordată pentru întreruperea activității, în condițiile în care alte persoane cărora doar li s-a redus activitatea au beneficiat de respectiva indemnizație în aceeași perioadă. </w:t>
      </w:r>
    </w:p>
    <w:p>
      <w:pPr>
        <w:pStyle w:val="NoSpacing"/>
        <w:rPr>
          <w:lang w:val="ro-MD"/>
        </w:rPr>
      </w:pPr>
      <w:r>
        <w:rPr>
          <w:lang w:val="ro-MD"/>
        </w:rPr>
        <w:tab/>
        <w:t>Pe de altă parte, cerinţa întreruperii activităţii trebuie privită în sensul larg, economic, al scopului pentru care a fost edictată norma, respectiv al folosului material urmărit de „profesionist”, prin comercializare, scop care nu a putut fi realizat prin închiderea pieţelor, afectarea activităţii de comerţ, iar nu în sensul strict, al activităţii  de întreţinere a culturii.</w:t>
      </w:r>
    </w:p>
    <w:p>
      <w:pPr>
        <w:pStyle w:val="NoSpacing"/>
        <w:rPr>
          <w:rFonts w:eastAsia="Calibri"/>
          <w:lang w:val="ro-MD"/>
        </w:rPr>
      </w:pPr>
      <w:r>
        <w:rPr>
          <w:rFonts w:eastAsia="Calibri"/>
          <w:lang w:val="ro-MD"/>
        </w:rPr>
        <w:tab/>
        <w:t>Din interpretarea dispozițiilor legale se observă că temeiul pentru juridic pentru acordarea indemnizației conform art. XV alin. (1) din OG 30/2020 are un caracter excepțional, generat de imposibilitatea desfăşurării activităţii economice  și nu poate fi confundat cu  ajutorul de minimis acordat conform HG 248/2020, acest ajutor fiind acordat pentru susținerea produsului tomate.</w:t>
      </w:r>
    </w:p>
    <w:p>
      <w:pPr>
        <w:pStyle w:val="NoSpacing"/>
        <w:rPr/>
      </w:pPr>
      <w:r>
        <w:rPr>
          <w:lang w:val="ro-MD" w:eastAsia="ro-MD"/>
        </w:rPr>
        <w:tab/>
        <w:t xml:space="preserve">Pentru toate considerentele expuse, Curtea  apreciază că nu se justifica </w:t>
      </w:r>
      <w:r>
        <w:rPr>
          <w:rFonts w:eastAsia="Calibri"/>
          <w:lang w:val="ro-MD"/>
        </w:rPr>
        <w:t>privarea recurenţilor-reclamanţi de acordarea indemnizației lunare  în temeiul art. XV alin. 1 din OUG nr. 30/2020, în considerarea faptului că a obţinut o altă subvenţie</w:t>
      </w:r>
      <w:r>
        <w:rPr>
          <w:lang w:val="ro-MD" w:eastAsia="ro-MD"/>
        </w:rPr>
        <w:t xml:space="preserve">, pe de o parte, deoarece textul legii nu prevede această restricție/condiție obligatorie, iar unde legiuitorul nu dispune, nici interpretul nu trebuie să o facă, iar situațiile de excepție trebuie reglementate expres de lege, iar pe de altă parte încasarea subvenţiei nu poate fi reţinută ca reprezentând dovada continuării neîntrerupte a activităţii, pentru argumentele expuse anterior. </w:t>
      </w:r>
    </w:p>
    <w:p>
      <w:pPr>
        <w:pStyle w:val="NoSpacing"/>
        <w:rPr/>
      </w:pPr>
      <w:r>
        <w:rPr>
          <w:rFonts w:eastAsia="Calibri"/>
          <w:lang w:val="ro-MD"/>
        </w:rPr>
        <w:tab/>
        <w:t>În concluzie, Curtea constată că reclaman</w:t>
      </w:r>
      <w:r>
        <w:rPr>
          <w:rFonts w:eastAsia="Calibri"/>
        </w:rPr>
        <w:t>ţii</w:t>
      </w:r>
      <w:r>
        <w:rPr>
          <w:rFonts w:eastAsia="Calibri"/>
          <w:lang w:val="ro-MD"/>
        </w:rPr>
        <w:t xml:space="preserve"> a beneficiat în mod legal de indemnizația prevăzută de art. XV alin. (1) din OUG nr. 30/2020.</w:t>
      </w:r>
    </w:p>
    <w:p>
      <w:pPr>
        <w:pStyle w:val="NoSpacing"/>
        <w:rPr/>
      </w:pPr>
      <w:r>
        <w:rPr>
          <w:rFonts w:eastAsia="Calibri"/>
          <w:lang w:val="ro-MD"/>
        </w:rPr>
        <w:tab/>
        <w:t>Pentru aceste motive, constatând incidente dispoziţiile art. 488 alin. 1 pct. 8 C.pr.civ., în temeiul art. 496 C.pr.civ., Curtea va admite recursul, va casa sentinţa şi va admite cererea de chemare în judecată, cu consecința anulării deciziei nr.</w:t>
      </w:r>
      <w:r>
        <w:rPr>
          <w:lang w:val="ro-MD"/>
        </w:rPr>
        <w:t xml:space="preserve"> ...2/2022. </w:t>
      </w:r>
    </w:p>
    <w:p>
      <w:pPr>
        <w:pStyle w:val="NoSpacing"/>
        <w:rPr>
          <w:rFonts w:eastAsia="Calibri"/>
          <w:lang w:val="ro-MD" w:eastAsia="en-US"/>
        </w:rPr>
      </w:pPr>
      <w:r>
        <w:rPr>
          <w:rFonts w:eastAsia="Calibri"/>
          <w:lang w:val="ro-MD" w:eastAsia="en-US"/>
        </w:rPr>
        <w:tab/>
        <w:t>În temeiul dispoziţiilor art. 453 alin. 1 C. proc. civ., care prevăd că partea care pierde procesul va fi obligată, la cererea părţii care a câştigat, să îi plătească acesteia cheltuieli de judecată, la cererea recurenților reclamanți, va obliga intimata pârâtă la plata sumei de 1150 lei cheltuieli de judecată reprezentând 550 lei fond (50 lei taxă de timbru și 500 lei onorariu avocat, conform chitanței seria nr. ....2/24.11.2022) și 600 lei recurs (100 lei taxă de timbru și 500 lei onorariu avocat, conform chitanței seria nr......5/09.02.2023).</w:t>
      </w:r>
    </w:p>
    <w:p>
      <w:pPr>
        <w:pStyle w:val="Normal"/>
        <w:ind w:right="0" w:firstLine="709"/>
        <w:jc w:val="both"/>
        <w:rPr>
          <w:rFonts w:eastAsia="Calibri"/>
          <w:lang w:val="ro-MD" w:eastAsia="en-US"/>
        </w:rPr>
      </w:pPr>
      <w:r>
        <w:rPr>
          <w:rFonts w:eastAsia="Calibri"/>
          <w:lang w:val="ro-MD" w:eastAsia="en-US"/>
        </w:rPr>
      </w:r>
      <w:bookmarkEnd w:id="0"/>
    </w:p>
    <w:p>
      <w:pPr>
        <w:pStyle w:val="Normal"/>
        <w:jc w:val="center"/>
        <w:rPr>
          <w:b/>
        </w:rPr>
      </w:pPr>
      <w:r>
        <w:rPr>
          <w:b/>
        </w:rPr>
        <w:t>PENTRU ACESTE MOTIVE,</w:t>
        <w:br/>
        <w:t>ÎN NUMELE LEGII</w:t>
      </w:r>
    </w:p>
    <w:p>
      <w:pPr>
        <w:pStyle w:val="Normal"/>
        <w:jc w:val="center"/>
        <w:rPr>
          <w:b/>
        </w:rPr>
      </w:pPr>
      <w:r>
        <w:rPr>
          <w:b/>
        </w:rPr>
      </w:r>
    </w:p>
    <w:p>
      <w:pPr>
        <w:pStyle w:val="Normal"/>
        <w:jc w:val="center"/>
        <w:rPr>
          <w:b/>
        </w:rPr>
      </w:pPr>
      <w:r>
        <w:rPr>
          <w:b/>
        </w:rPr>
        <w:t>DECIDE</w:t>
      </w:r>
    </w:p>
    <w:p>
      <w:pPr>
        <w:pStyle w:val="Normal"/>
        <w:rPr/>
      </w:pPr>
      <w:r>
        <w:rPr/>
      </w:r>
    </w:p>
    <w:p>
      <w:pPr>
        <w:pStyle w:val="Normal"/>
        <w:ind w:right="0" w:firstLine="709"/>
        <w:jc w:val="both"/>
        <w:rPr/>
      </w:pPr>
      <w:r>
        <w:rPr/>
        <w:t xml:space="preserve">Admite recursul formulat de reclamanţii </w:t>
      </w:r>
      <w:r>
        <w:rPr>
          <w:b/>
        </w:rPr>
        <w:t>R1 şi R1 INTREPRINDERE INDIVIDUALĂ</w:t>
      </w:r>
      <w:r>
        <w:rPr/>
        <w:t xml:space="preserve">, împotriva sentinţei nr. SC1, pronunţate de Tribunalul ..., în dosarul nr. D1, în contradictoriu cu intimata pârâtă </w:t>
      </w:r>
      <w:r>
        <w:rPr>
          <w:b/>
        </w:rPr>
        <w:t>AGENTIA JUDETEANA PENTRU PLATI SI INSPECTIE SOCIALA...</w:t>
      </w:r>
      <w:r>
        <w:rPr/>
        <w:t>.</w:t>
      </w:r>
    </w:p>
    <w:p>
      <w:pPr>
        <w:pStyle w:val="Normal"/>
        <w:ind w:right="0" w:firstLine="709"/>
        <w:jc w:val="both"/>
        <w:rPr/>
      </w:pPr>
      <w:r>
        <w:rPr/>
        <w:t>Casează în tot sentinţa şi rejudecând, admite acţiunea şi anulează decizia ...2/2022.</w:t>
      </w:r>
    </w:p>
    <w:p>
      <w:pPr>
        <w:pStyle w:val="Normal"/>
        <w:ind w:right="0" w:firstLine="709"/>
        <w:jc w:val="both"/>
        <w:rPr/>
      </w:pPr>
      <w:r>
        <w:rPr/>
        <w:t>Obligă pe pârâta intimată la 1150 lei cheltuieli de judecată fond şi recurs în favoarea reclamanţilor recurenţi.</w:t>
      </w:r>
    </w:p>
    <w:p>
      <w:pPr>
        <w:pStyle w:val="Normal"/>
        <w:ind w:right="0" w:firstLine="709"/>
        <w:jc w:val="both"/>
        <w:rPr/>
      </w:pPr>
      <w:r>
        <w:rPr/>
        <w:t>Definitivă.</w:t>
      </w:r>
    </w:p>
    <w:p>
      <w:pPr>
        <w:pStyle w:val="Normal"/>
        <w:ind w:right="0" w:firstLine="709"/>
        <w:jc w:val="both"/>
        <w:rPr/>
      </w:pPr>
      <w:r>
        <w:rPr/>
        <w:t>Pronunţată azi ..., prin punerea soluţiei la dispoziţia părţilor de către grefa instanţei.</w:t>
      </w:r>
    </w:p>
    <w:p>
      <w:pPr>
        <w:pStyle w:val="Normal"/>
        <w:jc w:val="center"/>
        <w:rPr>
          <w:lang w:val="en-US" w:eastAsia="en-US"/>
        </w:rPr>
      </w:pPr>
      <w:r>
        <w:rPr>
          <w:lang w:val="en-US" w:eastAsia="en-US"/>
        </w:rPr>
      </w:r>
      <w:r>
        <w:rPr>
          <w:lang w:val="en-US" w:eastAsia="en-US"/>
        </w:rPr>
      </w:r>
      <w:r>
        <w:rPr>
          <w:lang w:val="en-US" w:eastAsia="en-US"/>
        </w:rPr>
      </w:r>
      <w:r>
        <w:t>  </w:t>
      </w:r>
      <w:r>
        <w:rPr>
          <w:lang w:val="en-US" w:eastAsia="en-US"/>
        </w:rPr>
      </w:r>
    </w:p>
    <w:tbl>
      <w:tblPr>
        <w:tblW w:w="9286" w:type="dxa"/>
        <w:jc w:val="center"/>
        <w:tblInd w:w="0" w:type="dxa"/>
        <w:tblLayout w:type="fixed"/>
        <w:tblCellMar>
          <w:top w:w="284" w:type="dxa"/>
          <w:left w:w="108" w:type="dxa"/>
          <w:bottom w:w="284" w:type="dxa"/>
          <w:right w:w="108" w:type="dxa"/>
        </w:tblCellMar>
      </w:tblPr>
      <w:tblGrid>
        <w:gridCol w:w="3096"/>
        <w:gridCol w:w="3095"/>
        <w:gridCol w:w="3095"/>
      </w:tblGrid>
      <w:tr>
        <w:trPr/>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lang w:val="en-US" w:eastAsia="en-US"/>
              </w:rPr>
            </w:pPr>
            <w:r>
              <w:rPr>
                <w:lang w:val="en-US" w:eastAsia="en-US"/>
              </w:rPr>
              <w:t>Preşedinte,</w:t>
            </w:r>
          </w:p>
          <w:p>
            <w:pPr>
              <w:pStyle w:val="Normal"/>
              <w:jc w:val="center"/>
              <w:rPr>
                <w:lang w:val="en-US" w:eastAsia="en-US"/>
              </w:rPr>
            </w:pPr>
            <w:r>
              <w:rPr>
                <w:lang w:val="en-US" w:eastAsia="en-US"/>
              </w:rPr>
              <w:t>...</w:t>
            </w:r>
          </w:p>
        </w:tc>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lang w:val="en-US" w:eastAsia="en-US"/>
              </w:rPr>
            </w:pPr>
            <w:r>
              <w:rPr>
                <w:lang w:val="en-US" w:eastAsia="en-US"/>
              </w:rPr>
              <w:t>Judecător,</w:t>
            </w:r>
          </w:p>
          <w:p>
            <w:pPr>
              <w:pStyle w:val="Normal"/>
              <w:jc w:val="center"/>
              <w:rPr>
                <w:lang w:val="en-US" w:eastAsia="en-US"/>
              </w:rPr>
            </w:pPr>
            <w:r>
              <w:rPr>
                <w:lang w:val="en-US" w:eastAsia="en-US"/>
              </w:rPr>
              <w:t>...</w:t>
            </w:r>
          </w:p>
        </w:tc>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lang w:val="en-US" w:eastAsia="en-US"/>
              </w:rPr>
            </w:pPr>
            <w:r>
              <w:rPr>
                <w:lang w:val="en-US" w:eastAsia="en-US"/>
              </w:rPr>
              <w:t>Judecător,</w:t>
            </w:r>
          </w:p>
          <w:p>
            <w:pPr>
              <w:pStyle w:val="Normal"/>
              <w:jc w:val="center"/>
              <w:rPr>
                <w:lang w:val="en-US" w:eastAsia="en-US"/>
              </w:rPr>
            </w:pPr>
            <w:r>
              <w:rPr>
                <w:lang w:val="en-US" w:eastAsia="en-US"/>
              </w:rPr>
              <w:t>A0006</w:t>
            </w:r>
          </w:p>
        </w:tc>
      </w:tr>
      <w:tr>
        <w:trPr/>
        <w:tc>
          <w:tcPr>
            <w:tcW w:w="3096" w:type="dxa"/>
            <w:tcBorders>
              <w:top w:val="single" w:color="FFFFFF" w:sz="4" w:space="0"/>
              <w:left w:val="single" w:color="FFFFFF" w:sz="4" w:space="0"/>
              <w:bottom w:val="single" w:color="FFFFFF" w:sz="4" w:space="0"/>
              <w:right w:val="single" w:color="FFFFFF" w:sz="4" w:space="0"/>
            </w:tcBorders>
          </w:tcPr>
          <w:p>
            <w:pPr>
              <w:pStyle w:val="Normal"/>
              <w:snapToGrid w:val="false"/>
              <w:jc w:val="center"/>
              <w:rPr>
                <w:lang w:val="en-US" w:eastAsia="en-US"/>
              </w:rPr>
            </w:pPr>
            <w:r>
              <w:rPr>
                <w:lang w:val="en-US" w:eastAsia="en-US"/>
              </w:rPr>
            </w:r>
          </w:p>
        </w:tc>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lang w:val="en-US" w:eastAsia="en-US"/>
              </w:rPr>
            </w:pPr>
            <w:r>
              <w:rPr>
                <w:lang w:val="en-US" w:eastAsia="en-US"/>
              </w:rPr>
              <w:t>Grefier,</w:t>
            </w:r>
          </w:p>
          <w:p>
            <w:pPr>
              <w:pStyle w:val="Normal"/>
              <w:jc w:val="center"/>
              <w:rPr>
                <w:lang w:val="en-US" w:eastAsia="en-US"/>
              </w:rPr>
            </w:pPr>
            <w:r>
              <w:rPr>
                <w:lang w:val="en-US" w:eastAsia="en-US"/>
              </w:rPr>
              <w:t>...</w:t>
            </w:r>
          </w:p>
        </w:tc>
        <w:tc>
          <w:tcPr>
            <w:tcW w:w="3095" w:type="dxa"/>
            <w:tcBorders>
              <w:top w:val="single" w:color="FFFFFF" w:sz="4" w:space="0"/>
              <w:left w:val="single" w:color="FFFFFF" w:sz="4" w:space="0"/>
              <w:bottom w:val="single" w:color="FFFFFF" w:sz="4" w:space="0"/>
              <w:right w:val="single" w:color="FFFFFF" w:sz="4" w:space="0"/>
            </w:tcBorders>
          </w:tcPr>
          <w:p>
            <w:pPr>
              <w:pStyle w:val="Normal"/>
              <w:snapToGrid w:val="false"/>
              <w:jc w:val="center"/>
              <w:rPr>
                <w:lang w:val="en-US" w:eastAsia="en-US"/>
              </w:rPr>
            </w:pPr>
            <w:r>
              <w:rPr>
                <w:lang w:val="en-US" w:eastAsia="en-US"/>
              </w:rPr>
            </w:r>
          </w:p>
        </w:tc>
      </w:tr>
    </w:tbl>
    <w:p>
      <w:pPr>
        <w:pStyle w:val="Normal"/>
        <w:jc w:val="center"/>
        <w:rPr/>
      </w:pPr>
      <w:r>
        <w:rPr>
          <w:lang w:val="en-US" w:eastAsia="en-US"/>
        </w:rPr>
        <w:t>   </w:t>
      </w:r>
      <w:r>
        <w:rPr/>
      </w:r>
      <w:r>
        <w:rPr/>
      </w:r>
    </w:p>
    <w:p>
      <w:pPr>
        <w:pStyle w:val="Normal"/>
        <w:rPr>
          <w:sz w:val="16"/>
          <w:szCs w:val="16"/>
        </w:rPr>
      </w:pPr>
      <w:r>
        <w:rPr>
          <w:sz w:val="16"/>
          <w:szCs w:val="16"/>
        </w:rPr>
        <w:t>Red. jud. A0006./....</w:t>
      </w:r>
    </w:p>
    <w:p>
      <w:pPr>
        <w:pStyle w:val="Normal"/>
        <w:rPr>
          <w:sz w:val="16"/>
          <w:szCs w:val="16"/>
        </w:rPr>
      </w:pPr>
      <w:r>
        <w:rPr>
          <w:sz w:val="16"/>
          <w:szCs w:val="16"/>
        </w:rPr>
        <w:t>Tehnored. ...../5 ex.</w:t>
      </w:r>
    </w:p>
    <w:p>
      <w:pPr>
        <w:pStyle w:val="Normal"/>
        <w:rPr>
          <w:sz w:val="16"/>
          <w:szCs w:val="16"/>
        </w:rPr>
      </w:pPr>
      <w:r>
        <w:rPr>
          <w:sz w:val="16"/>
          <w:szCs w:val="16"/>
        </w:rPr>
        <w:t>Jud. fond ....</w:t>
      </w:r>
    </w:p>
    <w:sectPr>
      <w:footerReference w:type="default" r:id="rId12"/>
      <w:type w:val="nextPage"/>
      <w:pgSz w:w="11906" w:h="16838"/>
      <w:pgMar w:top="851" w:right="1418" w:bottom="851" w:left="1418" w:header="0" w:footer="72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5</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defaultTabStop w:val="709"/>
  <w:autoHyphenation w:val="true"/>
  <w:compat>
    <w:doNotBreakWrappedTables/>
    <w:compatSetting w:name="compatibilityMode" w:uri="http://schemas.microsoft.com/office/word" w:val="12"/>
  </w:compat>
  <w:docVars>
    <w:docVar w:name="url" w:val="http://server3:80/ecris_cdms/document_upload.aspx?id_document=5400000001651081&amp;id_departament=5&amp;id_sesiune=2448579&amp;id_user=364&amp;id_institutie=54&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ejaVu Sans" w:cs="FreeSans"/>
        <w:sz w:val="24"/>
        <w:szCs w:val="24"/>
        <w:lang w:val="en-US" w:eastAsia="zh-CN" w:bidi="hi-IN"/>
      </w:rPr>
    </w:rPrDefault>
    <w:pPrDefault>
      <w:pPr>
        <w:suppressAutoHyphens w:val="true"/>
      </w:pPr>
    </w:pPrDefault>
  </w:docDefaults>
  <w:style w:type="paragraph" w:styleId="Normal">
    <w:name w:val="Normal"/>
    <w:qFormat/>
    <w:pPr>
      <w:widowControl/>
      <w:kinsoku w:val="true"/>
      <w:overflowPunct w:val="true"/>
      <w:autoSpaceDE w:val="true"/>
      <w:bidi w:val="0"/>
    </w:pPr>
    <w:rPr>
      <w:rFonts w:ascii="Times New Roman" w:hAnsi="Times New Roman" w:eastAsia="Times New Roman" w:cs="Times New Roman"/>
      <w:color w:val="auto"/>
      <w:sz w:val="24"/>
      <w:szCs w:val="24"/>
      <w:lang w:val="ro-RO" w:bidi="ar-SA" w:eastAsia="zh-CN"/>
    </w:rPr>
  </w:style>
  <w:style w:type="paragraph" w:styleId="Heading1">
    <w:name w:val="Heading 1"/>
    <w:basedOn w:val="Normal"/>
    <w:next w:val="Normal"/>
    <w:qFormat/>
    <w:pPr>
      <w:keepNext w:val="true"/>
      <w:numPr>
        <w:ilvl w:val="0"/>
        <w:numId w:val="1"/>
      </w:numPr>
      <w:jc w:val="center"/>
      <w:outlineLvl w:val="0"/>
    </w:pPr>
    <w:rPr>
      <w:b/>
      <w:bCs/>
      <w:sz w:val="28"/>
      <w:szCs w:val="15"/>
      <w:lang w:val="en-US"/>
    </w:rPr>
  </w:style>
  <w:style w:type="character" w:styleId="DefaultParagraphFont">
    <w:name w:val="Default Paragraph Font"/>
    <w:qFormat/>
    <w:rPr/>
  </w:style>
  <w:style w:type="character" w:styleId="HeaderChar">
    <w:name w:val="Header Char"/>
    <w:qFormat/>
    <w:rPr>
      <w:sz w:val="24"/>
      <w:szCs w:val="24"/>
    </w:rPr>
  </w:style>
  <w:style w:type="character" w:styleId="FooterChar">
    <w:name w:val="Footer Char"/>
    <w:qFormat/>
    <w:rPr>
      <w:sz w:val="24"/>
      <w:szCs w:val="24"/>
    </w:rPr>
  </w:style>
  <w:style w:type="character" w:styleId="Hyperlink">
    <w:name w:val="Hyperlink"/>
    <w:rPr>
      <w:color w:val="000080"/>
      <w:u w:val="single"/>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rmalWeb">
    <w:name w:val="Normal (Web)"/>
    <w:basedOn w:val="Normal"/>
    <w:qFormat/>
    <w:pPr>
      <w:spacing w:before="280" w:after="280"/>
    </w:pPr>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Header">
    <w:name w:val="Header"/>
    <w:basedOn w:val="Normal"/>
    <w:pPr>
      <w:tabs>
        <w:tab w:val="clear" w:pos="709"/>
        <w:tab w:val="center" w:pos="4536" w:leader="none"/>
        <w:tab w:val="right" w:pos="9072" w:leader="none"/>
      </w:tabs>
    </w:pPr>
    <w:rPr/>
  </w:style>
  <w:style w:type="paragraph" w:styleId="Footer">
    <w:name w:val="Footer"/>
    <w:basedOn w:val="Normal"/>
    <w:pPr>
      <w:tabs>
        <w:tab w:val="clear" w:pos="709"/>
        <w:tab w:val="center" w:pos="4536" w:leader="none"/>
        <w:tab w:val="right" w:pos="9072" w:leader="none"/>
      </w:tabs>
    </w:pPr>
    <w:rPr/>
  </w:style>
  <w:style w:type="paragraph" w:styleId="NoSpacing">
    <w:name w:val="No Spacing"/>
    <w:qFormat/>
    <w:pPr>
      <w:widowControl/>
      <w:kinsoku w:val="true"/>
      <w:overflowPunct w:val="true"/>
      <w:autoSpaceDE w:val="true"/>
      <w:bidi w:val="0"/>
      <w:jc w:val="both"/>
    </w:pPr>
    <w:rPr>
      <w:rFonts w:ascii="Times New Roman" w:hAnsi="Times New Roman" w:eastAsia="Times New Roman" w:cs="Times New Roman"/>
      <w:color w:val="auto"/>
      <w:sz w:val="24"/>
      <w:szCs w:val="24"/>
      <w:lang w:val="ro-RO" w:bidi="ar-SA" w:eastAsia="zh-CN"/>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egislatie.just.ro/Public/DetaliiDocumentAfis/210104" TargetMode="External"/><Relationship Id="rId3" Type="http://schemas.openxmlformats.org/officeDocument/2006/relationships/hyperlink" Target="https://legislatie.just.ro/Public/DetaliiDocumentAfis/202368" TargetMode="External"/><Relationship Id="rId4" Type="http://schemas.openxmlformats.org/officeDocument/2006/relationships/hyperlink" Target="https://legislatie.just.ro/Public/DetaliiDocumentAfis/223831" TargetMode="External"/><Relationship Id="rId5" Type="http://schemas.openxmlformats.org/officeDocument/2006/relationships/hyperlink" Target="https://legislatie.just.ro/Public/DetaliiDocumentAfis/221849" TargetMode="External"/><Relationship Id="rId6" Type="http://schemas.openxmlformats.org/officeDocument/2006/relationships/hyperlink" Target="https://legislatie.just.ro/Public/DetaliiDocumentAfis/244549" TargetMode="External"/><Relationship Id="rId7" Type="http://schemas.openxmlformats.org/officeDocument/2006/relationships/hyperlink" Target="https://legislatie.just.ro/Public/DetaliiDocumentAfis/244549" TargetMode="External"/><Relationship Id="rId8" Type="http://schemas.openxmlformats.org/officeDocument/2006/relationships/hyperlink" Target="https://legislatie.just.ro/Public/DetaliiDocumentAfis/244549" TargetMode="External"/><Relationship Id="rId9" Type="http://schemas.openxmlformats.org/officeDocument/2006/relationships/hyperlink" Target="https://legislatie.just.ro/Public/DetaliiDocumentAfis/144990" TargetMode="External"/><Relationship Id="rId10" Type="http://schemas.openxmlformats.org/officeDocument/2006/relationships/hyperlink" Target="https://legislatie.just.ro/Public/DetaliiDocumentAfis/144990" TargetMode="External"/><Relationship Id="rId11" Type="http://schemas.openxmlformats.org/officeDocument/2006/relationships/hyperlink" Target="https://legislatie.just.ro/Public/DetaliiDocumentAfis/144990" TargetMode="External"/><Relationship Id="rId12" Type="http://schemas.openxmlformats.org/officeDocument/2006/relationships/footer" Target="footer1.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
  <ap:SharedDoc>false</ap:SharedDoc>
  <ap:LinksUpToDate>false</ap:LinksUpToDate>
  <ap:HyperlinkBase/>
  <ap:Manager/>
  <ap:Company/>
  <ap:TotalTime>32</ap:TotalTime>
  <ap:Application>LibreOffice/24.2.7.2$Linux_X86_64 LibreOffice_project/420$Build-2</ap:Application>
  <ap:AppVersion>15.0000</ap:AppVersion>
  <ap:Pages>5</ap:Pages>
  <ap:Words>2719</ap:Words>
  <ap:Characters>15460</ap:Characters>
  <ap:CharactersWithSpaces>18153</ap:CharactersWithSpaces>
  <ap:Paragraphs>79</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keywords/>
  <dc:language/>
  <lastModifiedBy/>
  <revision/>
  <dc:subject/>
  <dc:title/>
  <category/>
  <contentStatus/>
  <dc:identifier/>
  <version/>
</coreProperties>
</file>