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Pr="00172EC7" w:rsidR="00172EC7" w:rsidP="00172EC7" w14:paraId="2A7B0236" w14:textId="3EEF0091">
      <w:pPr>
        <w:ind w:firstLine="993"/>
        <w:rPr>
          <w:b/>
          <w:bCs/>
        </w:rPr>
      </w:pPr>
      <w:r w:rsidRPr="00172EC7">
        <w:rPr>
          <w:b/>
          <w:bCs/>
        </w:rPr>
        <w:t xml:space="preserve">Hot. </w:t>
      </w:r>
      <w:r>
        <w:rPr>
          <w:b/>
          <w:bCs/>
        </w:rPr>
        <w:t>9</w:t>
      </w:r>
    </w:p>
    <w:p w:rsidR="00172EC7" w:rsidP="00172EC7" w14:paraId="4C10ACCE" w14:textId="77777777">
      <w:pPr>
        <w:ind w:firstLine="993"/>
      </w:pPr>
      <w:r>
        <w:t>Cod ECLI    ECLI:RO:.......................</w:t>
      </w:r>
    </w:p>
    <w:p w:rsidR="00172EC7" w:rsidP="00172EC7" w14:paraId="36C236D9" w14:textId="77777777">
      <w:pPr>
        <w:keepNext/>
        <w:ind w:firstLine="993"/>
        <w:jc w:val="center"/>
        <w:outlineLvl w:val="2"/>
        <w:rPr>
          <w:rStyle w:val="Fontdeparagrafimplicit"/>
          <w:b/>
        </w:rPr>
      </w:pPr>
    </w:p>
    <w:p w:rsidR="00172EC7" w:rsidP="00172EC7" w14:paraId="53BEFEC5" w14:textId="77777777">
      <w:pPr>
        <w:keepNext/>
        <w:ind w:firstLine="993"/>
        <w:jc w:val="center"/>
        <w:outlineLvl w:val="2"/>
      </w:pPr>
      <w:r>
        <w:t>R O M Â N I A</w:t>
      </w:r>
    </w:p>
    <w:p w:rsidR="00172EC7" w:rsidP="00172EC7" w14:paraId="6140A089" w14:textId="77777777">
      <w:pPr>
        <w:ind w:firstLine="993"/>
        <w:jc w:val="center"/>
      </w:pPr>
      <w:r>
        <w:t>CURTEA DE APEL ..............</w:t>
      </w:r>
    </w:p>
    <w:p w:rsidR="00172EC7" w:rsidP="00172EC7" w14:paraId="075B80DD" w14:textId="77777777">
      <w:pPr>
        <w:ind w:firstLine="993"/>
        <w:jc w:val="center"/>
      </w:pPr>
      <w:r>
        <w:t xml:space="preserve">SECŢIA ............. CONTENCIOS ADMINISTRATIV ŞI FISCAL </w:t>
      </w:r>
    </w:p>
    <w:p w:rsidR="00172EC7" w:rsidP="00172EC7" w14:paraId="5C6B50A3" w14:textId="77777777">
      <w:pPr>
        <w:ind w:firstLine="993"/>
        <w:jc w:val="center"/>
        <w:rPr>
          <w:rStyle w:val="Fontdeparagrafimplicit"/>
          <w:lang w:val="en-US"/>
        </w:rPr>
      </w:pPr>
    </w:p>
    <w:p w:rsidR="00172EC7" w:rsidP="00172EC7" w14:paraId="1C015974" w14:textId="77777777">
      <w:pPr>
        <w:ind w:firstLine="993"/>
      </w:pPr>
      <w:r>
        <w:t>Dosar nr. .....................</w:t>
      </w:r>
    </w:p>
    <w:p w:rsidR="00172EC7" w:rsidP="00172EC7" w14:paraId="7AD1819E" w14:textId="77777777">
      <w:pPr>
        <w:ind w:firstLine="993"/>
        <w:rPr>
          <w:rStyle w:val="Fontdeparagrafimplicit"/>
          <w:u w:val="single"/>
        </w:rPr>
      </w:pPr>
    </w:p>
    <w:p w:rsidR="00172EC7" w:rsidP="00172EC7" w14:paraId="5266795E" w14:textId="77777777">
      <w:pPr>
        <w:ind w:firstLine="993"/>
        <w:jc w:val="center"/>
        <w:rPr>
          <w:rStyle w:val="Fontdeparagrafimplicit"/>
          <w:b/>
        </w:rPr>
      </w:pPr>
      <w:r>
        <w:rPr>
          <w:rStyle w:val="Fontdeparagrafimplicit"/>
          <w:b/>
          <w:u w:val="single"/>
        </w:rPr>
        <w:t>SENTINŢA CIVILĂ NR. .....</w:t>
      </w:r>
    </w:p>
    <w:p w:rsidR="00172EC7" w:rsidP="00172EC7" w14:paraId="404AE570" w14:textId="77777777">
      <w:pPr>
        <w:ind w:firstLine="993"/>
        <w:jc w:val="center"/>
        <w:rPr>
          <w:rStyle w:val="Fontdeparagrafimplicit"/>
          <w:b/>
        </w:rPr>
      </w:pPr>
      <w:r>
        <w:rPr>
          <w:rStyle w:val="Fontdeparagrafimplicit"/>
          <w:b/>
        </w:rPr>
        <w:t>Şedinţa</w:t>
      </w:r>
      <w:r>
        <w:rPr>
          <w:rStyle w:val="Fontdeparagrafimplicit"/>
          <w:b/>
        </w:rPr>
        <w:t xml:space="preserve"> publică din data de ..........</w:t>
      </w:r>
    </w:p>
    <w:p w:rsidR="00172EC7" w:rsidP="00172EC7" w14:paraId="1450CECF" w14:textId="77777777">
      <w:pPr>
        <w:ind w:firstLine="993"/>
        <w:jc w:val="center"/>
      </w:pPr>
      <w:r>
        <w:t>Curtea constituită din:</w:t>
      </w:r>
    </w:p>
    <w:p w:rsidR="00172EC7" w:rsidP="00172EC7" w14:paraId="7B1A9BDC" w14:textId="676EB320">
      <w:pPr>
        <w:ind w:firstLine="993"/>
        <w:jc w:val="center"/>
      </w:pPr>
      <w:r>
        <w:t xml:space="preserve">PREŞEDINTE: </w:t>
      </w:r>
      <w:r>
        <w:t>A0014</w:t>
      </w:r>
    </w:p>
    <w:p w:rsidR="00172EC7" w:rsidP="00172EC7" w14:paraId="46DA3DC2" w14:textId="77777777">
      <w:pPr>
        <w:ind w:firstLine="993"/>
        <w:jc w:val="center"/>
      </w:pPr>
      <w:r>
        <w:t>GREFIER: ..................</w:t>
      </w:r>
    </w:p>
    <w:p w:rsidR="00172EC7" w:rsidP="00172EC7" w14:paraId="3D80189D" w14:textId="77777777">
      <w:pPr>
        <w:ind w:firstLine="993"/>
        <w:jc w:val="center"/>
        <w:rPr>
          <w:rStyle w:val="Fontdeparagrafimplicit"/>
          <w:b/>
        </w:rPr>
      </w:pPr>
    </w:p>
    <w:p w:rsidR="00172EC7" w:rsidP="00172EC7" w14:paraId="763D1068" w14:textId="77777777">
      <w:pPr>
        <w:ind w:firstLine="993"/>
        <w:jc w:val="center"/>
        <w:rPr>
          <w:rStyle w:val="Fontdeparagrafimplicit"/>
          <w:b/>
        </w:rPr>
      </w:pPr>
    </w:p>
    <w:p w:rsidR="00172EC7" w:rsidP="00172EC7" w14:paraId="1FAB49AA" w14:textId="77777777">
      <w:pPr>
        <w:ind w:firstLine="993"/>
        <w:jc w:val="both"/>
      </w:pPr>
      <w:r>
        <w:t xml:space="preserve">Pe rol </w:t>
      </w:r>
      <w:r>
        <w:t>soluţionarea</w:t>
      </w:r>
      <w:r>
        <w:t xml:space="preserve"> </w:t>
      </w:r>
      <w:r>
        <w:t>acţiunii</w:t>
      </w:r>
      <w:r>
        <w:t xml:space="preserve"> în contencios administrativ formulată de reclamantul </w:t>
      </w:r>
      <w:r>
        <w:rPr>
          <w:rStyle w:val="Fontdeparagrafimplicit"/>
          <w:b/>
        </w:rPr>
        <w:t>A............</w:t>
      </w:r>
      <w:r>
        <w:t xml:space="preserve"> în contradictoriu cu pârâtul </w:t>
      </w:r>
      <w:r>
        <w:rPr>
          <w:rStyle w:val="Fontdeparagrafimplicit"/>
          <w:b/>
        </w:rPr>
        <w:t>CONSILIUL SUPERIOR AL MAGISTRATURII</w:t>
      </w:r>
      <w:r>
        <w:t xml:space="preserve"> având ca obiect „</w:t>
      </w:r>
      <w:r>
        <w:rPr>
          <w:rStyle w:val="Fontdeparagrafimplicit"/>
          <w:u w:val="single"/>
        </w:rPr>
        <w:t xml:space="preserve">refuz </w:t>
      </w:r>
      <w:r>
        <w:rPr>
          <w:rStyle w:val="Fontdeparagrafimplicit"/>
          <w:u w:val="single"/>
        </w:rPr>
        <w:t>soluţionare</w:t>
      </w:r>
      <w:r>
        <w:rPr>
          <w:rStyle w:val="Fontdeparagrafimplicit"/>
          <w:u w:val="single"/>
        </w:rPr>
        <w:t xml:space="preserve"> cerere</w:t>
      </w:r>
      <w:r>
        <w:t xml:space="preserve">”. </w:t>
      </w:r>
    </w:p>
    <w:p w:rsidR="00172EC7" w:rsidP="00172EC7" w14:paraId="0935B72F" w14:textId="77777777">
      <w:pPr>
        <w:ind w:firstLine="993"/>
        <w:jc w:val="both"/>
      </w:pPr>
      <w:r>
        <w:t xml:space="preserve">Dezbaterile au avut loc în ședința publică din data de ................, fiind consemnate în încheierea de ședință de la acea dată, care face parte integrantă a prezentei hotărâri, când Curtea, având nevoie de timp pentru a delibera, a amânat pronunțarea la data de astăzi, când, în </w:t>
      </w:r>
      <w:r>
        <w:t>aceeaşi</w:t>
      </w:r>
      <w:r>
        <w:t xml:space="preserve"> compunere, a hotărât următoarele:</w:t>
      </w:r>
    </w:p>
    <w:p w:rsidR="00172EC7" w:rsidP="00172EC7" w14:paraId="6CC130EE" w14:textId="77777777">
      <w:pPr>
        <w:ind w:firstLine="993"/>
        <w:jc w:val="center"/>
        <w:rPr>
          <w:rStyle w:val="Fontdeparagrafimplicit"/>
          <w:b/>
        </w:rPr>
      </w:pPr>
    </w:p>
    <w:p w:rsidR="00172EC7" w:rsidP="00172EC7" w14:paraId="4A7F16C4" w14:textId="77777777">
      <w:pPr>
        <w:ind w:firstLine="993"/>
        <w:jc w:val="center"/>
        <w:rPr>
          <w:rStyle w:val="Fontdeparagrafimplicit"/>
          <w:b/>
        </w:rPr>
      </w:pPr>
    </w:p>
    <w:p w:rsidR="00172EC7" w:rsidP="00172EC7" w14:paraId="0899443C" w14:textId="77777777">
      <w:pPr>
        <w:ind w:firstLine="993"/>
        <w:jc w:val="center"/>
        <w:rPr>
          <w:rStyle w:val="Fontdeparagrafimplicit"/>
          <w:b/>
        </w:rPr>
      </w:pPr>
      <w:r>
        <w:rPr>
          <w:rStyle w:val="Fontdeparagrafimplicit"/>
          <w:b/>
        </w:rPr>
        <w:t>C U R T E A,</w:t>
      </w:r>
    </w:p>
    <w:p w:rsidR="00172EC7" w:rsidP="00172EC7" w14:paraId="7ADB5BE7" w14:textId="77777777">
      <w:pPr>
        <w:ind w:firstLine="993"/>
        <w:jc w:val="center"/>
        <w:rPr>
          <w:rStyle w:val="Fontdeparagrafimplicit"/>
          <w:b/>
        </w:rPr>
      </w:pPr>
    </w:p>
    <w:p w:rsidR="00172EC7" w:rsidP="00172EC7" w14:paraId="4C61B044" w14:textId="77777777">
      <w:pPr>
        <w:ind w:firstLine="993"/>
        <w:jc w:val="center"/>
        <w:rPr>
          <w:rStyle w:val="Fontdeparagrafimplicit"/>
          <w:b/>
        </w:rPr>
      </w:pPr>
    </w:p>
    <w:p w:rsidR="00172EC7" w:rsidP="00172EC7" w14:paraId="5AB40A93" w14:textId="77777777">
      <w:pPr>
        <w:ind w:firstLine="993"/>
        <w:jc w:val="both"/>
      </w:pPr>
      <w:r>
        <w:t xml:space="preserve">Deliberând asupra cauzei de </w:t>
      </w:r>
      <w:r>
        <w:t>faţă</w:t>
      </w:r>
      <w:r>
        <w:t>, constată următoarele:</w:t>
      </w:r>
    </w:p>
    <w:p w:rsidR="00172EC7" w:rsidP="00172EC7" w14:paraId="48069C7E" w14:textId="77777777">
      <w:pPr>
        <w:ind w:firstLine="993"/>
        <w:jc w:val="both"/>
      </w:pPr>
      <w:r>
        <w:rPr>
          <w:rStyle w:val="Fontdeparagrafimplicit"/>
          <w:b/>
          <w:i/>
        </w:rPr>
        <w:t xml:space="preserve">1. Prin cererea de chemare în judecată înregistrată pe rolul acestei </w:t>
      </w:r>
      <w:r>
        <w:rPr>
          <w:rStyle w:val="Fontdeparagrafimplicit"/>
          <w:b/>
          <w:i/>
        </w:rPr>
        <w:t>instanţe</w:t>
      </w:r>
      <w:r>
        <w:rPr>
          <w:rStyle w:val="Fontdeparagrafimplicit"/>
          <w:b/>
          <w:i/>
        </w:rPr>
        <w:t xml:space="preserve"> sub nr. .......... la data de 12.04.2021,</w:t>
      </w:r>
      <w:r>
        <w:t xml:space="preserve"> reclamantul A............ a solicitat în contradictoriu cu pârâtul Consiliul Superior al Magistraturii:</w:t>
      </w:r>
    </w:p>
    <w:p w:rsidR="00172EC7" w:rsidP="00172EC7" w14:paraId="40AE679D" w14:textId="77777777">
      <w:pPr>
        <w:ind w:firstLine="993"/>
        <w:jc w:val="both"/>
      </w:pPr>
      <w:r>
        <w:t xml:space="preserve">- să se constate refuzul nejustificat al paratului de a-i </w:t>
      </w:r>
      <w:r>
        <w:t>soluţiona</w:t>
      </w:r>
      <w:r>
        <w:t xml:space="preserve"> cererea cu privire la numirea in </w:t>
      </w:r>
      <w:r>
        <w:t>funcţia</w:t>
      </w:r>
      <w:r>
        <w:t xml:space="preserve"> de procuror in temeiul art. 33</w:t>
      </w:r>
      <w:r>
        <w:rPr>
          <w:rStyle w:val="Fontdeparagrafimplicit"/>
          <w:vertAlign w:val="superscript"/>
        </w:rPr>
        <w:t>1</w:t>
      </w:r>
      <w:r>
        <w:t xml:space="preserve"> din Legea nr. 303/2004;</w:t>
      </w:r>
    </w:p>
    <w:p w:rsidR="00172EC7" w:rsidP="00172EC7" w14:paraId="7DC9C3B4" w14:textId="77777777">
      <w:pPr>
        <w:ind w:firstLine="993"/>
        <w:jc w:val="both"/>
      </w:pPr>
      <w:r>
        <w:t xml:space="preserve">- să fie obligat paratul sa organizeze sesiunea de evaluare pentru numirea in </w:t>
      </w:r>
      <w:r>
        <w:t>funcţia</w:t>
      </w:r>
      <w:r>
        <w:t xml:space="preserve"> de procuror, în temeiul art. 33</w:t>
      </w:r>
      <w:r>
        <w:rPr>
          <w:rStyle w:val="Fontdeparagrafimplicit"/>
          <w:vertAlign w:val="superscript"/>
        </w:rPr>
        <w:t>1</w:t>
      </w:r>
      <w:r>
        <w:t xml:space="preserve"> din Legea nr. 303/2004, in care sa </w:t>
      </w:r>
      <w:r>
        <w:t>soluţioneze</w:t>
      </w:r>
      <w:r>
        <w:t xml:space="preserve"> cererea de numire in </w:t>
      </w:r>
      <w:r>
        <w:t>funcţie</w:t>
      </w:r>
      <w:r>
        <w:t xml:space="preserve"> formulata de reclamant.</w:t>
      </w:r>
    </w:p>
    <w:p w:rsidR="00172EC7" w:rsidP="00172EC7" w14:paraId="4065D025" w14:textId="77777777">
      <w:pPr>
        <w:ind w:firstLine="993"/>
        <w:jc w:val="both"/>
      </w:pPr>
      <w:r>
        <w:t xml:space="preserve">In fapt, la data de 27.01.2021 a transmis paratului cererea prin care a solicitat numirea in </w:t>
      </w:r>
      <w:r>
        <w:t>funcţia</w:t>
      </w:r>
      <w:r>
        <w:t xml:space="preserve"> de procuror la Parchetul de pe </w:t>
      </w:r>
      <w:r>
        <w:t>langa</w:t>
      </w:r>
      <w:r>
        <w:t xml:space="preserve"> Judecătoria C.......... sau la Parchetul de pe </w:t>
      </w:r>
      <w:r>
        <w:t>langa</w:t>
      </w:r>
      <w:r>
        <w:t xml:space="preserve"> Judecătoria P.............., iar in subsidiar la orice alta unitate de parchet de pe </w:t>
      </w:r>
      <w:r>
        <w:t>langa</w:t>
      </w:r>
      <w:r>
        <w:t xml:space="preserve"> judecătorie care avea in schema posturi de procuror neocupate, conform </w:t>
      </w:r>
      <w:r>
        <w:t>Situaţiei</w:t>
      </w:r>
      <w:r>
        <w:t xml:space="preserve"> publicate pe pagina de internet a Consiliului la data de 12.01.2021.</w:t>
      </w:r>
    </w:p>
    <w:p w:rsidR="00172EC7" w:rsidP="00172EC7" w14:paraId="1CEEE9BE" w14:textId="77777777">
      <w:pPr>
        <w:ind w:firstLine="993"/>
        <w:jc w:val="both"/>
      </w:pPr>
      <w:r>
        <w:t xml:space="preserve">In </w:t>
      </w:r>
      <w:r>
        <w:t>susţinerea</w:t>
      </w:r>
      <w:r>
        <w:t xml:space="preserve"> cererii, a arătat ca </w:t>
      </w:r>
      <w:r>
        <w:t>îndeplineşte</w:t>
      </w:r>
      <w:r>
        <w:t xml:space="preserve"> toate </w:t>
      </w:r>
      <w:r>
        <w:t>cerinţele</w:t>
      </w:r>
      <w:r>
        <w:t xml:space="preserve"> impuse pentru numire in conformitate cu prevederile art.33</w:t>
      </w:r>
      <w:r>
        <w:rPr>
          <w:rStyle w:val="Fontdeparagrafimplicit"/>
          <w:vertAlign w:val="superscript"/>
        </w:rPr>
        <w:t>1</w:t>
      </w:r>
      <w:r>
        <w:t xml:space="preserve"> din Legea nr.303/2004, respectiv a ocupat </w:t>
      </w:r>
      <w:r>
        <w:t>funcţia</w:t>
      </w:r>
      <w:r>
        <w:t xml:space="preserve"> de procuror neîntrerupt mai mult de 10 ani, nu a fost cercetat sau </w:t>
      </w:r>
      <w:r>
        <w:t>sancţionat</w:t>
      </w:r>
      <w:r>
        <w:t xml:space="preserve"> disciplinar, a obținut calificativul foarte bine la toate evaluările si </w:t>
      </w:r>
      <w:r>
        <w:t>şi</w:t>
      </w:r>
      <w:r>
        <w:t>-a încetat activitatea din motive neimputabile.</w:t>
      </w:r>
    </w:p>
    <w:p w:rsidR="00172EC7" w:rsidP="00172EC7" w14:paraId="1489F0BF" w14:textId="77777777">
      <w:pPr>
        <w:ind w:firstLine="993"/>
        <w:jc w:val="both"/>
      </w:pPr>
      <w:r>
        <w:t xml:space="preserve">La data de 12 martie 2021 a primit Adresa nr. ...../2021, prin care paratul i-a adus la </w:t>
      </w:r>
      <w:r>
        <w:t>cunoştinţa</w:t>
      </w:r>
      <w:r>
        <w:t xml:space="preserve"> ca prin Hotărârea </w:t>
      </w:r>
      <w:r>
        <w:t>Secţiei</w:t>
      </w:r>
      <w:r>
        <w:t xml:space="preserve"> pentru procurori nr. ....../03.09.2020 a fost abrogata Hotărârea nr. ....../2019 a </w:t>
      </w:r>
      <w:r>
        <w:t>Secţiei</w:t>
      </w:r>
      <w:r>
        <w:t xml:space="preserve"> pentru procurori prin care a fost aprobata Metodologia privind numirea in </w:t>
      </w:r>
      <w:r>
        <w:t>funcţia</w:t>
      </w:r>
      <w:r>
        <w:t xml:space="preserve"> de procuror in </w:t>
      </w:r>
      <w:r>
        <w:t>condiţiile</w:t>
      </w:r>
      <w:r>
        <w:t xml:space="preserve"> art.33</w:t>
      </w:r>
      <w:r>
        <w:rPr>
          <w:rStyle w:val="Fontdeparagrafimplicit"/>
          <w:vertAlign w:val="superscript"/>
        </w:rPr>
        <w:t>1</w:t>
      </w:r>
      <w:r>
        <w:t xml:space="preserve"> din Legea nr.303/2004 privind statutul procurorilor si judecătorilor.</w:t>
      </w:r>
    </w:p>
    <w:p w:rsidR="00172EC7" w:rsidP="00172EC7" w14:paraId="0AE5973F" w14:textId="77777777">
      <w:pPr>
        <w:ind w:firstLine="993"/>
        <w:jc w:val="both"/>
      </w:pPr>
      <w:r>
        <w:t xml:space="preserve">Prin </w:t>
      </w:r>
      <w:r>
        <w:t>aceeaşi</w:t>
      </w:r>
      <w:r>
        <w:t xml:space="preserve"> adresa paratul i-a adus la </w:t>
      </w:r>
      <w:r>
        <w:t>cunoştinţa</w:t>
      </w:r>
      <w:r>
        <w:t xml:space="preserve"> ca pana la momentul emiterii adresei </w:t>
      </w:r>
      <w:r>
        <w:t>Secţia</w:t>
      </w:r>
      <w:r>
        <w:t xml:space="preserve"> pentru procurori nu a </w:t>
      </w:r>
      <w:r>
        <w:t>declanşat</w:t>
      </w:r>
      <w:r>
        <w:t xml:space="preserve"> o sesiune de numire in </w:t>
      </w:r>
      <w:r>
        <w:t>funcţia</w:t>
      </w:r>
      <w:r>
        <w:t xml:space="preserve"> de procuror, </w:t>
      </w:r>
      <w:r>
        <w:t>fara</w:t>
      </w:r>
      <w:r>
        <w:t xml:space="preserve"> concurs </w:t>
      </w:r>
      <w:r>
        <w:t xml:space="preserve">sau examen, urmând ca cererile sa fie analizate </w:t>
      </w:r>
      <w:r>
        <w:t>dupa</w:t>
      </w:r>
      <w:r>
        <w:t xml:space="preserve"> publicarea </w:t>
      </w:r>
      <w:r>
        <w:t>anunţului</w:t>
      </w:r>
      <w:r>
        <w:t xml:space="preserve"> procedurii mai sus </w:t>
      </w:r>
      <w:r>
        <w:t>menţionate</w:t>
      </w:r>
      <w:r>
        <w:t>.</w:t>
      </w:r>
    </w:p>
    <w:p w:rsidR="00172EC7" w:rsidP="00172EC7" w14:paraId="24E806C8" w14:textId="77777777">
      <w:pPr>
        <w:ind w:firstLine="993"/>
        <w:jc w:val="both"/>
      </w:pPr>
      <w:r>
        <w:t>Refuzul paratului de a răspunde cererii cu privire la un interes legitim a fost exprimat in mod neîndoielnic, cu încălcarea legii si prin exces de putere.</w:t>
      </w:r>
    </w:p>
    <w:p w:rsidR="00172EC7" w:rsidP="00172EC7" w14:paraId="7458F7A7" w14:textId="77777777">
      <w:pPr>
        <w:ind w:firstLine="993"/>
        <w:jc w:val="both"/>
      </w:pPr>
      <w:r>
        <w:t>Art.33</w:t>
      </w:r>
      <w:r>
        <w:rPr>
          <w:rStyle w:val="Fontdeparagrafimplicit"/>
          <w:vertAlign w:val="superscript"/>
        </w:rPr>
        <w:t>1</w:t>
      </w:r>
      <w:r>
        <w:t xml:space="preserve"> din Legea nr.303/2004 prevede: persoanele care au ocupat minimum 10 ani </w:t>
      </w:r>
      <w:r>
        <w:t>funcţia</w:t>
      </w:r>
      <w:r>
        <w:t xml:space="preserve"> de judecător sau procuror </w:t>
      </w:r>
      <w:r>
        <w:t>şi</w:t>
      </w:r>
      <w:r>
        <w:t xml:space="preserve"> magistrat-asistent, care nu au fost </w:t>
      </w:r>
      <w:r>
        <w:t>sancţionate</w:t>
      </w:r>
      <w:r>
        <w:t xml:space="preserve"> disciplinar, au avut numai calificativul «foarte bine» la toate evaluările </w:t>
      </w:r>
      <w:r>
        <w:t>şi</w:t>
      </w:r>
      <w:r>
        <w:t xml:space="preserve"> </w:t>
      </w:r>
      <w:r>
        <w:t>şi</w:t>
      </w:r>
      <w:r>
        <w:t xml:space="preserve">-au încetat activitatea din motive neimputabile, pot fi numite, fără concurs sau examen, în </w:t>
      </w:r>
      <w:r>
        <w:t>funcţiile</w:t>
      </w:r>
      <w:r>
        <w:t xml:space="preserve"> vacante de judecător sau procuror, la </w:t>
      </w:r>
      <w:r>
        <w:t>instanţe</w:t>
      </w:r>
      <w:r>
        <w:t xml:space="preserve"> sau parchete de </w:t>
      </w:r>
      <w:r>
        <w:t>acelaşi</w:t>
      </w:r>
      <w:r>
        <w:t xml:space="preserve"> grad cu cele unde au </w:t>
      </w:r>
      <w:r>
        <w:t>funcţionat</w:t>
      </w:r>
      <w:r>
        <w:t xml:space="preserve"> sau la </w:t>
      </w:r>
      <w:r>
        <w:t>instanţe</w:t>
      </w:r>
      <w:r>
        <w:t xml:space="preserve"> ori parchete de grad inferior.</w:t>
      </w:r>
    </w:p>
    <w:p w:rsidR="00172EC7" w:rsidP="00172EC7" w14:paraId="1421A912" w14:textId="77777777">
      <w:pPr>
        <w:ind w:firstLine="993"/>
        <w:jc w:val="both"/>
      </w:pPr>
      <w:r>
        <w:t xml:space="preserve">Acest text de lege era in vigoare la data depunerii cererii de numire in </w:t>
      </w:r>
      <w:r>
        <w:t>funcţia</w:t>
      </w:r>
      <w:r>
        <w:t xml:space="preserve"> de procuror si este in vigoare si in prezent, fiind obligatoriu pentru parat, chiar si in absenta unui act subsecvent de punere in aplicare.</w:t>
      </w:r>
    </w:p>
    <w:p w:rsidR="00172EC7" w:rsidP="00172EC7" w14:paraId="6A5FE47D" w14:textId="77777777">
      <w:pPr>
        <w:ind w:firstLine="993"/>
        <w:jc w:val="both"/>
      </w:pPr>
      <w:r>
        <w:t xml:space="preserve">Abrogarea de </w:t>
      </w:r>
      <w:r>
        <w:t>catre</w:t>
      </w:r>
      <w:r>
        <w:t xml:space="preserve"> parat a propriei sale metodologii aprobate prin Hotărârea ...../2019 nu </w:t>
      </w:r>
      <w:r>
        <w:t>scuteşte</w:t>
      </w:r>
      <w:r>
        <w:t xml:space="preserve"> paratul de aplicarea textului de lege in vigoare, cu atât mai mult cu cat norma legala nu prevede elaborarea de norme subsecvente de aplicare.</w:t>
      </w:r>
    </w:p>
    <w:p w:rsidR="00172EC7" w:rsidP="00172EC7" w14:paraId="7BCD7E27" w14:textId="77777777">
      <w:pPr>
        <w:ind w:firstLine="993"/>
        <w:jc w:val="both"/>
      </w:pPr>
      <w:r>
        <w:t xml:space="preserve">Mai mult, omisiunea paratului de a aproba o noua metodologie urmare abrogării vechii metodologii, ca justificare a nesoluționării cererii reclamantului, nu reprezintă decât o invocare a propriei culpe, întrucât numai paratul este abilitat sa adopte </w:t>
      </w:r>
      <w:r>
        <w:t>legislaţia</w:t>
      </w:r>
      <w:r>
        <w:t xml:space="preserve"> secundara, daca ar fi necesara, reclamantul neavând nicio </w:t>
      </w:r>
      <w:r>
        <w:t>atribuţie</w:t>
      </w:r>
      <w:r>
        <w:t xml:space="preserve"> legala si nici vreo putere in aceasta </w:t>
      </w:r>
      <w:r>
        <w:t>privinţa</w:t>
      </w:r>
      <w:r>
        <w:t>.</w:t>
      </w:r>
    </w:p>
    <w:p w:rsidR="00172EC7" w:rsidP="00172EC7" w14:paraId="156D89D8" w14:textId="77777777">
      <w:pPr>
        <w:ind w:firstLine="993"/>
        <w:jc w:val="both"/>
      </w:pPr>
      <w:r>
        <w:t xml:space="preserve">In concluzie, Adresa paratului nr. ...../2021 nu reprezintă un răspuns la cererea reclamantului de numire in </w:t>
      </w:r>
      <w:r>
        <w:t>funcţia</w:t>
      </w:r>
      <w:r>
        <w:t xml:space="preserve"> de procuror, ci un refuz expres de </w:t>
      </w:r>
      <w:r>
        <w:t>soluţionare</w:t>
      </w:r>
      <w:r>
        <w:t xml:space="preserve"> a cererii reclamantului, netemeinic si nelegal.</w:t>
      </w:r>
    </w:p>
    <w:p w:rsidR="00172EC7" w:rsidP="00172EC7" w14:paraId="264DD7B2" w14:textId="77777777">
      <w:pPr>
        <w:ind w:firstLine="993"/>
        <w:jc w:val="both"/>
      </w:pPr>
      <w:r>
        <w:t xml:space="preserve">Având in vedere cele mai sus </w:t>
      </w:r>
      <w:r>
        <w:t>menţionate</w:t>
      </w:r>
      <w:r>
        <w:t xml:space="preserve">, a solicitat admiterea cererii de chemare in judecata, sa se constate refuzul sau nejustificat de a răspunde unei cereri cu privire la un interes legitim si sa fie obligat paratul sa </w:t>
      </w:r>
      <w:r>
        <w:t>soluţioneze</w:t>
      </w:r>
      <w:r>
        <w:t xml:space="preserve"> cererea reclamantului de numire in </w:t>
      </w:r>
      <w:r>
        <w:t>funcţia</w:t>
      </w:r>
      <w:r>
        <w:t xml:space="preserve"> de procuror in conformitate cu prevederile art.33</w:t>
      </w:r>
      <w:r>
        <w:rPr>
          <w:rStyle w:val="Fontdeparagrafimplicit"/>
          <w:vertAlign w:val="superscript"/>
        </w:rPr>
        <w:t>1</w:t>
      </w:r>
      <w:r>
        <w:t xml:space="preserve"> din Legea nr.303/2004.</w:t>
      </w:r>
    </w:p>
    <w:p w:rsidR="00172EC7" w:rsidP="00172EC7" w14:paraId="1358924C" w14:textId="77777777">
      <w:pPr>
        <w:ind w:firstLine="993"/>
        <w:jc w:val="both"/>
      </w:pPr>
      <w:r>
        <w:t>În drept, au fost invocate prevederile art. art.2 alin. l lit. i), art.2 alin.2 si art.8 alin. l din Legea nr.554/2004, precum si art.33</w:t>
      </w:r>
      <w:r>
        <w:rPr>
          <w:rStyle w:val="Fontdeparagrafimplicit"/>
          <w:vertAlign w:val="superscript"/>
        </w:rPr>
        <w:t>1</w:t>
      </w:r>
      <w:r>
        <w:t xml:space="preserve"> din Legea nr.303/2004.</w:t>
      </w:r>
    </w:p>
    <w:p w:rsidR="00172EC7" w:rsidP="00172EC7" w14:paraId="47F11DCA" w14:textId="77777777">
      <w:pPr>
        <w:ind w:firstLine="993"/>
        <w:jc w:val="both"/>
      </w:pPr>
      <w:r>
        <w:rPr>
          <w:rStyle w:val="Fontdeparagrafimplicit"/>
          <w:b/>
          <w:i/>
        </w:rPr>
        <w:t>2. Prin întâmpinare formulată la data de 08.06.2021, pârâtul Consiliul Superior al Magistraturii</w:t>
      </w:r>
      <w:r>
        <w:t xml:space="preserve"> a solicitat respingerea ca neîntemeiată a cererii de chemare în judecată formulată de reclamantul A..........., pentru următoarele motive:</w:t>
      </w:r>
    </w:p>
    <w:p w:rsidR="00172EC7" w:rsidP="00172EC7" w14:paraId="0810A05C" w14:textId="77777777">
      <w:pPr>
        <w:ind w:firstLine="993"/>
        <w:jc w:val="both"/>
      </w:pPr>
      <w:r>
        <w:t xml:space="preserve">În cauză, contrar </w:t>
      </w:r>
      <w:r>
        <w:t>susţinerilor</w:t>
      </w:r>
      <w:r>
        <w:t xml:space="preserve"> reclamantului, nu există un refuz nejustificat emis cu exces de putere din partea pârâtului de a rezolva cererea formulată de acesta de numire în </w:t>
      </w:r>
      <w:r>
        <w:t>funcţia</w:t>
      </w:r>
      <w:r>
        <w:t xml:space="preserve"> de procuror în temeiul art. 33</w:t>
      </w:r>
      <w:r>
        <w:rPr>
          <w:rStyle w:val="Fontdeparagrafimplicit"/>
          <w:vertAlign w:val="superscript"/>
        </w:rPr>
        <w:t>1</w:t>
      </w:r>
      <w:r>
        <w:t xml:space="preserve"> din Legea nr. 303/2004, republicată, cu modificările </w:t>
      </w:r>
      <w:r>
        <w:t>şi</w:t>
      </w:r>
      <w:r>
        <w:t xml:space="preserve"> completările ulterioare.</w:t>
      </w:r>
    </w:p>
    <w:p w:rsidR="00172EC7" w:rsidP="00172EC7" w14:paraId="00E491F6" w14:textId="77777777">
      <w:pPr>
        <w:ind w:firstLine="993"/>
        <w:jc w:val="both"/>
      </w:pPr>
      <w:r>
        <w:t xml:space="preserve">Gestionarea resurselor umane în sistemul judiciar reprezintă atributul intimatului Consiliul Superior al Magistraturii, astfel încât ocuparea posturilor vacante trebuie să se raporteze la </w:t>
      </w:r>
      <w:r>
        <w:t>raţiunile</w:t>
      </w:r>
      <w:r>
        <w:t xml:space="preserve"> </w:t>
      </w:r>
      <w:r>
        <w:t>şi</w:t>
      </w:r>
      <w:r>
        <w:t xml:space="preserve"> </w:t>
      </w:r>
      <w:r>
        <w:t>necesităţile</w:t>
      </w:r>
      <w:r>
        <w:t xml:space="preserve"> sistemului judiciar, pentru evitarea provocării unor grave </w:t>
      </w:r>
      <w:r>
        <w:t>disfuncţionalităţi</w:t>
      </w:r>
      <w:r>
        <w:t xml:space="preserve"> în activitatea </w:t>
      </w:r>
      <w:r>
        <w:t>instanţelor</w:t>
      </w:r>
      <w:r>
        <w:t>.</w:t>
      </w:r>
    </w:p>
    <w:p w:rsidR="00172EC7" w:rsidP="00172EC7" w14:paraId="5BC0481B" w14:textId="77777777">
      <w:pPr>
        <w:ind w:firstLine="993"/>
        <w:jc w:val="both"/>
      </w:pPr>
      <w:r>
        <w:t xml:space="preserve">În acest context, luând în considerare ponderea posturilor vacante din totalul posturilor prevăzute în schema de personal a Ministerului Public </w:t>
      </w:r>
      <w:r>
        <w:t>şi</w:t>
      </w:r>
      <w:r>
        <w:t xml:space="preserve"> faptul că numirea în </w:t>
      </w:r>
      <w:r>
        <w:t>funcţia</w:t>
      </w:r>
      <w:r>
        <w:t xml:space="preserve"> de procuror în </w:t>
      </w:r>
      <w:r>
        <w:t>condiţiile</w:t>
      </w:r>
      <w:r>
        <w:t xml:space="preserve"> art. 33</w:t>
      </w:r>
      <w:r>
        <w:rPr>
          <w:rStyle w:val="Fontdeparagrafimplicit"/>
          <w:vertAlign w:val="superscript"/>
        </w:rPr>
        <w:t>1</w:t>
      </w:r>
      <w:r>
        <w:t xml:space="preserve"> din Legea nr. 303/2004 este o modalitate de admitere în profesie ca </w:t>
      </w:r>
      <w:r>
        <w:t>şi</w:t>
      </w:r>
      <w:r>
        <w:t xml:space="preserve"> concursul organizat în </w:t>
      </w:r>
      <w:r>
        <w:t>condiţiile</w:t>
      </w:r>
      <w:r>
        <w:t xml:space="preserve"> art. 33 din Legea nr. 303/2004, doar </w:t>
      </w:r>
      <w:r>
        <w:t>Secţia</w:t>
      </w:r>
      <w:r>
        <w:t xml:space="preserve"> pentru procurori apreciază asupra </w:t>
      </w:r>
      <w:r>
        <w:t>oportunităţii</w:t>
      </w:r>
      <w:r>
        <w:t xml:space="preserve"> organizării unei sesiuni de numire în </w:t>
      </w:r>
      <w:r>
        <w:t>condiţiile</w:t>
      </w:r>
      <w:r>
        <w:t xml:space="preserve"> acestui text de lege, aceasta neavând </w:t>
      </w:r>
      <w:r>
        <w:t>obligaţia</w:t>
      </w:r>
      <w:r>
        <w:t xml:space="preserve"> de a analiza cererile </w:t>
      </w:r>
      <w:r>
        <w:t>foştilor</w:t>
      </w:r>
      <w:r>
        <w:t xml:space="preserve"> </w:t>
      </w:r>
      <w:r>
        <w:t>magistraţi</w:t>
      </w:r>
      <w:r>
        <w:t xml:space="preserve"> în afara sesiunilor organizate în acest scop.</w:t>
      </w:r>
    </w:p>
    <w:p w:rsidR="00172EC7" w:rsidP="00172EC7" w14:paraId="7A9B276C" w14:textId="77777777">
      <w:pPr>
        <w:ind w:firstLine="993"/>
        <w:jc w:val="both"/>
      </w:pPr>
      <w:r>
        <w:t>Textul art. 33</w:t>
      </w:r>
      <w:r>
        <w:rPr>
          <w:rStyle w:val="Fontdeparagrafimplicit"/>
          <w:vertAlign w:val="superscript"/>
        </w:rPr>
        <w:t>1</w:t>
      </w:r>
      <w:r>
        <w:t xml:space="preserve"> din Legea nr. 303/2004 prevede doar </w:t>
      </w:r>
      <w:r>
        <w:t>vocaţia</w:t>
      </w:r>
      <w:r>
        <w:t xml:space="preserve"> </w:t>
      </w:r>
      <w:r>
        <w:t>foştilor</w:t>
      </w:r>
      <w:r>
        <w:t xml:space="preserve"> </w:t>
      </w:r>
      <w:r>
        <w:t>magistraţi</w:t>
      </w:r>
      <w:r>
        <w:t xml:space="preserve"> de a fi </w:t>
      </w:r>
      <w:r>
        <w:t>numiţi</w:t>
      </w:r>
      <w:r>
        <w:t xml:space="preserve">, fără concurs sau examen, în </w:t>
      </w:r>
      <w:r>
        <w:t>funcţiile</w:t>
      </w:r>
      <w:r>
        <w:t xml:space="preserve"> vacante de judecător sau procuror, iar aspectele organizatorice privind numirea în </w:t>
      </w:r>
      <w:r>
        <w:t>funcţie</w:t>
      </w:r>
      <w:r>
        <w:t xml:space="preserve"> trebuie detaliate prin lege organică </w:t>
      </w:r>
      <w:r>
        <w:t>faţă</w:t>
      </w:r>
      <w:r>
        <w:t xml:space="preserve"> de faptul că art. 33</w:t>
      </w:r>
      <w:r>
        <w:rPr>
          <w:rStyle w:val="Fontdeparagrafimplicit"/>
          <w:vertAlign w:val="superscript"/>
        </w:rPr>
        <w:t>1</w:t>
      </w:r>
      <w:r>
        <w:t xml:space="preserve"> din Legea nr. 303/2004 este o modalitate de intrare în profesie alături de admiterea la Institutul </w:t>
      </w:r>
      <w:r>
        <w:t>Naţional</w:t>
      </w:r>
      <w:r>
        <w:t xml:space="preserve"> al Magistraturii, admiterea în magistratură sau reîncadrare în </w:t>
      </w:r>
      <w:r>
        <w:t>funcţie</w:t>
      </w:r>
      <w:r>
        <w:t xml:space="preserve"> conform art. 83 alin. (3) din Legea nr. 303/2004.</w:t>
      </w:r>
    </w:p>
    <w:p w:rsidR="00172EC7" w:rsidP="00172EC7" w14:paraId="2D4449F4" w14:textId="77777777">
      <w:pPr>
        <w:ind w:firstLine="993"/>
        <w:jc w:val="both"/>
      </w:pPr>
      <w:r>
        <w:t xml:space="preserve">Prin Decizia nr. 121 din 10.03.2020, Curtea Constituțională a arătat că „pentru înlăturarea viciului de </w:t>
      </w:r>
      <w:r>
        <w:t>neconstituţionalitate</w:t>
      </w:r>
      <w:r>
        <w:t xml:space="preserve">, aspectele </w:t>
      </w:r>
      <w:r>
        <w:t>esenţiale</w:t>
      </w:r>
      <w:r>
        <w:t xml:space="preserve"> privind organizarea </w:t>
      </w:r>
      <w:r>
        <w:t>şi</w:t>
      </w:r>
      <w:r>
        <w:t xml:space="preserve"> </w:t>
      </w:r>
      <w:r>
        <w:t>desfăşurarea</w:t>
      </w:r>
      <w:r>
        <w:t xml:space="preserve"> concursului pentru ocuparea posturilor de judecător </w:t>
      </w:r>
      <w:r>
        <w:t>şi</w:t>
      </w:r>
      <w:r>
        <w:t xml:space="preserve"> procuror - cum sunt regulile generale privind constituirea comisiilor de concurs, tipul etapelor </w:t>
      </w:r>
      <w:r>
        <w:t>şi</w:t>
      </w:r>
      <w:r>
        <w:t xml:space="preserve"> probelor de concurs, modalitatea de stabilire a rezultatelor </w:t>
      </w:r>
      <w:r>
        <w:t>şi</w:t>
      </w:r>
      <w:r>
        <w:t xml:space="preserve"> posibilitatea de contestare a fiecărei probe - trebuie să fie reglementate prin lege organică, urmând ca regulile specifice acestor proceduri să fie explicitate </w:t>
      </w:r>
      <w:r>
        <w:t>şi</w:t>
      </w:r>
      <w:r>
        <w:t xml:space="preserve"> detaliate prin regulament al Consiliului Superior al Magistraturii".</w:t>
      </w:r>
    </w:p>
    <w:p w:rsidR="00172EC7" w:rsidP="00172EC7" w14:paraId="2FD5E8E3" w14:textId="77777777">
      <w:pPr>
        <w:ind w:firstLine="993"/>
        <w:jc w:val="both"/>
      </w:pPr>
      <w:r>
        <w:t xml:space="preserve">Prin </w:t>
      </w:r>
      <w:r>
        <w:t>aceeaşi</w:t>
      </w:r>
      <w:r>
        <w:t xml:space="preserve"> decizie, Curtea </w:t>
      </w:r>
      <w:r>
        <w:t>Constituţională</w:t>
      </w:r>
      <w:r>
        <w:t xml:space="preserve"> a mai arătat că: „De asemenea, Curtea observă că, pentru respectarea prevederilor </w:t>
      </w:r>
      <w:r>
        <w:t>constituţionale</w:t>
      </w:r>
      <w:r>
        <w:t xml:space="preserve">, legiuitorul trebuie să completeze </w:t>
      </w:r>
      <w:r>
        <w:t>dispoziţiile</w:t>
      </w:r>
      <w:r>
        <w:t xml:space="preserve"> Legii nr. 303/2004 nu numai cu aspectele </w:t>
      </w:r>
      <w:r>
        <w:t>esenţiale</w:t>
      </w:r>
      <w:r>
        <w:t xml:space="preserve"> ale concursului de admitere în magistratură, organizat potrivit art. 33 din lege, ci </w:t>
      </w:r>
      <w:r>
        <w:t>şi</w:t>
      </w:r>
      <w:r>
        <w:t xml:space="preserve"> cu aspectele </w:t>
      </w:r>
      <w:r>
        <w:t>esenţiale</w:t>
      </w:r>
      <w:r>
        <w:t xml:space="preserve"> ce </w:t>
      </w:r>
      <w:r>
        <w:t>ţin</w:t>
      </w:r>
      <w:r>
        <w:t xml:space="preserve"> de ocuparea posturilor de judecător sau procuror prin celelalte </w:t>
      </w:r>
      <w:r>
        <w:t>modalităţi</w:t>
      </w:r>
      <w:r>
        <w:t xml:space="preserve"> de admitere în magistratură".</w:t>
      </w:r>
    </w:p>
    <w:p w:rsidR="00172EC7" w:rsidP="00172EC7" w14:paraId="3C541EBD" w14:textId="77777777">
      <w:pPr>
        <w:ind w:firstLine="993"/>
        <w:jc w:val="both"/>
      </w:pPr>
      <w:r>
        <w:t xml:space="preserve">Totodată, prin Decizia nr. 454 din 24.06.2020, Curtea </w:t>
      </w:r>
      <w:r>
        <w:t>Constituţională</w:t>
      </w:r>
      <w:r>
        <w:t xml:space="preserve"> a arătat următoarele: „Cu privire la statutul judecătorilor </w:t>
      </w:r>
      <w:r>
        <w:t>şi</w:t>
      </w:r>
      <w:r>
        <w:t xml:space="preserve"> procurorilor, Curtea a constatat că acesta este consacrat la nivel </w:t>
      </w:r>
      <w:r>
        <w:t>constituţional</w:t>
      </w:r>
      <w:r>
        <w:t xml:space="preserve"> în art. 125-Statutul judecătorilor </w:t>
      </w:r>
      <w:r>
        <w:t>şi</w:t>
      </w:r>
      <w:r>
        <w:t xml:space="preserve"> art. 132-Statutul procurorilor, elementele </w:t>
      </w:r>
      <w:r>
        <w:t>esenţiale</w:t>
      </w:r>
      <w:r>
        <w:t xml:space="preserve"> referitoare la încheierea, executarea, modificarea, suspendarea </w:t>
      </w:r>
      <w:r>
        <w:t>şi</w:t>
      </w:r>
      <w:r>
        <w:t xml:space="preserve"> încetarea raportului juridic de muncă al acestora trebuie reglementate prin lege, iar nu printr-un act cu </w:t>
      </w:r>
      <w:r>
        <w:t>forţă</w:t>
      </w:r>
      <w:r>
        <w:t xml:space="preserve"> juridică inferioară acesteia. Astfel, atât </w:t>
      </w:r>
      <w:r>
        <w:t>condiţiile</w:t>
      </w:r>
      <w:r>
        <w:t xml:space="preserve"> </w:t>
      </w:r>
      <w:r>
        <w:t>detaşării</w:t>
      </w:r>
      <w:r>
        <w:t xml:space="preserve">, cât </w:t>
      </w:r>
      <w:r>
        <w:t>şi</w:t>
      </w:r>
      <w:r>
        <w:t xml:space="preserve"> </w:t>
      </w:r>
      <w:r>
        <w:t>condiţiile</w:t>
      </w:r>
      <w:r>
        <w:t xml:space="preserve"> încetării acesteia trebuie prevăzute expres în statutul judecătorilor </w:t>
      </w:r>
      <w:r>
        <w:t>şi</w:t>
      </w:r>
      <w:r>
        <w:t xml:space="preserve"> procurorilor, </w:t>
      </w:r>
      <w:r>
        <w:t>şi</w:t>
      </w:r>
      <w:r>
        <w:t xml:space="preserve"> anume în Legea nr. 303/2004 [Decizia nr. 588 din 21 septembrie 2017, publicată în Monitorul Oficial al României, Partea I, nr. 835 din 20 octombrie 2017, paragraful 23].</w:t>
      </w:r>
    </w:p>
    <w:p w:rsidR="00172EC7" w:rsidP="00172EC7" w14:paraId="022BFD13" w14:textId="77777777">
      <w:pPr>
        <w:ind w:firstLine="993"/>
        <w:jc w:val="both"/>
      </w:pPr>
      <w:r>
        <w:t xml:space="preserve">26. Mai mult, raportat la cauza de </w:t>
      </w:r>
      <w:r>
        <w:t>faţă</w:t>
      </w:r>
      <w:r>
        <w:t xml:space="preserve">, Curtea </w:t>
      </w:r>
      <w:r>
        <w:t>reţine</w:t>
      </w:r>
      <w:r>
        <w:t xml:space="preserve"> un element specific al acesteia, </w:t>
      </w:r>
      <w:r>
        <w:t>şi</w:t>
      </w:r>
      <w:r>
        <w:t xml:space="preserve"> anume că </w:t>
      </w:r>
      <w:r>
        <w:t>însuşi</w:t>
      </w:r>
      <w:r>
        <w:t xml:space="preserve"> art. 125 alin. (2) din </w:t>
      </w:r>
      <w:r>
        <w:t>Constituţie</w:t>
      </w:r>
      <w:r>
        <w:t xml:space="preserve"> </w:t>
      </w:r>
      <w:r>
        <w:t>stabileşte</w:t>
      </w:r>
      <w:r>
        <w:t xml:space="preserve"> că "Propunerile de numire, precum </w:t>
      </w:r>
      <w:r>
        <w:t>şi</w:t>
      </w:r>
      <w:r>
        <w:t xml:space="preserve"> promovarea, transferarea </w:t>
      </w:r>
      <w:r>
        <w:t>şi</w:t>
      </w:r>
      <w:r>
        <w:t xml:space="preserve"> </w:t>
      </w:r>
      <w:r>
        <w:t>sancţionarea</w:t>
      </w:r>
      <w:r>
        <w:t xml:space="preserve"> judecătorilor sunt de </w:t>
      </w:r>
      <w:r>
        <w:t>competenţa</w:t>
      </w:r>
      <w:r>
        <w:t xml:space="preserve"> Consiliului Superior al Magistraturii, în </w:t>
      </w:r>
      <w:r>
        <w:t>condiţiile</w:t>
      </w:r>
      <w:r>
        <w:t xml:space="preserve"> legii sale organice". Astfel, textul </w:t>
      </w:r>
      <w:r>
        <w:t>constituţional</w:t>
      </w:r>
      <w:r>
        <w:t xml:space="preserve"> reglementează </w:t>
      </w:r>
      <w:r>
        <w:t>expressis</w:t>
      </w:r>
      <w:r>
        <w:t xml:space="preserve"> </w:t>
      </w:r>
      <w:r>
        <w:t>verbis</w:t>
      </w:r>
      <w:r>
        <w:t xml:space="preserve"> că transferarea judecătorilor se realizează de către Consiliul Superior al Magistraturii, indicând, </w:t>
      </w:r>
      <w:r>
        <w:t>aşadar</w:t>
      </w:r>
      <w:r>
        <w:t xml:space="preserve">, atât autoritatea competentă să transfere judecătorii, cât </w:t>
      </w:r>
      <w:r>
        <w:t>şi</w:t>
      </w:r>
      <w:r>
        <w:t xml:space="preserve"> natura legii prin care se realizează transferarea judecătorilor, respectiv în </w:t>
      </w:r>
      <w:r>
        <w:t>condiţiile</w:t>
      </w:r>
      <w:r>
        <w:t xml:space="preserve"> legii organice a Consiliului Superior al Magistraturii, ceea ce înseamnă că această lege este cea care reglementează procedura prin care se realizează transferul. Prin urmare, legiuitorul ar fi trebuit să reglementeze, pe de o parte, </w:t>
      </w:r>
      <w:r>
        <w:t>instituţia</w:t>
      </w:r>
      <w:r>
        <w:t xml:space="preserve"> transferului în Legea nr. 303/2004, cu indicarea criteriilor care trebuie să fie îndeplinite, </w:t>
      </w:r>
      <w:r>
        <w:t>şi</w:t>
      </w:r>
      <w:r>
        <w:t>, pe de altă parte, procedura realizării acestuia în Legea nr. 317/2004.</w:t>
      </w:r>
    </w:p>
    <w:p w:rsidR="00172EC7" w:rsidP="00172EC7" w14:paraId="6C986F28" w14:textId="77777777">
      <w:pPr>
        <w:ind w:firstLine="993"/>
        <w:jc w:val="both"/>
      </w:pPr>
      <w:r>
        <w:t xml:space="preserve">27. Având în vedere cele expuse, Curtea constată că </w:t>
      </w:r>
      <w:r>
        <w:t>soluţia</w:t>
      </w:r>
      <w:r>
        <w:t xml:space="preserve"> legislativă cuprinsă în art. 60 din Legea nr. 303/2004, care nu precizează </w:t>
      </w:r>
      <w:r>
        <w:t>condiţiile</w:t>
      </w:r>
      <w:r>
        <w:t xml:space="preserve"> transferării judecătorilor, încalcă art. 125 alin. (2) din </w:t>
      </w:r>
      <w:r>
        <w:t>Constituţie</w:t>
      </w:r>
      <w:r>
        <w:t>".</w:t>
      </w:r>
    </w:p>
    <w:p w:rsidR="00172EC7" w:rsidP="00172EC7" w14:paraId="2EED46A6" w14:textId="77777777">
      <w:pPr>
        <w:ind w:firstLine="993"/>
        <w:jc w:val="both"/>
      </w:pPr>
      <w:r>
        <w:t>Faţă</w:t>
      </w:r>
      <w:r>
        <w:t xml:space="preserve"> de considerentele expuse de Curtea </w:t>
      </w:r>
      <w:r>
        <w:t>Constituţională</w:t>
      </w:r>
      <w:r>
        <w:t xml:space="preserve"> în cele două decizii </w:t>
      </w:r>
      <w:r>
        <w:t>menţionate</w:t>
      </w:r>
      <w:r>
        <w:t xml:space="preserve">, prin Hotărârea </w:t>
      </w:r>
      <w:r>
        <w:t>Secţiei</w:t>
      </w:r>
      <w:r>
        <w:t xml:space="preserve"> pentru procurori nr. ....... din 03.09.2020 a fost abrogată Hotărârea nr. ...... din 01.04.2019 a </w:t>
      </w:r>
      <w:r>
        <w:t>Secţiei</w:t>
      </w:r>
      <w:r>
        <w:t xml:space="preserve"> pentru procurori din cadrul Consiliului Superior al Magistraturii, prin care fusese aprobată Metodologia privind numirea în </w:t>
      </w:r>
      <w:r>
        <w:t>funcţia</w:t>
      </w:r>
      <w:r>
        <w:t xml:space="preserve"> de procuror în </w:t>
      </w:r>
      <w:r>
        <w:t>condiţiile</w:t>
      </w:r>
      <w:r>
        <w:t xml:space="preserve"> art. 331 din Legea nr. 303/2004 privind statutul procurorilor </w:t>
      </w:r>
      <w:r>
        <w:t>şi</w:t>
      </w:r>
      <w:r>
        <w:t xml:space="preserve"> procurorilor, republicată, cu modificările </w:t>
      </w:r>
      <w:r>
        <w:t>şi</w:t>
      </w:r>
      <w:r>
        <w:t xml:space="preserve"> completările ulterioare, precum </w:t>
      </w:r>
      <w:r>
        <w:t>şi</w:t>
      </w:r>
      <w:r>
        <w:t xml:space="preserve"> reîncadrarea în </w:t>
      </w:r>
      <w:r>
        <w:t>funcţia</w:t>
      </w:r>
      <w:r>
        <w:t xml:space="preserve"> de procuror în </w:t>
      </w:r>
      <w:r>
        <w:t>condiţiile</w:t>
      </w:r>
      <w:r>
        <w:t xml:space="preserve"> art. 83 alin. (3) din </w:t>
      </w:r>
      <w:r>
        <w:t>aceeaşi</w:t>
      </w:r>
      <w:r>
        <w:t xml:space="preserve"> lege, urmând ca aspectele </w:t>
      </w:r>
      <w:r>
        <w:t>esenţiale</w:t>
      </w:r>
      <w:r>
        <w:t xml:space="preserve"> ce </w:t>
      </w:r>
      <w:r>
        <w:t>ţin</w:t>
      </w:r>
      <w:r>
        <w:t xml:space="preserve"> de ocuparea posturilor de procuror prin această modalitate </w:t>
      </w:r>
      <w:r>
        <w:t>excepţională</w:t>
      </w:r>
      <w:r>
        <w:t xml:space="preserve"> de admitere în magistratură să fie stabilite de legiuitor prin lege organică.</w:t>
      </w:r>
    </w:p>
    <w:p w:rsidR="00172EC7" w:rsidP="00172EC7" w14:paraId="5FBC151C" w14:textId="77777777">
      <w:pPr>
        <w:ind w:firstLine="993"/>
        <w:jc w:val="both"/>
      </w:pPr>
      <w:r>
        <w:t xml:space="preserve">Contrar </w:t>
      </w:r>
      <w:r>
        <w:t>susţinerilor</w:t>
      </w:r>
      <w:r>
        <w:t xml:space="preserve"> reclamantului, acestuia i s-a răspuns la cererea sa de numire în </w:t>
      </w:r>
      <w:r>
        <w:t>funcţia</w:t>
      </w:r>
      <w:r>
        <w:t xml:space="preserve"> de procuror în </w:t>
      </w:r>
      <w:r>
        <w:t>condiţiile</w:t>
      </w:r>
      <w:r>
        <w:t xml:space="preserve"> art. 33</w:t>
      </w:r>
      <w:r>
        <w:rPr>
          <w:rStyle w:val="Fontdeparagrafimplicit"/>
          <w:vertAlign w:val="superscript"/>
        </w:rPr>
        <w:t>1</w:t>
      </w:r>
      <w:r>
        <w:t xml:space="preserve"> din Legea nr. 303/2004 prin adresa nr. ..../2021 emisă de </w:t>
      </w:r>
      <w:r>
        <w:t>Direcţia</w:t>
      </w:r>
      <w:r>
        <w:t xml:space="preserve"> Resurse Umane </w:t>
      </w:r>
      <w:r>
        <w:t>şi</w:t>
      </w:r>
      <w:r>
        <w:t xml:space="preserve"> Organizare - Serviciul de Resurse Umane pentru Parchete, iar faptul că acesta este </w:t>
      </w:r>
      <w:r>
        <w:t>nemulţumit</w:t>
      </w:r>
      <w:r>
        <w:t xml:space="preserve"> de </w:t>
      </w:r>
      <w:r>
        <w:t>conţinutul</w:t>
      </w:r>
      <w:r>
        <w:t xml:space="preserve"> răspunsului nu înseamnă că există un refuz nejustificat emis cu exces de putere de a </w:t>
      </w:r>
      <w:r>
        <w:t>soluţiona</w:t>
      </w:r>
      <w:r>
        <w:t xml:space="preserve"> o cerere cu privire la vreun drept al reclamantului, în </w:t>
      </w:r>
      <w:r>
        <w:t>condiţiile</w:t>
      </w:r>
      <w:r>
        <w:t xml:space="preserve"> în care, </w:t>
      </w:r>
      <w:r>
        <w:t>aşa</w:t>
      </w:r>
      <w:r>
        <w:t xml:space="preserve"> cum am arătat mai sus, s-a argumentat prin adresa de răspuns faptul că cererile de numire în </w:t>
      </w:r>
      <w:r>
        <w:t>condiţiile</w:t>
      </w:r>
      <w:r>
        <w:t xml:space="preserve"> art. 33</w:t>
      </w:r>
      <w:r>
        <w:rPr>
          <w:rStyle w:val="Fontdeparagrafimplicit"/>
          <w:vertAlign w:val="superscript"/>
        </w:rPr>
        <w:t>1</w:t>
      </w:r>
      <w:r>
        <w:t xml:space="preserve"> din Legea nr. 303/2004 vor fi analizate după publicarea </w:t>
      </w:r>
      <w:r>
        <w:t>anunţului</w:t>
      </w:r>
      <w:r>
        <w:t xml:space="preserve"> privind </w:t>
      </w:r>
      <w:r>
        <w:t>declanşarea</w:t>
      </w:r>
      <w:r>
        <w:t xml:space="preserve"> acestei procedurii în </w:t>
      </w:r>
      <w:r>
        <w:t>condiţiile</w:t>
      </w:r>
      <w:r>
        <w:t xml:space="preserve"> legii.</w:t>
      </w:r>
    </w:p>
    <w:p w:rsidR="00172EC7" w:rsidP="00172EC7" w14:paraId="4D82C5F6" w14:textId="77777777">
      <w:pPr>
        <w:ind w:firstLine="993"/>
        <w:jc w:val="both"/>
      </w:pPr>
      <w:r>
        <w:t xml:space="preserve">Având în vedere considerentele arătate, precum </w:t>
      </w:r>
      <w:r>
        <w:t>şi</w:t>
      </w:r>
      <w:r>
        <w:t xml:space="preserve"> faptul că, în cauză, nu există un refuz nejustificat din partea pârâtului de a </w:t>
      </w:r>
      <w:r>
        <w:t>soluţiona</w:t>
      </w:r>
      <w:r>
        <w:t xml:space="preserve"> cererea reclamantului de numire în </w:t>
      </w:r>
      <w:r>
        <w:t>funcţia</w:t>
      </w:r>
      <w:r>
        <w:t xml:space="preserve"> de procuror în </w:t>
      </w:r>
      <w:r>
        <w:t>condiţiile</w:t>
      </w:r>
      <w:r>
        <w:t xml:space="preserve"> art. 33</w:t>
      </w:r>
      <w:r>
        <w:rPr>
          <w:rStyle w:val="Fontdeparagrafimplicit"/>
          <w:vertAlign w:val="superscript"/>
        </w:rPr>
        <w:t>1</w:t>
      </w:r>
      <w:r>
        <w:t xml:space="preserve"> din Legea nr. 303/2004, pârâtul a solicitat respingerea ca neîntemeiată a cererii formulată de reclamant.</w:t>
      </w:r>
    </w:p>
    <w:p w:rsidR="00172EC7" w:rsidP="00172EC7" w14:paraId="2CF152B3" w14:textId="77777777">
      <w:pPr>
        <w:ind w:firstLine="993"/>
        <w:jc w:val="both"/>
        <w:rPr>
          <w:rStyle w:val="Fontdeparagrafimplicit"/>
          <w:b/>
          <w:i/>
        </w:rPr>
      </w:pPr>
      <w:r>
        <w:rPr>
          <w:rStyle w:val="Fontdeparagrafimplicit"/>
          <w:b/>
          <w:i/>
        </w:rPr>
        <w:t>3. Aspecte procesuale</w:t>
      </w:r>
    </w:p>
    <w:p w:rsidR="00172EC7" w:rsidP="00172EC7" w14:paraId="40FE58D2" w14:textId="77777777">
      <w:pPr>
        <w:ind w:firstLine="993"/>
        <w:jc w:val="both"/>
      </w:pPr>
      <w:r>
        <w:t xml:space="preserve">În temeiul </w:t>
      </w:r>
      <w:r>
        <w:t>disp</w:t>
      </w:r>
      <w:r>
        <w:t xml:space="preserve">. art. 258 rap. la art. 255 </w:t>
      </w:r>
      <w:r>
        <w:t>C.pr.civ</w:t>
      </w:r>
      <w:r>
        <w:t xml:space="preserve">., a fost </w:t>
      </w:r>
      <w:r>
        <w:t>încuviinţată</w:t>
      </w:r>
      <w:r>
        <w:t xml:space="preserve"> proba cu înscrisuri ca fiind pertinentă, concludentă </w:t>
      </w:r>
      <w:r>
        <w:t>şi</w:t>
      </w:r>
      <w:r>
        <w:t xml:space="preserve"> utilă </w:t>
      </w:r>
      <w:r>
        <w:t>soluţionării</w:t>
      </w:r>
      <w:r>
        <w:t xml:space="preserve"> cauzei.</w:t>
      </w:r>
    </w:p>
    <w:p w:rsidR="00172EC7" w:rsidP="00172EC7" w14:paraId="78A2482D" w14:textId="77777777">
      <w:pPr>
        <w:ind w:firstLine="993"/>
        <w:jc w:val="both"/>
        <w:rPr>
          <w:rStyle w:val="Fontdeparagrafimplicit"/>
          <w:b/>
          <w:i/>
        </w:rPr>
      </w:pPr>
      <w:r>
        <w:rPr>
          <w:rStyle w:val="Fontdeparagrafimplicit"/>
          <w:b/>
          <w:i/>
        </w:rPr>
        <w:t>4. Analizând actele dosarului, Curtea constată următoarele:</w:t>
      </w:r>
    </w:p>
    <w:p w:rsidR="00172EC7" w:rsidP="00172EC7" w14:paraId="04B7E907" w14:textId="77777777">
      <w:pPr>
        <w:ind w:firstLine="993"/>
        <w:jc w:val="both"/>
      </w:pPr>
      <w:r>
        <w:t xml:space="preserve">Prin cerere adresată Consiliului Superior al Magistraturii reclamantul A............ a solicitat numirea în </w:t>
      </w:r>
      <w:r>
        <w:t>funcţia</w:t>
      </w:r>
      <w:r>
        <w:t xml:space="preserve"> de procuror la Parchetul de pe lângă Judecătoria C...... sau la Parchetul de pe lângă Judecătoria P............, în principal, iar, în subsidiar, la orice unitate de parchet de pe lângă judecătorie care avea în schemă posturi neocupate de procuror la data de 12.01.2021, în temeiul art. 33</w:t>
      </w:r>
      <w:r>
        <w:rPr>
          <w:rStyle w:val="Fontdeparagrafimplicit"/>
          <w:vertAlign w:val="superscript"/>
        </w:rPr>
        <w:t>1</w:t>
      </w:r>
      <w:r>
        <w:t xml:space="preserve"> din Legea nr. 303/2004, </w:t>
      </w:r>
      <w:r>
        <w:t>menţionând</w:t>
      </w:r>
      <w:r>
        <w:t xml:space="preserve"> că </w:t>
      </w:r>
      <w:r>
        <w:t>îndeplineşte</w:t>
      </w:r>
      <w:r>
        <w:t xml:space="preserve"> toate </w:t>
      </w:r>
      <w:r>
        <w:t>cerinţele</w:t>
      </w:r>
      <w:r>
        <w:t xml:space="preserve"> legale pentru această numire (f. 7).</w:t>
      </w:r>
    </w:p>
    <w:p w:rsidR="00172EC7" w:rsidP="00172EC7" w14:paraId="1E735CA1" w14:textId="77777777">
      <w:pPr>
        <w:ind w:firstLine="993"/>
        <w:jc w:val="both"/>
      </w:pPr>
      <w:r>
        <w:t xml:space="preserve">Prin adresa nr. ....../24.02.2021 emisă de </w:t>
      </w:r>
      <w:r>
        <w:t>Direcţia</w:t>
      </w:r>
      <w:r>
        <w:t xml:space="preserve"> Resurse Umane </w:t>
      </w:r>
      <w:r>
        <w:t>şi</w:t>
      </w:r>
      <w:r>
        <w:t xml:space="preserve"> Organizare - Serviciul de Resurse Umane pentru Parchete, i s-a comunicat reclamantului faptul că prin Hotărârea </w:t>
      </w:r>
      <w:r>
        <w:t>Secţiei</w:t>
      </w:r>
      <w:r>
        <w:t xml:space="preserve"> pentru procurori nr. ........./03.09.2020 a fost abrogată Hotărârea nr. ...../2019 a </w:t>
      </w:r>
      <w:r>
        <w:t>Secţiei</w:t>
      </w:r>
      <w:r>
        <w:t xml:space="preserve"> pentru procurori, prin care fusese aprobată Metodologia privind numirea în </w:t>
      </w:r>
      <w:r>
        <w:t>funcţia</w:t>
      </w:r>
      <w:r>
        <w:t xml:space="preserve"> de procuror în </w:t>
      </w:r>
      <w:r>
        <w:t>condiţiile</w:t>
      </w:r>
      <w:r>
        <w:t xml:space="preserve"> art. 33</w:t>
      </w:r>
      <w:r>
        <w:rPr>
          <w:rStyle w:val="Fontdeparagrafimplicit"/>
          <w:vertAlign w:val="superscript"/>
        </w:rPr>
        <w:t>1</w:t>
      </w:r>
      <w:r>
        <w:t xml:space="preserve"> din Legea nr. 303/2004 privind statutul procurorilor </w:t>
      </w:r>
      <w:r>
        <w:t>şi</w:t>
      </w:r>
      <w:r>
        <w:t xml:space="preserve"> procurorilor, republicată, cu modificările </w:t>
      </w:r>
      <w:r>
        <w:t>şi</w:t>
      </w:r>
      <w:r>
        <w:t xml:space="preserve"> completările ulterioare, precum </w:t>
      </w:r>
      <w:r>
        <w:t>şi</w:t>
      </w:r>
      <w:r>
        <w:t xml:space="preserve"> reîncadrarea în </w:t>
      </w:r>
      <w:r>
        <w:t>funcţia</w:t>
      </w:r>
      <w:r>
        <w:t xml:space="preserve"> de procuror în </w:t>
      </w:r>
      <w:r>
        <w:t>condiţiile</w:t>
      </w:r>
      <w:r>
        <w:t xml:space="preserve"> art. 83 alin. (3) din </w:t>
      </w:r>
      <w:r>
        <w:t>aceeaşi</w:t>
      </w:r>
      <w:r>
        <w:t xml:space="preserve"> lege, dar </w:t>
      </w:r>
      <w:r>
        <w:t>şi</w:t>
      </w:r>
      <w:r>
        <w:t xml:space="preserve"> că până la momentul emiterii adresei, </w:t>
      </w:r>
      <w:r>
        <w:t>Secţia</w:t>
      </w:r>
      <w:r>
        <w:t xml:space="preserve"> pentru procurori nu a </w:t>
      </w:r>
      <w:r>
        <w:t>declanşat</w:t>
      </w:r>
      <w:r>
        <w:t xml:space="preserve"> o sesiune de numire în </w:t>
      </w:r>
      <w:r>
        <w:t>funcţia</w:t>
      </w:r>
      <w:r>
        <w:t xml:space="preserve"> de procuror, fără concurs sau examen, urmând ca cererile să fie analizate după publicarea </w:t>
      </w:r>
      <w:r>
        <w:t>anunţului</w:t>
      </w:r>
      <w:r>
        <w:t xml:space="preserve"> procedurii mai sus </w:t>
      </w:r>
      <w:r>
        <w:t>menţionate</w:t>
      </w:r>
      <w:r>
        <w:t xml:space="preserve"> (f. 8).</w:t>
      </w:r>
    </w:p>
    <w:p w:rsidR="00172EC7" w:rsidP="00172EC7" w14:paraId="4AB550F9" w14:textId="77777777">
      <w:pPr>
        <w:ind w:firstLine="993"/>
        <w:jc w:val="both"/>
      </w:pPr>
      <w:r>
        <w:t xml:space="preserve">Pe calea prezentului demers judiciar, reclamantul solicită cenzurarea acestui răspuns pe care îl consideră nejustificat </w:t>
      </w:r>
      <w:r>
        <w:t>şi</w:t>
      </w:r>
      <w:r>
        <w:t xml:space="preserve"> obligarea pârâtului la </w:t>
      </w:r>
      <w:r>
        <w:t>soluţionarea</w:t>
      </w:r>
      <w:r>
        <w:t xml:space="preserve"> cererii de numire în </w:t>
      </w:r>
      <w:r>
        <w:t>funcţia</w:t>
      </w:r>
      <w:r>
        <w:t xml:space="preserve"> de procuror conform art. 33</w:t>
      </w:r>
      <w:r>
        <w:rPr>
          <w:rStyle w:val="Fontdeparagrafimplicit"/>
          <w:vertAlign w:val="superscript"/>
        </w:rPr>
        <w:t>1</w:t>
      </w:r>
      <w:r>
        <w:t xml:space="preserve"> din Legea nr. 303/2004, invocând în drept prevederile art. 2 alin. 1 lit. i) din Legea nr. 554/2004.</w:t>
      </w:r>
    </w:p>
    <w:p w:rsidR="00172EC7" w:rsidP="00172EC7" w14:paraId="28F03B0C" w14:textId="77777777">
      <w:pPr>
        <w:ind w:firstLine="993"/>
        <w:jc w:val="both"/>
      </w:pPr>
      <w:r>
        <w:t xml:space="preserve">În drept, Curtea va </w:t>
      </w:r>
      <w:r>
        <w:t>reţine</w:t>
      </w:r>
      <w:r>
        <w:t xml:space="preserve"> următoarele prevederi ale Legii contenciosului administrativ nr. 554/2004:</w:t>
      </w:r>
    </w:p>
    <w:p w:rsidR="00172EC7" w:rsidP="00172EC7" w14:paraId="231605FD" w14:textId="77777777">
      <w:pPr>
        <w:ind w:firstLine="993"/>
        <w:jc w:val="both"/>
        <w:rPr>
          <w:rStyle w:val="slitbdy"/>
          <w:i/>
        </w:rPr>
      </w:pPr>
      <w:r>
        <w:rPr>
          <w:rStyle w:val="spar2"/>
        </w:rPr>
        <w:t xml:space="preserve">- art. 2 alin. 1 – </w:t>
      </w:r>
      <w:r>
        <w:rPr>
          <w:rStyle w:val="spar2"/>
          <w:i/>
        </w:rPr>
        <w:t>„</w:t>
      </w:r>
      <w:r>
        <w:rPr>
          <w:rStyle w:val="salnbdy"/>
          <w:i/>
        </w:rPr>
        <w:t>În înțelesul prezentei legi, termenii și expresiile de mai jos au următoarele semnificații: …</w:t>
      </w:r>
      <w:r>
        <w:rPr>
          <w:rStyle w:val="Bodytext3"/>
          <w:i/>
          <w:sz w:val="24"/>
        </w:rPr>
        <w:t xml:space="preserve"> </w:t>
      </w:r>
      <w:r>
        <w:rPr>
          <w:rStyle w:val="slitttl2"/>
          <w:b w:val="0"/>
          <w:i/>
        </w:rPr>
        <w:t>i)</w:t>
      </w:r>
      <w:r>
        <w:rPr>
          <w:rStyle w:val="slit2"/>
          <w:i/>
        </w:rPr>
        <w:t xml:space="preserve"> </w:t>
      </w:r>
      <w:r>
        <w:rPr>
          <w:rStyle w:val="slitbdy"/>
          <w:i/>
        </w:rPr>
        <w:t xml:space="preserve">refuz nejustificat de a soluționa o cerere - exprimarea explicită, cu exces de putere, a voinței de a nu rezolva cererea unei persoane; este asimilată refuzului nejustificat și nepunerea în executare a actului administrativ emis ca urmare a soluționării favorabile a cererii sau, după caz, a plângerii prealabile; </w:t>
      </w:r>
      <w:r>
        <w:rPr>
          <w:rStyle w:val="Fontdeparagrafimplicit"/>
          <w:i/>
        </w:rPr>
        <w:t>…</w:t>
      </w:r>
      <w:r>
        <w:rPr>
          <w:rStyle w:val="Bodytext3"/>
          <w:i/>
          <w:sz w:val="24"/>
        </w:rPr>
        <w:t xml:space="preserve"> </w:t>
      </w:r>
      <w:r>
        <w:rPr>
          <w:rStyle w:val="slitttl2"/>
          <w:b w:val="0"/>
          <w:i/>
        </w:rPr>
        <w:t>n)</w:t>
      </w:r>
      <w:r>
        <w:rPr>
          <w:rStyle w:val="slit2"/>
          <w:i/>
        </w:rPr>
        <w:t xml:space="preserve"> </w:t>
      </w:r>
      <w:r>
        <w:rPr>
          <w:rStyle w:val="slitbdy"/>
          <w:i/>
        </w:rPr>
        <w:t>exces de putere - exercitarea dreptului de apreciere al autorităților publice prin încălcarea limitelor competenței prevăzute de lege sau prin încălcarea drepturilor și libertăților cetățenilor;”</w:t>
      </w:r>
    </w:p>
    <w:p w:rsidR="00172EC7" w:rsidP="00172EC7" w14:paraId="1EF09174" w14:textId="77777777">
      <w:pPr>
        <w:ind w:firstLine="993"/>
        <w:jc w:val="both"/>
        <w:rPr>
          <w:rStyle w:val="Fontdeparagrafimplicit"/>
          <w:i/>
        </w:rPr>
      </w:pPr>
      <w:r>
        <w:rPr>
          <w:rStyle w:val="slitbdy"/>
        </w:rPr>
        <w:t>-</w:t>
      </w:r>
      <w:r>
        <w:rPr>
          <w:rStyle w:val="Bodytext3"/>
          <w:sz w:val="24"/>
        </w:rPr>
        <w:t xml:space="preserve"> </w:t>
      </w:r>
      <w:r>
        <w:rPr>
          <w:rStyle w:val="salnttl"/>
        </w:rPr>
        <w:t>(2)</w:t>
      </w:r>
      <w:r>
        <w:rPr>
          <w:rStyle w:val="saln"/>
        </w:rPr>
        <w:t xml:space="preserve"> </w:t>
      </w:r>
      <w:r>
        <w:rPr>
          <w:rStyle w:val="saln"/>
          <w:i/>
        </w:rPr>
        <w:t>„</w:t>
      </w:r>
      <w:r>
        <w:rPr>
          <w:rStyle w:val="salnbdy"/>
          <w:i/>
        </w:rPr>
        <w:t>Se asimilează actelor administrative unilaterale și refuzul nejustificat de a rezolva o cerere referitoare la un drept sau la un interes legitim ori, după caz, faptul de a nu răspunde solicitantului în termenul legal”.</w:t>
      </w:r>
      <w:r>
        <w:rPr>
          <w:rStyle w:val="slitshort2"/>
          <w:i/>
        </w:rPr>
        <w:t> ... </w:t>
      </w:r>
    </w:p>
    <w:p w:rsidR="00172EC7" w:rsidP="00172EC7" w14:paraId="0E08E11E" w14:textId="77777777">
      <w:pPr>
        <w:ind w:firstLine="993"/>
        <w:jc w:val="both"/>
      </w:pPr>
      <w:r>
        <w:t xml:space="preserve">Contrar </w:t>
      </w:r>
      <w:r>
        <w:t>susţinerilor</w:t>
      </w:r>
      <w:r>
        <w:t xml:space="preserve"> reclamantului, Curtea va aprecia că pârâtul a </w:t>
      </w:r>
      <w:r>
        <w:t>soluţionat</w:t>
      </w:r>
      <w:r>
        <w:t xml:space="preserve"> cererea cu care a fost sesizat în sensul că a formulat </w:t>
      </w:r>
      <w:r>
        <w:t>şi</w:t>
      </w:r>
      <w:r>
        <w:t xml:space="preserve"> comunicat acestuia un răspuns, iar acest răspuns este justificat. </w:t>
      </w:r>
    </w:p>
    <w:p w:rsidR="00172EC7" w:rsidP="00172EC7" w14:paraId="05B0E470" w14:textId="77777777">
      <w:pPr>
        <w:ind w:firstLine="993"/>
        <w:jc w:val="both"/>
      </w:pPr>
      <w:r>
        <w:t xml:space="preserve">Astfel, în primul rând, se va </w:t>
      </w:r>
      <w:r>
        <w:t>reţine</w:t>
      </w:r>
      <w:r>
        <w:t xml:space="preserve"> faptul că nu există o omisiune a pârâtului a </w:t>
      </w:r>
      <w:r>
        <w:t>soluţiona</w:t>
      </w:r>
      <w:r>
        <w:t xml:space="preserve"> o cerere ce i-a fost adresată, </w:t>
      </w:r>
      <w:r>
        <w:t>soluţionare</w:t>
      </w:r>
      <w:r>
        <w:t xml:space="preserve"> însemnând nu doar formularea unui răspuns pozitiv, </w:t>
      </w:r>
      <w:r>
        <w:t>aşteptat</w:t>
      </w:r>
      <w:r>
        <w:t xml:space="preserve"> de </w:t>
      </w:r>
      <w:r>
        <w:t>petiţionar</w:t>
      </w:r>
      <w:r>
        <w:t xml:space="preserve">, dar </w:t>
      </w:r>
      <w:r>
        <w:t>şi</w:t>
      </w:r>
      <w:r>
        <w:t xml:space="preserve"> formularea unui răspuns negativ.</w:t>
      </w:r>
    </w:p>
    <w:p w:rsidR="00172EC7" w:rsidP="00172EC7" w14:paraId="6E385A6D" w14:textId="77777777">
      <w:pPr>
        <w:ind w:firstLine="993"/>
        <w:jc w:val="both"/>
      </w:pPr>
      <w:r>
        <w:t xml:space="preserve">În al doilea rând, se va </w:t>
      </w:r>
      <w:r>
        <w:t>reţine</w:t>
      </w:r>
      <w:r>
        <w:t xml:space="preserve">, pe de o parte, că refuzul de numire în </w:t>
      </w:r>
      <w:r>
        <w:t>funcţia</w:t>
      </w:r>
      <w:r>
        <w:t xml:space="preserve"> de procuror este justificat prin aceea că prin Hotărârea </w:t>
      </w:r>
      <w:r>
        <w:t>Secţiei</w:t>
      </w:r>
      <w:r>
        <w:t xml:space="preserve"> pentru procurori nr. ....../03.09.2020 a fost abrogată Hotărârea nr. ....../2019 a </w:t>
      </w:r>
      <w:r>
        <w:t>Secţiei</w:t>
      </w:r>
      <w:r>
        <w:t xml:space="preserve"> pentru procurori, prin care fusese aprobată Metodologia privind numirea în </w:t>
      </w:r>
      <w:r>
        <w:t>funcţia</w:t>
      </w:r>
      <w:r>
        <w:t xml:space="preserve"> de procuror în </w:t>
      </w:r>
      <w:r>
        <w:t>condiţiile</w:t>
      </w:r>
      <w:r>
        <w:t xml:space="preserve"> art. 33</w:t>
      </w:r>
      <w:r>
        <w:rPr>
          <w:rStyle w:val="Fontdeparagrafimplicit"/>
          <w:vertAlign w:val="superscript"/>
        </w:rPr>
        <w:t>1</w:t>
      </w:r>
      <w:r>
        <w:t xml:space="preserve"> din Legea nr. 303/2004 privind statutul procurorilor </w:t>
      </w:r>
      <w:r>
        <w:t>şi</w:t>
      </w:r>
      <w:r>
        <w:t xml:space="preserve"> procurorilor, iar această abrogare a fost determinată de o serie de decizii ale </w:t>
      </w:r>
      <w:r>
        <w:t>Curţii</w:t>
      </w:r>
      <w:r>
        <w:t xml:space="preserve"> </w:t>
      </w:r>
      <w:r>
        <w:t>Constituţionale</w:t>
      </w:r>
      <w:r>
        <w:t xml:space="preserve">. </w:t>
      </w:r>
    </w:p>
    <w:p w:rsidR="00172EC7" w:rsidP="00172EC7" w14:paraId="02F1FB37" w14:textId="77777777">
      <w:pPr>
        <w:ind w:firstLine="993"/>
        <w:jc w:val="both"/>
      </w:pPr>
      <w:r>
        <w:t xml:space="preserve">Astfel, prin decizia nr. 121/10.03.2020, s-au dispus următoarele: „Admite </w:t>
      </w:r>
      <w:r>
        <w:t>excepţia</w:t>
      </w:r>
      <w:r>
        <w:t xml:space="preserve"> de </w:t>
      </w:r>
      <w:r>
        <w:t>neconstituţionalitate</w:t>
      </w:r>
      <w:r>
        <w:t xml:space="preserve"> ridicată de </w:t>
      </w:r>
      <w:r>
        <w:t>acelaşi</w:t>
      </w:r>
      <w:r>
        <w:t xml:space="preserve"> autor în </w:t>
      </w:r>
      <w:r>
        <w:t>acelaşi</w:t>
      </w:r>
      <w:r>
        <w:t xml:space="preserve"> dosar al </w:t>
      </w:r>
      <w:r>
        <w:t>aceleiaşi</w:t>
      </w:r>
      <w:r>
        <w:t xml:space="preserve"> </w:t>
      </w:r>
      <w:r>
        <w:t>instanţe</w:t>
      </w:r>
      <w:r>
        <w:t xml:space="preserve"> </w:t>
      </w:r>
      <w:r>
        <w:t>şi</w:t>
      </w:r>
      <w:r>
        <w:t xml:space="preserve"> constată că </w:t>
      </w:r>
      <w:r>
        <w:t>dispoziţiile</w:t>
      </w:r>
      <w:r>
        <w:t xml:space="preserve"> art. 106 lit. d) din Legea nr. 303/2004 privind statutul judecătorilor </w:t>
      </w:r>
      <w:r>
        <w:t>şi</w:t>
      </w:r>
      <w:r>
        <w:t xml:space="preserve"> procurorilor sunt </w:t>
      </w:r>
      <w:r>
        <w:t>neconstituţionale</w:t>
      </w:r>
      <w:r>
        <w:t>”.</w:t>
      </w:r>
    </w:p>
    <w:p w:rsidR="00172EC7" w:rsidP="00172EC7" w14:paraId="183F2AF3" w14:textId="77777777">
      <w:pPr>
        <w:ind w:firstLine="993"/>
        <w:jc w:val="both"/>
      </w:pPr>
      <w:r>
        <w:t xml:space="preserve">Relevante sunt considerentele 30 </w:t>
      </w:r>
      <w:r>
        <w:t>şi</w:t>
      </w:r>
      <w:r>
        <w:t xml:space="preserve"> 32 conform cărora: </w:t>
      </w:r>
    </w:p>
    <w:p w:rsidR="00172EC7" w:rsidP="00172EC7" w14:paraId="4A5F6812" w14:textId="77777777">
      <w:pPr>
        <w:ind w:firstLine="993"/>
        <w:jc w:val="both"/>
      </w:pPr>
      <w:r>
        <w:t xml:space="preserve">„30. În </w:t>
      </w:r>
      <w:r>
        <w:t>consecinţă</w:t>
      </w:r>
      <w:r>
        <w:t xml:space="preserve">, Curtea subliniază că, pentru înlăturarea viciului de </w:t>
      </w:r>
      <w:r>
        <w:t>neconstituţionalitate</w:t>
      </w:r>
      <w:r>
        <w:t xml:space="preserve">, </w:t>
      </w:r>
      <w:r>
        <w:rPr>
          <w:rStyle w:val="Fontdeparagrafimplicit"/>
          <w:u w:val="single"/>
        </w:rPr>
        <w:t xml:space="preserve">aspectele </w:t>
      </w:r>
      <w:r>
        <w:rPr>
          <w:rStyle w:val="Fontdeparagrafimplicit"/>
          <w:u w:val="single"/>
        </w:rPr>
        <w:t>esenţiale</w:t>
      </w:r>
      <w:r>
        <w:rPr>
          <w:rStyle w:val="Fontdeparagrafimplicit"/>
          <w:u w:val="single"/>
        </w:rPr>
        <w:t xml:space="preserve"> privind organizarea </w:t>
      </w:r>
      <w:r>
        <w:rPr>
          <w:rStyle w:val="Fontdeparagrafimplicit"/>
          <w:u w:val="single"/>
        </w:rPr>
        <w:t>şi</w:t>
      </w:r>
      <w:r>
        <w:rPr>
          <w:rStyle w:val="Fontdeparagrafimplicit"/>
          <w:u w:val="single"/>
        </w:rPr>
        <w:t xml:space="preserve"> </w:t>
      </w:r>
      <w:r>
        <w:rPr>
          <w:rStyle w:val="Fontdeparagrafimplicit"/>
          <w:u w:val="single"/>
        </w:rPr>
        <w:t>desfăşurarea</w:t>
      </w:r>
      <w:r>
        <w:rPr>
          <w:rStyle w:val="Fontdeparagrafimplicit"/>
          <w:u w:val="single"/>
        </w:rPr>
        <w:t xml:space="preserve"> concursului pentru ocuparea posturilor de judecător </w:t>
      </w:r>
      <w:r>
        <w:rPr>
          <w:rStyle w:val="Fontdeparagrafimplicit"/>
          <w:u w:val="single"/>
        </w:rPr>
        <w:t>şi</w:t>
      </w:r>
      <w:r>
        <w:rPr>
          <w:rStyle w:val="Fontdeparagrafimplicit"/>
          <w:u w:val="single"/>
        </w:rPr>
        <w:t xml:space="preserve"> procuror</w:t>
      </w:r>
      <w:r>
        <w:t xml:space="preserve"> - cum sunt regulile generale privind constituirea comisiilor de concurs, tipul etapelor </w:t>
      </w:r>
      <w:r>
        <w:t>şi</w:t>
      </w:r>
      <w:r>
        <w:t xml:space="preserve"> probelor de concurs, modalitatea de stabilire a rezultatelor </w:t>
      </w:r>
      <w:r>
        <w:t>şi</w:t>
      </w:r>
      <w:r>
        <w:t xml:space="preserve"> posibilitatea de contestare a fiecărei probe - </w:t>
      </w:r>
      <w:r>
        <w:rPr>
          <w:rStyle w:val="Fontdeparagrafimplicit"/>
          <w:u w:val="single"/>
        </w:rPr>
        <w:t>trebuie să fie reglementate prin lege organică</w:t>
      </w:r>
      <w:r>
        <w:t xml:space="preserve">, urmând ca regulile specifice acestor proceduri să fie explicitate </w:t>
      </w:r>
      <w:r>
        <w:t>şi</w:t>
      </w:r>
      <w:r>
        <w:t xml:space="preserve"> detaliate prin regulament al Consiliului Superior al Magistraturii. (…) </w:t>
      </w:r>
    </w:p>
    <w:p w:rsidR="00172EC7" w:rsidP="00172EC7" w14:paraId="4928696F" w14:textId="77777777">
      <w:pPr>
        <w:ind w:firstLine="993"/>
        <w:jc w:val="both"/>
      </w:pPr>
      <w:r>
        <w:t xml:space="preserve">32. De asemenea, Curtea observă că, pentru respectarea prevederilor </w:t>
      </w:r>
      <w:r>
        <w:t>constituţionale</w:t>
      </w:r>
      <w:r>
        <w:t xml:space="preserve">, </w:t>
      </w:r>
      <w:r>
        <w:rPr>
          <w:rStyle w:val="Fontdeparagrafimplicit"/>
          <w:u w:val="single"/>
        </w:rPr>
        <w:t xml:space="preserve">legiuitorul trebuie să completeze </w:t>
      </w:r>
      <w:r>
        <w:rPr>
          <w:rStyle w:val="Fontdeparagrafimplicit"/>
          <w:u w:val="single"/>
        </w:rPr>
        <w:t>dispoziţiile</w:t>
      </w:r>
      <w:r>
        <w:rPr>
          <w:rStyle w:val="Fontdeparagrafimplicit"/>
          <w:u w:val="single"/>
        </w:rPr>
        <w:t xml:space="preserve"> Legii nr. 303/2004 nu numai cu aspectele </w:t>
      </w:r>
      <w:r>
        <w:rPr>
          <w:rStyle w:val="Fontdeparagrafimplicit"/>
          <w:u w:val="single"/>
        </w:rPr>
        <w:t>esenţiale</w:t>
      </w:r>
      <w:r>
        <w:rPr>
          <w:rStyle w:val="Fontdeparagrafimplicit"/>
          <w:u w:val="single"/>
        </w:rPr>
        <w:t xml:space="preserve"> ale concursului de admitere în magistratură, organizat potrivit art. 33 din lege, ci </w:t>
      </w:r>
      <w:r>
        <w:rPr>
          <w:rStyle w:val="Fontdeparagrafimplicit"/>
          <w:u w:val="single"/>
        </w:rPr>
        <w:t>şi</w:t>
      </w:r>
      <w:r>
        <w:rPr>
          <w:rStyle w:val="Fontdeparagrafimplicit"/>
          <w:u w:val="single"/>
        </w:rPr>
        <w:t xml:space="preserve"> cu aspectele </w:t>
      </w:r>
      <w:r>
        <w:rPr>
          <w:rStyle w:val="Fontdeparagrafimplicit"/>
          <w:u w:val="single"/>
        </w:rPr>
        <w:t>esenţiale</w:t>
      </w:r>
      <w:r>
        <w:rPr>
          <w:rStyle w:val="Fontdeparagrafimplicit"/>
          <w:u w:val="single"/>
        </w:rPr>
        <w:t xml:space="preserve"> ce </w:t>
      </w:r>
      <w:r>
        <w:rPr>
          <w:rStyle w:val="Fontdeparagrafimplicit"/>
          <w:u w:val="single"/>
        </w:rPr>
        <w:t>ţin</w:t>
      </w:r>
      <w:r>
        <w:rPr>
          <w:rStyle w:val="Fontdeparagrafimplicit"/>
          <w:u w:val="single"/>
        </w:rPr>
        <w:t xml:space="preserve"> de ocuparea posturilor de judecător sau procuror prin celelalte </w:t>
      </w:r>
      <w:r>
        <w:rPr>
          <w:rStyle w:val="Fontdeparagrafimplicit"/>
          <w:u w:val="single"/>
        </w:rPr>
        <w:t>modalităţi</w:t>
      </w:r>
      <w:r>
        <w:rPr>
          <w:rStyle w:val="Fontdeparagrafimplicit"/>
          <w:u w:val="single"/>
        </w:rPr>
        <w:t xml:space="preserve"> de admitere în magistratură</w:t>
      </w:r>
      <w:r>
        <w:t xml:space="preserve">. Astfel, Curtea </w:t>
      </w:r>
      <w:r>
        <w:t>reţine</w:t>
      </w:r>
      <w:r>
        <w:t xml:space="preserve"> că </w:t>
      </w:r>
      <w:r>
        <w:t>şi</w:t>
      </w:r>
      <w:r>
        <w:t xml:space="preserve"> în cazul concursului pentru admiterea la Institutul </w:t>
      </w:r>
      <w:r>
        <w:t>Naţional</w:t>
      </w:r>
      <w:r>
        <w:t xml:space="preserve"> al Magistraturii, al examenului de absolvire a Institutului </w:t>
      </w:r>
      <w:r>
        <w:t>Naţional</w:t>
      </w:r>
      <w:r>
        <w:t xml:space="preserve"> al Magistraturii </w:t>
      </w:r>
      <w:r>
        <w:t>şi</w:t>
      </w:r>
      <w:r>
        <w:t xml:space="preserve"> al examenului de capacitate al judecătorilor stagiari </w:t>
      </w:r>
      <w:r>
        <w:t>şi</w:t>
      </w:r>
      <w:r>
        <w:t xml:space="preserve"> al procurorilor stagiari, legea trebuie să prevadă aspectele </w:t>
      </w:r>
      <w:r>
        <w:t>esenţiale</w:t>
      </w:r>
      <w:r>
        <w:t xml:space="preserve">, cum sunt, spre exemplu, </w:t>
      </w:r>
      <w:r>
        <w:t>condiţiile</w:t>
      </w:r>
      <w:r>
        <w:t xml:space="preserve"> de participare, regulile generale privind constituirea comisiilor de concurs, tipul etapelor </w:t>
      </w:r>
      <w:r>
        <w:t>şi</w:t>
      </w:r>
      <w:r>
        <w:t xml:space="preserve"> probelor de concurs, modalitatea de stabilire a rezultatelor </w:t>
      </w:r>
      <w:r>
        <w:t>şi</w:t>
      </w:r>
      <w:r>
        <w:t xml:space="preserve"> posibilitatea de contestare a fiecărei probe. Totodată, Legea nr. 303/2004 trebuie să prevadă </w:t>
      </w:r>
      <w:r>
        <w:t>şi</w:t>
      </w:r>
      <w:r>
        <w:t xml:space="preserve"> aspectele </w:t>
      </w:r>
      <w:r>
        <w:t>esenţiale</w:t>
      </w:r>
      <w:r>
        <w:t xml:space="preserve"> ale ocupării posturilor de magistrat-asistent de la Înalta Curte de </w:t>
      </w:r>
      <w:r>
        <w:t>Casaţie</w:t>
      </w:r>
      <w:r>
        <w:t xml:space="preserve"> </w:t>
      </w:r>
      <w:r>
        <w:t>şi</w:t>
      </w:r>
      <w:r>
        <w:t xml:space="preserve"> </w:t>
      </w:r>
      <w:r>
        <w:t>Justiţie</w:t>
      </w:r>
      <w:r>
        <w:t xml:space="preserve"> </w:t>
      </w:r>
      <w:r>
        <w:t>şi</w:t>
      </w:r>
      <w:r>
        <w:t xml:space="preserve"> de la Curtea </w:t>
      </w:r>
      <w:r>
        <w:t>Constituţională</w:t>
      </w:r>
      <w:r>
        <w:t>”.</w:t>
      </w:r>
    </w:p>
    <w:p w:rsidR="00172EC7" w:rsidP="00172EC7" w14:paraId="2E619A92" w14:textId="77777777">
      <w:pPr>
        <w:ind w:firstLine="993"/>
        <w:jc w:val="both"/>
      </w:pPr>
      <w:r>
        <w:t xml:space="preserve">Deopotrivă, prin decizia nr. 454/24.06.2020, s-au dispus următoarele: „Admite </w:t>
      </w:r>
      <w:r>
        <w:t>excepţia</w:t>
      </w:r>
      <w:r>
        <w:t xml:space="preserve"> de </w:t>
      </w:r>
      <w:r>
        <w:t>neconstituţionalitate</w:t>
      </w:r>
      <w:r>
        <w:t xml:space="preserve"> ridicată de B............ în Dosarul nr. ............. al Înaltei </w:t>
      </w:r>
      <w:r>
        <w:t>Curţi</w:t>
      </w:r>
      <w:r>
        <w:t xml:space="preserve"> de </w:t>
      </w:r>
      <w:r>
        <w:t>Casaţie</w:t>
      </w:r>
      <w:r>
        <w:t xml:space="preserve"> </w:t>
      </w:r>
      <w:r>
        <w:t>şi</w:t>
      </w:r>
      <w:r>
        <w:t xml:space="preserve"> </w:t>
      </w:r>
      <w:r>
        <w:t>Justiţie</w:t>
      </w:r>
      <w:r>
        <w:t xml:space="preserve"> - </w:t>
      </w:r>
      <w:r>
        <w:t>Secţia</w:t>
      </w:r>
      <w:r>
        <w:t xml:space="preserve"> de contencios administrativ </w:t>
      </w:r>
      <w:r>
        <w:t>şi</w:t>
      </w:r>
      <w:r>
        <w:t xml:space="preserve"> fiscal </w:t>
      </w:r>
      <w:r>
        <w:t>şi</w:t>
      </w:r>
      <w:r>
        <w:t xml:space="preserve"> constată că </w:t>
      </w:r>
      <w:r>
        <w:t>soluţia</w:t>
      </w:r>
      <w:r>
        <w:t xml:space="preserve"> legislativă cuprinsă în art. 60 din Legea nr. 303/2004 privind statutul judecătorilor </w:t>
      </w:r>
      <w:r>
        <w:t>şi</w:t>
      </w:r>
      <w:r>
        <w:t xml:space="preserve"> procurorilor, în redactarea anterioară Legii nr. 242/2018, </w:t>
      </w:r>
      <w:r>
        <w:t>şi</w:t>
      </w:r>
      <w:r>
        <w:t xml:space="preserve"> în art. 60 alin. (1) din Legea nr. 303/2004, în redactarea ulterioară Legii nr. 242/2018, care nu precizează </w:t>
      </w:r>
      <w:r>
        <w:t>condiţiile</w:t>
      </w:r>
      <w:r>
        <w:t xml:space="preserve"> transferării judecătorilor, precum </w:t>
      </w:r>
      <w:r>
        <w:t>şi</w:t>
      </w:r>
      <w:r>
        <w:t xml:space="preserve"> art. 60 alin. (3) din Legea nr. 303/2004, în redactarea ulterioară Legii nr. 242/2018, sunt </w:t>
      </w:r>
      <w:r>
        <w:t>neconstituţionale</w:t>
      </w:r>
      <w:r>
        <w:t>”.</w:t>
      </w:r>
    </w:p>
    <w:p w:rsidR="00172EC7" w:rsidP="00172EC7" w14:paraId="7173A54F" w14:textId="77777777">
      <w:pPr>
        <w:ind w:firstLine="993"/>
        <w:jc w:val="both"/>
      </w:pPr>
      <w:r>
        <w:t xml:space="preserve">Relevante sunt considerentele 25 </w:t>
      </w:r>
      <w:r>
        <w:t>şi</w:t>
      </w:r>
      <w:r>
        <w:t xml:space="preserve"> 26 conform cărora: </w:t>
      </w:r>
    </w:p>
    <w:p w:rsidR="00172EC7" w:rsidP="00172EC7" w14:paraId="7C99B278" w14:textId="77777777">
      <w:pPr>
        <w:ind w:firstLine="993"/>
        <w:jc w:val="both"/>
      </w:pPr>
      <w:r>
        <w:t xml:space="preserve">„25. Cu privire la statutul judecătorilor </w:t>
      </w:r>
      <w:r>
        <w:t>şi</w:t>
      </w:r>
      <w:r>
        <w:t xml:space="preserve"> procurorilor, Curtea a constatat că acesta este consacrat la nivel </w:t>
      </w:r>
      <w:r>
        <w:t>constituţional</w:t>
      </w:r>
      <w:r>
        <w:t xml:space="preserve"> în art. 125 - Statutul judecătorilor </w:t>
      </w:r>
      <w:r>
        <w:t>şi</w:t>
      </w:r>
      <w:r>
        <w:t xml:space="preserve"> art. 132 - Statutul procurorilor, </w:t>
      </w:r>
      <w:r>
        <w:rPr>
          <w:rStyle w:val="Fontdeparagrafimplicit"/>
          <w:u w:val="single"/>
        </w:rPr>
        <w:t xml:space="preserve">elementele </w:t>
      </w:r>
      <w:r>
        <w:rPr>
          <w:rStyle w:val="Fontdeparagrafimplicit"/>
          <w:u w:val="single"/>
        </w:rPr>
        <w:t>esenţiale</w:t>
      </w:r>
      <w:r>
        <w:rPr>
          <w:rStyle w:val="Fontdeparagrafimplicit"/>
          <w:u w:val="single"/>
        </w:rPr>
        <w:t xml:space="preserve"> referitoare la încheierea, executarea, modificarea, suspendarea </w:t>
      </w:r>
      <w:r>
        <w:rPr>
          <w:rStyle w:val="Fontdeparagrafimplicit"/>
          <w:u w:val="single"/>
        </w:rPr>
        <w:t>şi</w:t>
      </w:r>
      <w:r>
        <w:rPr>
          <w:rStyle w:val="Fontdeparagrafimplicit"/>
          <w:u w:val="single"/>
        </w:rPr>
        <w:t xml:space="preserve"> încetarea raportului juridic de muncă al acestora trebuie reglementate prin lege, iar nu printr-un act cu </w:t>
      </w:r>
      <w:r>
        <w:rPr>
          <w:rStyle w:val="Fontdeparagrafimplicit"/>
          <w:u w:val="single"/>
        </w:rPr>
        <w:t>forţă</w:t>
      </w:r>
      <w:r>
        <w:rPr>
          <w:rStyle w:val="Fontdeparagrafimplicit"/>
          <w:u w:val="single"/>
        </w:rPr>
        <w:t xml:space="preserve"> juridică inferioară acesteia</w:t>
      </w:r>
      <w:r>
        <w:t xml:space="preserve">. Astfel, atât </w:t>
      </w:r>
      <w:r>
        <w:t>condiţiile</w:t>
      </w:r>
      <w:r>
        <w:t xml:space="preserve"> </w:t>
      </w:r>
      <w:r>
        <w:t>detaşării</w:t>
      </w:r>
      <w:r>
        <w:t xml:space="preserve">, cât </w:t>
      </w:r>
      <w:r>
        <w:t>şi</w:t>
      </w:r>
      <w:r>
        <w:t xml:space="preserve"> </w:t>
      </w:r>
      <w:r>
        <w:t>condiţiile</w:t>
      </w:r>
      <w:r>
        <w:t xml:space="preserve"> încetării acesteia trebuie prevăzute expres în statutul judecătorilor </w:t>
      </w:r>
      <w:r>
        <w:t>şi</w:t>
      </w:r>
      <w:r>
        <w:t xml:space="preserve"> procurorilor, </w:t>
      </w:r>
      <w:r>
        <w:t>şi</w:t>
      </w:r>
      <w:r>
        <w:t xml:space="preserve"> anume în Legea nr. 303/2004 [Decizia nr. 588 din 21 septembrie 2017, publicată în Monitorul Oficial al României, Partea I, nr. 835 din 20 octombrie 2017, paragraful 23].</w:t>
      </w:r>
    </w:p>
    <w:p w:rsidR="00172EC7" w:rsidP="00172EC7" w14:paraId="2F609FA7" w14:textId="77777777">
      <w:pPr>
        <w:ind w:firstLine="993"/>
        <w:jc w:val="both"/>
        <w:rPr>
          <w:rStyle w:val="Fontdeparagrafimplicit"/>
          <w:u w:val="single"/>
        </w:rPr>
      </w:pPr>
      <w:r>
        <w:t xml:space="preserve">26. Mai mult, raportat la cauza de </w:t>
      </w:r>
      <w:r>
        <w:t>faţă</w:t>
      </w:r>
      <w:r>
        <w:t xml:space="preserve">, Curtea </w:t>
      </w:r>
      <w:r>
        <w:t>reţine</w:t>
      </w:r>
      <w:r>
        <w:t xml:space="preserve"> un element specific al acesteia, </w:t>
      </w:r>
      <w:r>
        <w:t>şi</w:t>
      </w:r>
      <w:r>
        <w:t xml:space="preserve"> anume că </w:t>
      </w:r>
      <w:r>
        <w:t>însuşi</w:t>
      </w:r>
      <w:r>
        <w:t xml:space="preserve"> art. 125 alin. (2) din </w:t>
      </w:r>
      <w:r>
        <w:t>Constituţie</w:t>
      </w:r>
      <w:r>
        <w:t xml:space="preserve"> </w:t>
      </w:r>
      <w:r>
        <w:t>stabileşte</w:t>
      </w:r>
      <w:r>
        <w:t xml:space="preserve"> că "Propunerile de numire, precum </w:t>
      </w:r>
      <w:r>
        <w:t>şi</w:t>
      </w:r>
      <w:r>
        <w:t xml:space="preserve"> promovarea, transferarea </w:t>
      </w:r>
      <w:r>
        <w:t>şi</w:t>
      </w:r>
      <w:r>
        <w:t xml:space="preserve"> </w:t>
      </w:r>
      <w:r>
        <w:t>sancţionarea</w:t>
      </w:r>
      <w:r>
        <w:t xml:space="preserve"> judecătorilor sunt de </w:t>
      </w:r>
      <w:r>
        <w:t>competenţa</w:t>
      </w:r>
      <w:r>
        <w:t xml:space="preserve"> Consiliului Superior al Magistraturii, în </w:t>
      </w:r>
      <w:r>
        <w:t>condiţiile</w:t>
      </w:r>
      <w:r>
        <w:t xml:space="preserve"> legii sale organice". Astfel, textul </w:t>
      </w:r>
      <w:r>
        <w:t>constituţional</w:t>
      </w:r>
      <w:r>
        <w:t xml:space="preserve"> reglementează </w:t>
      </w:r>
      <w:r>
        <w:t>expressis</w:t>
      </w:r>
      <w:r>
        <w:t xml:space="preserve"> </w:t>
      </w:r>
      <w:r>
        <w:t>verbis</w:t>
      </w:r>
      <w:r>
        <w:t xml:space="preserve"> că transferarea judecătorilor se realizează de către Consiliul Superior al Magistraturii, indicând, </w:t>
      </w:r>
      <w:r>
        <w:t>aşadar</w:t>
      </w:r>
      <w:r>
        <w:t xml:space="preserve">, atât autoritatea competentă să transfere judecătorii, cât </w:t>
      </w:r>
      <w:r>
        <w:t>şi</w:t>
      </w:r>
      <w:r>
        <w:t xml:space="preserve"> natura legii prin care se realizează transferarea judecătorilor, respectiv în </w:t>
      </w:r>
      <w:r>
        <w:t>condiţiile</w:t>
      </w:r>
      <w:r>
        <w:t xml:space="preserve"> legii organice a Consiliului Superior al Magistraturii, ceea ce înseamnă că această lege este cea care reglementează procedura prin care se realizează transferul. Prin urmare, </w:t>
      </w:r>
      <w:r>
        <w:rPr>
          <w:rStyle w:val="Fontdeparagrafimplicit"/>
          <w:u w:val="single"/>
        </w:rPr>
        <w:t xml:space="preserve">legiuitorul ar fi trebuit să reglementeze, pe de o parte, </w:t>
      </w:r>
      <w:r>
        <w:rPr>
          <w:rStyle w:val="Fontdeparagrafimplicit"/>
          <w:u w:val="single"/>
        </w:rPr>
        <w:t>instituţia</w:t>
      </w:r>
      <w:r>
        <w:rPr>
          <w:rStyle w:val="Fontdeparagrafimplicit"/>
          <w:u w:val="single"/>
        </w:rPr>
        <w:t xml:space="preserve"> transferului în Legea nr. 303/2004, cu indicarea criteriilor care trebuie să fie îndeplinite, </w:t>
      </w:r>
      <w:r>
        <w:rPr>
          <w:rStyle w:val="Fontdeparagrafimplicit"/>
          <w:u w:val="single"/>
        </w:rPr>
        <w:t>şi</w:t>
      </w:r>
      <w:r>
        <w:rPr>
          <w:rStyle w:val="Fontdeparagrafimplicit"/>
          <w:u w:val="single"/>
        </w:rPr>
        <w:t>, pe de altă parte, procedura realizării acestuia în Legea nr. 317/2004.</w:t>
      </w:r>
    </w:p>
    <w:p w:rsidR="00172EC7" w:rsidP="00172EC7" w14:paraId="28D99F76" w14:textId="77777777">
      <w:pPr>
        <w:ind w:firstLine="993"/>
        <w:jc w:val="both"/>
      </w:pPr>
      <w:r>
        <w:t xml:space="preserve">27. Având în vedere cele expuse, Curtea constată că </w:t>
      </w:r>
      <w:r>
        <w:t>soluţia</w:t>
      </w:r>
      <w:r>
        <w:t xml:space="preserve"> legislativă cuprinsă în art. 60 din Legea nr. 303/2004, care nu precizează </w:t>
      </w:r>
      <w:r>
        <w:t>condiţiile</w:t>
      </w:r>
      <w:r>
        <w:t xml:space="preserve"> transferării judecătorilor, încalcă art. 125 alin. (2) din </w:t>
      </w:r>
      <w:r>
        <w:t>Constituţie</w:t>
      </w:r>
      <w:r>
        <w:t>”.</w:t>
      </w:r>
    </w:p>
    <w:p w:rsidR="00172EC7" w:rsidP="00172EC7" w14:paraId="3FC74AE2" w14:textId="77777777">
      <w:pPr>
        <w:ind w:firstLine="993"/>
        <w:jc w:val="both"/>
      </w:pPr>
      <w:r>
        <w:t xml:space="preserve">Curtea va </w:t>
      </w:r>
      <w:r>
        <w:t>reţine</w:t>
      </w:r>
      <w:r>
        <w:t xml:space="preserve">, în acord cu apărările </w:t>
      </w:r>
      <w:r>
        <w:t>părţii</w:t>
      </w:r>
      <w:r>
        <w:t xml:space="preserve"> pârâte, că, ocuparea posturilor de procuror prin numire în </w:t>
      </w:r>
      <w:r>
        <w:t>funcţie</w:t>
      </w:r>
      <w:r>
        <w:t xml:space="preserve"> fără concurs sau examen reprezintă o modalitate </w:t>
      </w:r>
      <w:r>
        <w:t>excepţională</w:t>
      </w:r>
      <w:r>
        <w:t xml:space="preserve">, iar, ca urmare a deciziilor </w:t>
      </w:r>
      <w:r>
        <w:t>instanţei</w:t>
      </w:r>
      <w:r>
        <w:t xml:space="preserve"> de contencios </w:t>
      </w:r>
      <w:r>
        <w:t>constituţional</w:t>
      </w:r>
      <w:r>
        <w:t xml:space="preserve">, aspectele </w:t>
      </w:r>
      <w:r>
        <w:t>esenţiale</w:t>
      </w:r>
      <w:r>
        <w:t xml:space="preserve"> ce </w:t>
      </w:r>
      <w:r>
        <w:t>ţin</w:t>
      </w:r>
      <w:r>
        <w:t xml:space="preserve"> de această procedură urmează a fi stabilite de legiuitor prin lege organică.</w:t>
      </w:r>
    </w:p>
    <w:p w:rsidR="00172EC7" w:rsidP="00172EC7" w14:paraId="5B9091D9" w14:textId="77777777">
      <w:pPr>
        <w:ind w:firstLine="993"/>
        <w:jc w:val="both"/>
      </w:pPr>
      <w:r>
        <w:t xml:space="preserve">Neorganizarea unei sesiuni pentru ocuparea prin numire a posturilor vacante la data de 12.01.2021 (f. 14) nu este, deci, imputabilă </w:t>
      </w:r>
      <w:r>
        <w:t>părţii</w:t>
      </w:r>
      <w:r>
        <w:t xml:space="preserve"> pârâte </w:t>
      </w:r>
      <w:r>
        <w:t>şi</w:t>
      </w:r>
      <w:r>
        <w:t xml:space="preserve"> nici nu reprezintă încălcarea unei </w:t>
      </w:r>
      <w:r>
        <w:t>obligaţii</w:t>
      </w:r>
      <w:r>
        <w:t xml:space="preserve"> prevăzute de lege în sarcina acesteia.</w:t>
      </w:r>
    </w:p>
    <w:p w:rsidR="00172EC7" w:rsidP="00172EC7" w14:paraId="54381230" w14:textId="77777777">
      <w:pPr>
        <w:ind w:firstLine="993"/>
        <w:jc w:val="both"/>
      </w:pPr>
      <w:r>
        <w:t xml:space="preserve">Pe de altă parte, Curtea va observa că ocuparea posturilor de procuror vacante prin numire în </w:t>
      </w:r>
      <w:r>
        <w:t>condiţiile</w:t>
      </w:r>
      <w:r>
        <w:t xml:space="preserve"> art. 33</w:t>
      </w:r>
      <w:r>
        <w:rPr>
          <w:rStyle w:val="Fontdeparagrafimplicit"/>
          <w:vertAlign w:val="superscript"/>
        </w:rPr>
        <w:t>1</w:t>
      </w:r>
      <w:r>
        <w:t xml:space="preserve"> reprezintă numai o modalitate alternativă prevăzută de lege, organizarea acestei proceduri </w:t>
      </w:r>
      <w:r>
        <w:t>ţinând</w:t>
      </w:r>
      <w:r>
        <w:t xml:space="preserve"> de oportunitate. Or, </w:t>
      </w:r>
      <w:r>
        <w:t>aşa</w:t>
      </w:r>
      <w:r>
        <w:t xml:space="preserve"> cum corect se </w:t>
      </w:r>
      <w:r>
        <w:t>susţine</w:t>
      </w:r>
      <w:r>
        <w:t xml:space="preserve"> în combaterea cererii de chemare în judecată, gestionarea resurselor umane în sistemul judiciar reprezintă atributul intimatului Consiliul Superior al Magistraturii, astfel încât ocuparea posturilor vacante trebuie să se raporteze la </w:t>
      </w:r>
      <w:r>
        <w:t>raţiunile</w:t>
      </w:r>
      <w:r>
        <w:t xml:space="preserve"> </w:t>
      </w:r>
      <w:r>
        <w:t>şi</w:t>
      </w:r>
      <w:r>
        <w:t xml:space="preserve"> </w:t>
      </w:r>
      <w:r>
        <w:t>necesităţile</w:t>
      </w:r>
      <w:r>
        <w:t xml:space="preserve"> sistemului judiciar, pentru evitarea provocării unor grave </w:t>
      </w:r>
      <w:r>
        <w:t>disfuncţionalităţi</w:t>
      </w:r>
      <w:r>
        <w:t xml:space="preserve"> în activitatea </w:t>
      </w:r>
      <w:r>
        <w:t>instanţelor</w:t>
      </w:r>
      <w:r>
        <w:t>.</w:t>
      </w:r>
    </w:p>
    <w:p w:rsidR="00172EC7" w:rsidP="00172EC7" w14:paraId="061EABE9" w14:textId="77777777">
      <w:pPr>
        <w:ind w:firstLine="993"/>
        <w:jc w:val="both"/>
      </w:pPr>
      <w:r>
        <w:t xml:space="preserve">Reclamantul are numai o </w:t>
      </w:r>
      <w:r>
        <w:t>vocaţie</w:t>
      </w:r>
      <w:r>
        <w:t xml:space="preserve"> la numirea în </w:t>
      </w:r>
      <w:r>
        <w:t>funcţie</w:t>
      </w:r>
      <w:r>
        <w:t xml:space="preserve">, iar nu un drept în temeiul căruia să </w:t>
      </w:r>
      <w:r>
        <w:t>obţină</w:t>
      </w:r>
      <w:r>
        <w:t xml:space="preserve"> o </w:t>
      </w:r>
      <w:r>
        <w:t>soluţie</w:t>
      </w:r>
      <w:r>
        <w:t xml:space="preserve"> de obligare la </w:t>
      </w:r>
      <w:r>
        <w:t>declanşarea</w:t>
      </w:r>
      <w:r>
        <w:t xml:space="preserve"> unei sesiuni de numire în </w:t>
      </w:r>
      <w:r>
        <w:t>funcţie</w:t>
      </w:r>
      <w:r>
        <w:t xml:space="preserve"> fără concurs sau examen. </w:t>
      </w:r>
    </w:p>
    <w:p w:rsidR="00172EC7" w:rsidP="00172EC7" w14:paraId="61B5AF68" w14:textId="77777777">
      <w:pPr>
        <w:ind w:firstLine="993"/>
        <w:jc w:val="both"/>
        <w:rPr>
          <w:rStyle w:val="Fontdeparagrafimplicit"/>
          <w:i/>
        </w:rPr>
      </w:pPr>
      <w:r>
        <w:t>În acest sens, potrivit prevederilor art. 33</w:t>
      </w:r>
      <w:r>
        <w:rPr>
          <w:rStyle w:val="Fontdeparagrafimplicit"/>
          <w:vertAlign w:val="superscript"/>
        </w:rPr>
        <w:t>1</w:t>
      </w:r>
      <w:r>
        <w:t xml:space="preserve"> din Legea nr. 303/2004, în vigoare la data formulării adresei de răspuns nr. ....../24.02.2021 (text abrogat prin Legea nr. 313/27.12.2021 – art. I – pct. 1), </w:t>
      </w:r>
      <w:r>
        <w:rPr>
          <w:rStyle w:val="Fontdeparagrafimplicit"/>
          <w:i/>
        </w:rPr>
        <w:t xml:space="preserve">„Persoanele care au ocupat minimum 10 ani </w:t>
      </w:r>
      <w:r>
        <w:rPr>
          <w:rStyle w:val="Fontdeparagrafimplicit"/>
          <w:i/>
        </w:rPr>
        <w:t>funcţia</w:t>
      </w:r>
      <w:r>
        <w:rPr>
          <w:rStyle w:val="Fontdeparagrafimplicit"/>
          <w:i/>
        </w:rPr>
        <w:t xml:space="preserve"> de judecător sau procuror </w:t>
      </w:r>
      <w:r>
        <w:rPr>
          <w:rStyle w:val="Fontdeparagrafimplicit"/>
          <w:i/>
        </w:rPr>
        <w:t>şi</w:t>
      </w:r>
      <w:r>
        <w:rPr>
          <w:rStyle w:val="Fontdeparagrafimplicit"/>
          <w:i/>
        </w:rPr>
        <w:t xml:space="preserve"> magistrat-asistent, care nu au fost </w:t>
      </w:r>
      <w:r>
        <w:rPr>
          <w:rStyle w:val="Fontdeparagrafimplicit"/>
          <w:i/>
        </w:rPr>
        <w:t>sancţionate</w:t>
      </w:r>
      <w:r>
        <w:rPr>
          <w:rStyle w:val="Fontdeparagrafimplicit"/>
          <w:i/>
        </w:rPr>
        <w:t xml:space="preserve"> disciplinar, au avut numai calificativul "foarte bine" la toate evaluările </w:t>
      </w:r>
      <w:r>
        <w:rPr>
          <w:rStyle w:val="Fontdeparagrafimplicit"/>
          <w:i/>
        </w:rPr>
        <w:t>şi</w:t>
      </w:r>
      <w:r>
        <w:rPr>
          <w:rStyle w:val="Fontdeparagrafimplicit"/>
          <w:i/>
        </w:rPr>
        <w:t xml:space="preserve"> </w:t>
      </w:r>
      <w:r>
        <w:rPr>
          <w:rStyle w:val="Fontdeparagrafimplicit"/>
          <w:i/>
        </w:rPr>
        <w:t>şi</w:t>
      </w:r>
      <w:r>
        <w:rPr>
          <w:rStyle w:val="Fontdeparagrafimplicit"/>
          <w:i/>
        </w:rPr>
        <w:t xml:space="preserve">-au încetat activitatea din motive neimputabile, </w:t>
      </w:r>
      <w:r>
        <w:rPr>
          <w:rStyle w:val="Fontdeparagrafimplicit"/>
          <w:i/>
          <w:u w:val="single"/>
        </w:rPr>
        <w:t>pot fi numite</w:t>
      </w:r>
      <w:r>
        <w:rPr>
          <w:rStyle w:val="Fontdeparagrafimplicit"/>
          <w:i/>
        </w:rPr>
        <w:t xml:space="preserve">, fără concurs sau examen, în </w:t>
      </w:r>
      <w:r>
        <w:rPr>
          <w:rStyle w:val="Fontdeparagrafimplicit"/>
          <w:i/>
        </w:rPr>
        <w:t>funcţiile</w:t>
      </w:r>
      <w:r>
        <w:rPr>
          <w:rStyle w:val="Fontdeparagrafimplicit"/>
          <w:i/>
        </w:rPr>
        <w:t xml:space="preserve"> vacante de judecător sau procuror, la </w:t>
      </w:r>
      <w:r>
        <w:rPr>
          <w:rStyle w:val="Fontdeparagrafimplicit"/>
          <w:i/>
        </w:rPr>
        <w:t>instanţe</w:t>
      </w:r>
      <w:r>
        <w:rPr>
          <w:rStyle w:val="Fontdeparagrafimplicit"/>
          <w:i/>
        </w:rPr>
        <w:t xml:space="preserve"> sau parchete de </w:t>
      </w:r>
      <w:r>
        <w:rPr>
          <w:rStyle w:val="Fontdeparagrafimplicit"/>
          <w:i/>
        </w:rPr>
        <w:t>acelaşi</w:t>
      </w:r>
      <w:r>
        <w:rPr>
          <w:rStyle w:val="Fontdeparagrafimplicit"/>
          <w:i/>
        </w:rPr>
        <w:t xml:space="preserve"> grad cu cele unde au </w:t>
      </w:r>
      <w:r>
        <w:rPr>
          <w:rStyle w:val="Fontdeparagrafimplicit"/>
          <w:i/>
        </w:rPr>
        <w:t>funcţionat</w:t>
      </w:r>
      <w:r>
        <w:rPr>
          <w:rStyle w:val="Fontdeparagrafimplicit"/>
          <w:i/>
        </w:rPr>
        <w:t xml:space="preserve"> sau la </w:t>
      </w:r>
      <w:r>
        <w:rPr>
          <w:rStyle w:val="Fontdeparagrafimplicit"/>
          <w:i/>
        </w:rPr>
        <w:t>instanţe</w:t>
      </w:r>
      <w:r>
        <w:rPr>
          <w:rStyle w:val="Fontdeparagrafimplicit"/>
          <w:i/>
        </w:rPr>
        <w:t xml:space="preserve"> ori parchete de grad inferior”.</w:t>
      </w:r>
    </w:p>
    <w:p w:rsidR="00172EC7" w:rsidP="00172EC7" w14:paraId="1217179A" w14:textId="77777777">
      <w:pPr>
        <w:ind w:firstLine="993"/>
        <w:jc w:val="both"/>
      </w:pPr>
      <w:r>
        <w:t xml:space="preserve">Pentru aceste considerente, Curtea, reținând obligația legală a autorităților / instituțiilor publice de a soluționa, respectiv de a răspunde petițiilor / cererilor ce le sunt adresate, dar și faptul că </w:t>
      </w:r>
      <w:r>
        <w:t>autorităţile</w:t>
      </w:r>
      <w:r>
        <w:t xml:space="preserve"> </w:t>
      </w:r>
      <w:r>
        <w:t>şi</w:t>
      </w:r>
      <w:r>
        <w:t xml:space="preserve"> </w:t>
      </w:r>
      <w:r>
        <w:t>instituţiile</w:t>
      </w:r>
      <w:r>
        <w:t xml:space="preserve"> publice sesizate au </w:t>
      </w:r>
      <w:r>
        <w:t>obligaţia</w:t>
      </w:r>
      <w:r>
        <w:t xml:space="preserve"> să comunice petentului răspunsul, indiferent dacă </w:t>
      </w:r>
      <w:r>
        <w:t>soluţia</w:t>
      </w:r>
      <w:r>
        <w:t xml:space="preserve"> este favorabilă sau nefavorabilă</w:t>
      </w:r>
      <w:r>
        <w:rPr>
          <w:rStyle w:val="Fontdeparagrafimplicit"/>
          <w:i/>
        </w:rPr>
        <w:t xml:space="preserve">, </w:t>
      </w:r>
      <w:r>
        <w:t xml:space="preserve">obligație căreia îi corespunde în mod corelativ un drept al titularului petiției / cererii de a primi un răspuns, va constata că pârâtul, răspunzând cererii adresate de reclamant </w:t>
      </w:r>
      <w:r>
        <w:t>şi</w:t>
      </w:r>
      <w:r>
        <w:t xml:space="preserve">-a respectat obligația legală ce-i incumbă, considerent pentru care nu sunt incidente dispozițiile art. 2 alin. 1 lit. i) din Legea nr. 554/2004 invocate în justificarea în drept a </w:t>
      </w:r>
      <w:r>
        <w:t>acţiunii</w:t>
      </w:r>
      <w:r>
        <w:t>.</w:t>
      </w:r>
    </w:p>
    <w:p w:rsidR="00172EC7" w:rsidP="00172EC7" w14:paraId="1AF13B3A" w14:textId="77777777">
      <w:pPr>
        <w:ind w:firstLine="993"/>
        <w:jc w:val="both"/>
      </w:pPr>
      <w:r>
        <w:t xml:space="preserve">Ca atare, nefiind în </w:t>
      </w:r>
      <w:r>
        <w:t>prezenţa</w:t>
      </w:r>
      <w:r>
        <w:t xml:space="preserve"> unui refuz de a </w:t>
      </w:r>
      <w:r>
        <w:t>soluţiona</w:t>
      </w:r>
      <w:r>
        <w:t xml:space="preserve"> o cerere exprimat cu exces de putere, ci în </w:t>
      </w:r>
      <w:r>
        <w:t>prezenţa</w:t>
      </w:r>
      <w:r>
        <w:t xml:space="preserve"> unui refuz justificat în mod obiectiv, Curtea va considera că reclamantul nu este o persoană vătămată într-un drept sau interes legitim printr-o conduită nejustificată a autorității publice pârâte, motiv pentru care, în baza prevederilor art. 1, art. 8 </w:t>
      </w:r>
      <w:r>
        <w:t>şi</w:t>
      </w:r>
      <w:r>
        <w:t xml:space="preserve"> art. 18 din Legea nr. 554/2004, va respinge </w:t>
      </w:r>
      <w:r>
        <w:t>acţiunea</w:t>
      </w:r>
      <w:r>
        <w:t xml:space="preserve"> reclamantului ca neîntemeiată. </w:t>
      </w:r>
    </w:p>
    <w:p w:rsidR="00172EC7" w:rsidP="00172EC7" w14:paraId="3379D01A" w14:textId="77777777">
      <w:pPr>
        <w:ind w:firstLine="993"/>
        <w:jc w:val="both"/>
        <w:rPr>
          <w:rStyle w:val="Fontdeparagrafimplicit"/>
          <w:b/>
        </w:rPr>
      </w:pPr>
    </w:p>
    <w:p w:rsidR="00172EC7" w:rsidP="00172EC7" w14:paraId="6331397A" w14:textId="77777777">
      <w:pPr>
        <w:ind w:firstLine="993"/>
        <w:jc w:val="center"/>
        <w:rPr>
          <w:rStyle w:val="Fontdeparagrafimplicit"/>
          <w:b/>
          <w:color w:val="000000"/>
        </w:rPr>
      </w:pPr>
      <w:r>
        <w:rPr>
          <w:rStyle w:val="Fontdeparagrafimplicit"/>
          <w:b/>
          <w:color w:val="000000"/>
        </w:rPr>
        <w:t>PENTRU ACESTE MOTIVE,</w:t>
      </w:r>
    </w:p>
    <w:p w:rsidR="00172EC7" w:rsidP="00172EC7" w14:paraId="7276FAD3" w14:textId="77777777">
      <w:pPr>
        <w:ind w:firstLine="993"/>
        <w:jc w:val="center"/>
        <w:rPr>
          <w:rStyle w:val="Fontdeparagrafimplicit"/>
          <w:b/>
          <w:color w:val="000000"/>
        </w:rPr>
      </w:pPr>
      <w:r>
        <w:rPr>
          <w:rStyle w:val="Fontdeparagrafimplicit"/>
          <w:b/>
          <w:color w:val="000000"/>
        </w:rPr>
        <w:t>ÎN NUMELE LEGII,</w:t>
      </w:r>
    </w:p>
    <w:p w:rsidR="00172EC7" w:rsidP="00172EC7" w14:paraId="59815402" w14:textId="77777777">
      <w:pPr>
        <w:ind w:firstLine="993"/>
        <w:jc w:val="center"/>
        <w:rPr>
          <w:rStyle w:val="Fontdeparagrafimplicit"/>
        </w:rPr>
      </w:pPr>
      <w:r>
        <w:rPr>
          <w:rStyle w:val="Fontdeparagrafimplicit"/>
          <w:b/>
          <w:color w:val="000000"/>
        </w:rPr>
        <w:t>HOTĂRĂRŞTE:</w:t>
      </w:r>
    </w:p>
    <w:p w:rsidR="00172EC7" w:rsidP="00172EC7" w14:paraId="5180A52C" w14:textId="77777777">
      <w:pPr>
        <w:ind w:firstLine="993"/>
        <w:jc w:val="center"/>
        <w:rPr>
          <w:rStyle w:val="Fontdeparagrafimplicit"/>
        </w:rPr>
      </w:pPr>
    </w:p>
    <w:p w:rsidR="00172EC7" w:rsidP="00172EC7" w14:paraId="4F4D57A9" w14:textId="77777777">
      <w:pPr>
        <w:ind w:firstLine="993"/>
        <w:jc w:val="both"/>
      </w:pPr>
      <w:r>
        <w:t xml:space="preserve">Respinge </w:t>
      </w:r>
      <w:r>
        <w:t>acţiunea</w:t>
      </w:r>
      <w:r>
        <w:t xml:space="preserve"> formulată de reclamantul </w:t>
      </w:r>
      <w:r>
        <w:rPr>
          <w:rStyle w:val="Fontdeparagrafimplicit"/>
          <w:b/>
        </w:rPr>
        <w:t>A............</w:t>
      </w:r>
      <w:r>
        <w:t xml:space="preserve"> cu domiciliul în B.........................., în contradictoriu cu pârâtul </w:t>
      </w:r>
      <w:r>
        <w:rPr>
          <w:rStyle w:val="Fontdeparagrafimplicit"/>
          <w:b/>
        </w:rPr>
        <w:t>CONSILIUL SUPERIOR AL MAGISTRATURII</w:t>
      </w:r>
      <w:r>
        <w:t xml:space="preserve"> cu sediul cu sediul în B.................., ca neîntemeiată. </w:t>
      </w:r>
    </w:p>
    <w:p w:rsidR="00172EC7" w:rsidP="00172EC7" w14:paraId="6528BD97" w14:textId="77777777">
      <w:pPr>
        <w:ind w:firstLine="993"/>
        <w:jc w:val="both"/>
      </w:pPr>
      <w:r>
        <w:t xml:space="preserve">Cu drept de recurs în termen de 15 zile de la comunicare, cererea de recurs urmând a se depune la Curtea de Apel ...... – </w:t>
      </w:r>
      <w:r>
        <w:t>Secţia</w:t>
      </w:r>
      <w:r>
        <w:t xml:space="preserve"> ....... de contencios administrativ </w:t>
      </w:r>
      <w:r>
        <w:t>şi</w:t>
      </w:r>
      <w:r>
        <w:t xml:space="preserve"> fiscal. </w:t>
      </w:r>
    </w:p>
    <w:p w:rsidR="00172EC7" w:rsidP="00172EC7" w14:paraId="66FE49D5" w14:textId="77777777">
      <w:pPr>
        <w:ind w:firstLine="993"/>
        <w:jc w:val="both"/>
      </w:pPr>
      <w:r>
        <w:t>Pronunţată</w:t>
      </w:r>
      <w:r>
        <w:t xml:space="preserve"> astăzi, ......., prin punerea </w:t>
      </w:r>
      <w:r>
        <w:t>soluţiei</w:t>
      </w:r>
      <w:r>
        <w:t xml:space="preserve"> la </w:t>
      </w:r>
      <w:r>
        <w:t>dispoziţia</w:t>
      </w:r>
      <w:r>
        <w:t xml:space="preserve"> </w:t>
      </w:r>
      <w:r>
        <w:t>părţilor</w:t>
      </w:r>
      <w:r>
        <w:t xml:space="preserve"> prin mijlocirea grefei </w:t>
      </w:r>
      <w:r>
        <w:t>instanţei</w:t>
      </w:r>
      <w:r>
        <w:t>.</w:t>
      </w:r>
    </w:p>
    <w:p w:rsidR="00172EC7" w:rsidP="00172EC7" w14:paraId="44635382" w14:textId="77777777">
      <w:pPr>
        <w:tabs>
          <w:tab w:val="left" w:pos="1200"/>
          <w:tab w:val="left" w:pos="3180"/>
          <w:tab w:val="left" w:pos="6345"/>
        </w:tabs>
        <w:ind w:firstLine="993"/>
        <w:rPr>
          <w:rStyle w:val="Fontdeparagrafimplicit"/>
          <w:b/>
        </w:rPr>
      </w:pPr>
    </w:p>
    <w:p w:rsidR="00172EC7" w:rsidP="00172EC7" w14:paraId="318787FB" w14:textId="77777777">
      <w:pPr>
        <w:tabs>
          <w:tab w:val="left" w:pos="1200"/>
          <w:tab w:val="left" w:pos="3180"/>
          <w:tab w:val="left" w:pos="6345"/>
        </w:tabs>
        <w:ind w:firstLine="993"/>
        <w:rPr>
          <w:rStyle w:val="Fontdeparagrafimplicit"/>
          <w:b/>
        </w:rPr>
      </w:pPr>
      <w:r>
        <w:rPr>
          <w:rStyle w:val="Fontdeparagrafimplicit"/>
          <w:b/>
        </w:rPr>
        <w:t xml:space="preserve">              PREŞEDINTE,                                                    GREFIER</w:t>
      </w:r>
    </w:p>
    <w:p w:rsidR="00172EC7" w:rsidP="00172EC7" w14:paraId="37787549" w14:textId="0DF72D4F">
      <w:pPr>
        <w:tabs>
          <w:tab w:val="left" w:pos="1200"/>
          <w:tab w:val="left" w:pos="3180"/>
          <w:tab w:val="left" w:pos="6345"/>
        </w:tabs>
        <w:ind w:firstLine="993"/>
        <w:rPr>
          <w:rStyle w:val="Fontdeparagrafimplicit"/>
          <w:b/>
        </w:rPr>
      </w:pPr>
      <w:r>
        <w:rPr>
          <w:rStyle w:val="Fontdeparagrafimplicit"/>
          <w:b/>
        </w:rPr>
        <w:t xml:space="preserve">                 </w:t>
      </w:r>
      <w:r>
        <w:rPr>
          <w:rStyle w:val="Fontdeparagrafimplicit"/>
          <w:b/>
        </w:rPr>
        <w:t>A0014</w:t>
      </w:r>
      <w:r>
        <w:rPr>
          <w:rStyle w:val="Fontdeparagrafimplicit"/>
          <w:b/>
        </w:rPr>
        <w:t xml:space="preserve">                                                .......................................</w:t>
      </w:r>
    </w:p>
    <w:p w:rsidR="00172EC7" w:rsidP="00172EC7" w14:paraId="233847D7" w14:textId="77777777">
      <w:pPr>
        <w:tabs>
          <w:tab w:val="left" w:pos="1200"/>
          <w:tab w:val="left" w:pos="3180"/>
          <w:tab w:val="left" w:pos="6345"/>
        </w:tabs>
        <w:ind w:firstLine="993"/>
        <w:rPr>
          <w:rStyle w:val="Fontdeparagrafimplicit"/>
          <w:b/>
        </w:rPr>
      </w:pPr>
      <w:r>
        <w:rPr>
          <w:rStyle w:val="Fontdeparagrafimplicit"/>
          <w:b/>
        </w:rPr>
        <w:t xml:space="preserve">  </w:t>
      </w:r>
      <w:r>
        <w:rPr>
          <w:rStyle w:val="Fontdeparagrafimplicit"/>
          <w:b/>
        </w:rPr>
        <w:tab/>
      </w:r>
    </w:p>
    <w:p w:rsidRPr="005521BC" w:rsidR="00172EC7" w:rsidP="00172EC7" w14:paraId="4128C02C" w14:textId="77777777">
      <w:pPr>
        <w:tabs>
          <w:tab w:val="left" w:pos="1200"/>
          <w:tab w:val="left" w:pos="3180"/>
          <w:tab w:val="left" w:pos="6345"/>
        </w:tabs>
        <w:ind w:firstLine="993"/>
        <w:jc w:val="both"/>
        <w:rPr>
          <w:rStyle w:val="Fontdeparagrafimplicit"/>
          <w:sz w:val="16"/>
        </w:rPr>
      </w:pPr>
      <w:r>
        <w:rPr>
          <w:rStyle w:val="Fontdeparagrafimplicit"/>
          <w:sz w:val="16"/>
        </w:rPr>
        <w:t>Red. ............../4ex./................</w:t>
      </w:r>
    </w:p>
    <w:p w:rsidRPr="00172EC7" w:rsidR="009A45B6" w:rsidP="00172EC7" w14:paraId="1D1EEBDE" w14:textId="77777777">
      <w:pPr>
        <w:rPr>
          <w:rStyle w:val="Fontdeparagrafimplicit"/>
        </w:rPr>
      </w:pPr>
    </w:p>
    <w:sectPr>
      <w:footerReference w:type="default" r:id="rId4"/>
      <w:pgSz w:w="11906" w:h="16838"/>
      <w:pgMar w:top="567" w:right="851" w:bottom="567"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A45B6" w14:paraId="36CD1D4A" w14:textId="77777777">
    <w:pPr>
      <w:pStyle w:val="Subsol"/>
      <w:jc w:val="center"/>
    </w:pPr>
    <w:r>
      <w:fldChar w:fldCharType="begin"/>
    </w:r>
    <w:r>
      <w:instrText>PAGE   \* MERGEFORMAT</w:instrText>
    </w:r>
    <w:r>
      <w:fldChar w:fldCharType="separate"/>
    </w:r>
    <w:r>
      <w:t>#</w:t>
    </w:r>
    <w:r>
      <w:fldChar w:fldCharType="end"/>
    </w:r>
  </w:p>
  <w:p w:rsidR="009A45B6" w14:paraId="75E95FF2" w14:textId="77777777">
    <w:pPr>
      <w:pStyle w:val="Subsol"/>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5B6"/>
    <w:rsid w:val="00172EC7"/>
    <w:rsid w:val="005521BC"/>
    <w:rsid w:val="009120B8"/>
    <w:rsid w:val="009A45B6"/>
  </w:rsids>
  <w:docVars>
    <w:docVar w:name="url" w:val="http://10.1.48.53:80/ecris_cdms/document_upload.aspx?id_document=200000004213958&amp;id_departament=54&amp;id_sesiune=4347025&amp;id_user=1109&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33F58A95"/>
  <w15:docId w15:val="{EF75F624-8448-4FD8-BB02-A18FFCA5B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link w:val="Subsol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Bodytext3">
    <w:name w:val="Body text (3)_"/>
    <w:rPr>
      <w:rFonts w:ascii="Times New Roman" w:hAnsi="Times New Roman"/>
      <w:b/>
      <w:sz w:val="26"/>
      <w:u w:val="none"/>
    </w:rPr>
  </w:style>
  <w:style w:type="character" w:customStyle="1" w:styleId="SubsolCaracter">
    <w:name w:val="Subsol Caracter"/>
    <w:link w:val="Subsol"/>
  </w:style>
  <w:style w:type="character" w:customStyle="1" w:styleId="spar2">
    <w:name w:val="s_par2"/>
  </w:style>
  <w:style w:type="character" w:customStyle="1" w:styleId="saln">
    <w:name w:val="s_aln"/>
  </w:style>
  <w:style w:type="character" w:customStyle="1" w:styleId="salnttl">
    <w:name w:val="s_aln_ttl"/>
  </w:style>
  <w:style w:type="character" w:customStyle="1" w:styleId="salnbdy">
    <w:name w:val="s_aln_bdy"/>
  </w:style>
  <w:style w:type="character" w:customStyle="1" w:styleId="slit2">
    <w:name w:val="s_lit2"/>
  </w:style>
  <w:style w:type="character" w:customStyle="1" w:styleId="slitttl2">
    <w:name w:val="s_lit_ttl2"/>
    <w:rPr>
      <w:rFonts w:ascii="Verdana" w:hAnsi="Verdana"/>
      <w:b/>
      <w:color w:val="8B0000"/>
    </w:rPr>
  </w:style>
  <w:style w:type="character" w:customStyle="1" w:styleId="slitbdy">
    <w:name w:val="s_lit_bdy"/>
  </w:style>
  <w:style w:type="character" w:customStyle="1" w:styleId="slitshort2">
    <w:name w:val="s_lit_short2"/>
    <w:rPr>
      <w:rFonts w:ascii="Arial" w:hAnsi="Arial"/>
      <w:vanish/>
      <w:sz w:val="15"/>
      <w:shd w:val="clear" w:color="auto" w:fill="EEEEFF"/>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ap:TotalTime>
  <ap:Pages>7</ap:Pages>
  <ap:Words>3751</ap:Words>
  <ap:Characters>21381</ap:Characters>
  <ap:Application>Microsoft Office Word</ap:Application>
  <ap:DocSecurity>0</ap:DocSecurity>
  <ap:Lines>178</ap:Lines>
  <ap:Paragraphs>50</ap:Paragraphs>
  <ap:ScaleCrop>false</ap:ScaleCrop>
  <ap:CharactersWithSpaces>25082</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