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666854" w:rsidP="00666854">
      <w:pPr>
        <w:rPr>
          <w:b/>
        </w:rPr>
      </w:pPr>
      <w:r w:rsidR="0082044A">
        <w:rPr>
          <w:b/>
        </w:rPr>
        <w:t xml:space="preserve">         HOTĂRÂREA NR. 1</w:t>
      </w:r>
      <w:r>
        <w:rPr>
          <w:b/>
        </w:rPr>
        <w:t xml:space="preserve">                                                         CANDIDAT  A0009</w:t>
      </w:r>
    </w:p>
    <w:p w:rsidRPr="0017052D" w:rsidR="000654FD" w:rsidP="00666854">
      <w:pPr>
        <w:rPr>
          <w:color w:val="000000"/>
        </w:rPr>
      </w:pPr>
      <w:r w:rsidR="00666854">
        <w:rPr>
          <w:color w:val="000000"/>
        </w:rPr>
        <w:t xml:space="preserve">         </w:t>
      </w:r>
      <w:r w:rsidRPr="0017052D" w:rsidR="00236F8B">
        <w:rPr>
          <w:color w:val="000000"/>
        </w:rPr>
        <w:t xml:space="preserve">Cod ECLI    </w:t>
      </w:r>
      <w:r w:rsidRPr="0017052D" w:rsidR="00090AE4">
        <w:rPr>
          <w:color w:val="000000"/>
        </w:rPr>
        <w:t>ECLI:RO:</w:t>
      </w:r>
      <w:r w:rsidR="0082044A">
        <w:rPr>
          <w:color w:val="000000"/>
        </w:rPr>
        <w:t>..........</w:t>
      </w:r>
    </w:p>
    <w:p w:rsidRPr="0017052D" w:rsidR="00DB71EB" w:rsidP="00666854">
      <w:pPr>
        <w:tabs>
          <w:tab w:val="left" w:pos="851"/>
        </w:tabs>
        <w:rPr>
          <w:b/>
          <w:color w:val="000000"/>
        </w:rPr>
      </w:pPr>
      <w:r w:rsidR="00666854">
        <w:rPr>
          <w:b/>
          <w:color w:val="000000"/>
        </w:rPr>
        <w:t xml:space="preserve">         </w:t>
      </w:r>
      <w:r w:rsidRPr="0017052D">
        <w:rPr>
          <w:b/>
          <w:color w:val="000000"/>
        </w:rPr>
        <w:t xml:space="preserve">Dosar nr. </w:t>
      </w:r>
      <w:r w:rsidR="0082044A">
        <w:rPr>
          <w:b/>
          <w:color w:val="000000"/>
        </w:rPr>
        <w:t>...........</w:t>
      </w:r>
    </w:p>
    <w:p w:rsidRPr="0017052D" w:rsidR="00DB71EB" w:rsidP="00A32BDF">
      <w:pPr>
        <w:tabs>
          <w:tab w:val="left" w:pos="851"/>
        </w:tabs>
        <w:ind w:firstLine="709"/>
        <w:rPr>
          <w:b/>
          <w:color w:val="000000"/>
        </w:rPr>
      </w:pPr>
    </w:p>
    <w:p w:rsidRPr="0017052D" w:rsidR="00DB71EB" w:rsidP="0017052D">
      <w:pPr>
        <w:tabs>
          <w:tab w:val="left" w:pos="851"/>
        </w:tabs>
        <w:rPr>
          <w:b/>
          <w:color w:val="000000"/>
        </w:rPr>
      </w:pPr>
    </w:p>
    <w:p w:rsidRPr="0017052D" w:rsidR="00DB71EB" w:rsidP="00A32BDF">
      <w:pPr>
        <w:tabs>
          <w:tab w:val="left" w:pos="851"/>
        </w:tabs>
        <w:ind w:firstLine="709"/>
        <w:jc w:val="center"/>
        <w:rPr>
          <w:b/>
          <w:color w:val="000000"/>
        </w:rPr>
      </w:pPr>
      <w:r w:rsidRPr="0017052D">
        <w:rPr>
          <w:b/>
          <w:color w:val="000000"/>
        </w:rPr>
        <w:t>R O M Â N I A</w:t>
      </w:r>
    </w:p>
    <w:p w:rsidRPr="0017052D" w:rsidR="00DB71EB" w:rsidP="00A32BDF">
      <w:pPr>
        <w:tabs>
          <w:tab w:val="left" w:pos="851"/>
        </w:tabs>
        <w:ind w:firstLine="709"/>
        <w:jc w:val="center"/>
        <w:rPr>
          <w:b/>
          <w:color w:val="000000"/>
        </w:rPr>
      </w:pPr>
      <w:r w:rsidRPr="0017052D">
        <w:rPr>
          <w:b/>
          <w:color w:val="000000"/>
        </w:rPr>
        <w:t xml:space="preserve">CURTEA DE APEL </w:t>
      </w:r>
      <w:r w:rsidR="0082044A">
        <w:rPr>
          <w:b/>
          <w:color w:val="000000"/>
        </w:rPr>
        <w:t>............</w:t>
      </w:r>
    </w:p>
    <w:p w:rsidRPr="0017052D" w:rsidR="00DB71EB" w:rsidP="00A32BDF">
      <w:pPr>
        <w:tabs>
          <w:tab w:val="left" w:pos="851"/>
        </w:tabs>
        <w:ind w:firstLine="709"/>
        <w:jc w:val="center"/>
        <w:rPr>
          <w:b/>
          <w:color w:val="000000"/>
        </w:rPr>
      </w:pPr>
      <w:r w:rsidRPr="0017052D">
        <w:rPr>
          <w:b/>
          <w:color w:val="000000"/>
        </w:rPr>
        <w:t xml:space="preserve">SECŢIA </w:t>
      </w:r>
      <w:r w:rsidR="0082044A">
        <w:rPr>
          <w:b/>
          <w:color w:val="000000"/>
        </w:rPr>
        <w:t xml:space="preserve">.......... </w:t>
      </w:r>
      <w:r w:rsidRPr="0017052D">
        <w:rPr>
          <w:b/>
          <w:color w:val="000000"/>
        </w:rPr>
        <w:t>CONTENCIOS ADMINISTRATIV ŞI FISCAL</w:t>
      </w:r>
    </w:p>
    <w:p w:rsidRPr="0017052D" w:rsidR="00DB71EB" w:rsidP="00A32BDF">
      <w:pPr>
        <w:tabs>
          <w:tab w:val="left" w:pos="851"/>
        </w:tabs>
        <w:ind w:firstLine="709"/>
        <w:jc w:val="center"/>
        <w:rPr>
          <w:b/>
          <w:bCs/>
          <w:color w:val="000000"/>
        </w:rPr>
      </w:pPr>
      <w:r w:rsidR="0082044A">
        <w:rPr>
          <w:b/>
          <w:bCs/>
          <w:color w:val="000000"/>
        </w:rPr>
        <w:t>SENTINŢA CIVILĂ NR. .........</w:t>
      </w:r>
    </w:p>
    <w:p w:rsidRPr="0017052D" w:rsidR="00DB71EB" w:rsidP="00A32BDF">
      <w:pPr>
        <w:tabs>
          <w:tab w:val="left" w:pos="851"/>
        </w:tabs>
        <w:ind w:firstLine="709"/>
        <w:jc w:val="center"/>
        <w:rPr>
          <w:b/>
          <w:bCs/>
          <w:color w:val="000000"/>
        </w:rPr>
      </w:pPr>
      <w:r w:rsidRPr="0017052D">
        <w:rPr>
          <w:b/>
          <w:bCs/>
          <w:color w:val="000000"/>
        </w:rPr>
        <w:t xml:space="preserve">Şedinţa publică din  </w:t>
      </w:r>
      <w:r w:rsidRPr="0017052D" w:rsidR="00D469B1">
        <w:rPr>
          <w:b/>
          <w:bCs/>
          <w:color w:val="000000"/>
        </w:rPr>
        <w:t xml:space="preserve">data de </w:t>
      </w:r>
      <w:r w:rsidR="0082044A">
        <w:rPr>
          <w:b/>
          <w:bCs/>
          <w:color w:val="000000"/>
        </w:rPr>
        <w:t>...........</w:t>
      </w:r>
    </w:p>
    <w:p w:rsidRPr="0017052D" w:rsidR="00DB71EB" w:rsidP="00A32BDF">
      <w:pPr>
        <w:tabs>
          <w:tab w:val="left" w:pos="851"/>
        </w:tabs>
        <w:ind w:firstLine="709"/>
        <w:jc w:val="center"/>
        <w:rPr>
          <w:b/>
          <w:color w:val="000000"/>
        </w:rPr>
      </w:pPr>
      <w:r w:rsidRPr="0017052D">
        <w:rPr>
          <w:b/>
          <w:color w:val="000000"/>
        </w:rPr>
        <w:t>Curtea constituită din:</w:t>
      </w:r>
    </w:p>
    <w:p w:rsidRPr="0017052D" w:rsidR="00DB71EB" w:rsidP="00A32BDF">
      <w:pPr>
        <w:tabs>
          <w:tab w:val="left" w:pos="851"/>
        </w:tabs>
        <w:ind w:firstLine="709"/>
        <w:jc w:val="center"/>
        <w:rPr>
          <w:b/>
          <w:color w:val="000000"/>
        </w:rPr>
      </w:pPr>
      <w:r w:rsidRPr="0017052D" w:rsidR="00D469B1">
        <w:rPr>
          <w:b/>
          <w:color w:val="000000"/>
        </w:rPr>
        <w:t xml:space="preserve">PREŞEDINTE:  </w:t>
      </w:r>
      <w:r w:rsidR="0082044A">
        <w:rPr>
          <w:b/>
          <w:color w:val="000000"/>
        </w:rPr>
        <w:t>CANDIDAT A0009</w:t>
      </w:r>
    </w:p>
    <w:p w:rsidRPr="0017052D" w:rsidR="00DB71EB" w:rsidP="0017052D">
      <w:pPr>
        <w:tabs>
          <w:tab w:val="left" w:pos="851"/>
        </w:tabs>
        <w:ind w:firstLine="709"/>
        <w:jc w:val="center"/>
        <w:rPr>
          <w:b/>
          <w:color w:val="000000"/>
        </w:rPr>
      </w:pPr>
      <w:r w:rsidRPr="0017052D" w:rsidR="00D469B1">
        <w:rPr>
          <w:b/>
          <w:color w:val="000000"/>
        </w:rPr>
        <w:t xml:space="preserve">GREFIER: </w:t>
      </w:r>
      <w:r w:rsidR="0082044A">
        <w:rPr>
          <w:b/>
          <w:color w:val="000000"/>
        </w:rPr>
        <w:t>...............</w:t>
      </w:r>
    </w:p>
    <w:p w:rsidRPr="0017052D" w:rsidR="00DB71EB" w:rsidP="0017052D">
      <w:pPr>
        <w:tabs>
          <w:tab w:val="left" w:pos="851"/>
        </w:tabs>
        <w:ind w:firstLine="709"/>
        <w:jc w:val="center"/>
        <w:rPr>
          <w:color w:val="000000"/>
        </w:rPr>
      </w:pPr>
    </w:p>
    <w:p w:rsidRPr="0017052D" w:rsidR="00DB71EB" w:rsidP="00A32BDF">
      <w:pPr>
        <w:ind w:firstLine="709"/>
        <w:jc w:val="both"/>
        <w:rPr>
          <w:color w:val="000000"/>
        </w:rPr>
      </w:pPr>
      <w:r w:rsidRPr="0017052D">
        <w:rPr>
          <w:color w:val="000000"/>
        </w:rPr>
        <w:t xml:space="preserve">Pe rol se află soluţionarea cererii de chemare în judecată formulate de </w:t>
      </w:r>
      <w:r w:rsidRPr="0017052D">
        <w:rPr>
          <w:b/>
          <w:color w:val="000000"/>
        </w:rPr>
        <w:t>reclamantul Ministerul Educaţiei</w:t>
      </w:r>
      <w:r w:rsidRPr="0017052D" w:rsidR="00A32BDF">
        <w:rPr>
          <w:b/>
          <w:color w:val="000000"/>
        </w:rPr>
        <w:t>,</w:t>
      </w:r>
      <w:r w:rsidRPr="0017052D">
        <w:rPr>
          <w:color w:val="000000"/>
        </w:rPr>
        <w:t xml:space="preserve"> în contradictoriu cu </w:t>
      </w:r>
      <w:r w:rsidRPr="0017052D">
        <w:rPr>
          <w:b/>
          <w:color w:val="000000"/>
        </w:rPr>
        <w:t>pârâtul Consiliul Naţional pentru Combaterea Discriminării</w:t>
      </w:r>
      <w:r w:rsidRPr="0017052D">
        <w:rPr>
          <w:color w:val="000000"/>
        </w:rPr>
        <w:t>, având ca obiect anulare act administrativ.</w:t>
      </w:r>
    </w:p>
    <w:p w:rsidRPr="0017052D" w:rsidR="00DB71EB" w:rsidP="00A32BDF">
      <w:pPr>
        <w:ind w:firstLine="709"/>
        <w:jc w:val="both"/>
        <w:rPr>
          <w:color w:val="000000"/>
        </w:rPr>
      </w:pPr>
      <w:r w:rsidRPr="0017052D">
        <w:rPr>
          <w:color w:val="000000"/>
        </w:rPr>
        <w:t xml:space="preserve">Dezbaterile în cauza civilă de faţă au avut loc la data de </w:t>
      </w:r>
      <w:r w:rsidR="0082044A">
        <w:rPr>
          <w:color w:val="000000"/>
        </w:rPr>
        <w:t xml:space="preserve">.......... </w:t>
      </w:r>
      <w:r w:rsidRPr="0017052D">
        <w:rPr>
          <w:color w:val="000000"/>
        </w:rPr>
        <w:t xml:space="preserve">şi au fost consemnate în încheierea de şedinţă de la acea dată, iar Curtea, având nevoie de timp pentru a delibera, a amânat </w:t>
      </w:r>
      <w:r w:rsidRPr="0017052D" w:rsidR="00A32BDF">
        <w:rPr>
          <w:color w:val="000000"/>
        </w:rPr>
        <w:t xml:space="preserve">succesiv </w:t>
      </w:r>
      <w:r w:rsidRPr="0017052D">
        <w:rPr>
          <w:color w:val="000000"/>
        </w:rPr>
        <w:t xml:space="preserve">pronunţarea </w:t>
      </w:r>
      <w:r w:rsidRPr="0017052D" w:rsidR="00A32BDF">
        <w:rPr>
          <w:color w:val="000000"/>
        </w:rPr>
        <w:t xml:space="preserve">până </w:t>
      </w:r>
      <w:r w:rsidRPr="0017052D">
        <w:rPr>
          <w:color w:val="000000"/>
        </w:rPr>
        <w:t xml:space="preserve">la data de </w:t>
      </w:r>
      <w:r w:rsidR="0082044A">
        <w:rPr>
          <w:color w:val="000000"/>
        </w:rPr>
        <w:t>...........</w:t>
      </w:r>
      <w:r w:rsidRPr="0017052D">
        <w:rPr>
          <w:color w:val="000000"/>
        </w:rPr>
        <w:t xml:space="preserve">, când a dispus următoarele: </w:t>
      </w:r>
    </w:p>
    <w:p w:rsidRPr="0017052D" w:rsidR="00DB71EB" w:rsidP="00A32BDF">
      <w:pPr>
        <w:ind w:firstLine="709"/>
        <w:jc w:val="both"/>
        <w:rPr>
          <w:color w:val="000000"/>
        </w:rPr>
      </w:pPr>
    </w:p>
    <w:p w:rsidRPr="0017052D" w:rsidR="00DB71EB" w:rsidP="00A32BDF">
      <w:pPr>
        <w:ind w:firstLine="709"/>
        <w:jc w:val="center"/>
        <w:rPr>
          <w:b/>
          <w:color w:val="000000"/>
        </w:rPr>
      </w:pPr>
      <w:r w:rsidRPr="0017052D">
        <w:rPr>
          <w:b/>
          <w:color w:val="000000"/>
        </w:rPr>
        <w:t>CURTEA,</w:t>
      </w:r>
    </w:p>
    <w:p w:rsidRPr="0017052D" w:rsidR="00DB71EB" w:rsidP="00A32BDF">
      <w:pPr>
        <w:ind w:firstLine="709"/>
        <w:jc w:val="both"/>
        <w:rPr>
          <w:color w:val="000000"/>
        </w:rPr>
      </w:pPr>
    </w:p>
    <w:p w:rsidRPr="0017052D" w:rsidR="00A32BDF" w:rsidP="00A32BDF">
      <w:pPr>
        <w:ind w:firstLine="709"/>
        <w:jc w:val="both"/>
        <w:rPr>
          <w:b/>
          <w:bCs/>
          <w:color w:val="000000"/>
        </w:rPr>
      </w:pPr>
      <w:r w:rsidRPr="0017052D" w:rsidR="00F10CB8">
        <w:rPr>
          <w:b/>
          <w:bCs/>
          <w:color w:val="000000"/>
        </w:rPr>
        <w:t>Deliberând asupra cauzei, reţine următoarele:</w:t>
      </w:r>
    </w:p>
    <w:p w:rsidRPr="0017052D" w:rsidR="00F10CB8" w:rsidP="00A32BDF">
      <w:pPr>
        <w:ind w:firstLine="709"/>
        <w:jc w:val="both"/>
        <w:rPr>
          <w:b/>
          <w:bCs/>
          <w:color w:val="000000"/>
        </w:rPr>
      </w:pPr>
    </w:p>
    <w:p w:rsidRPr="0017052D" w:rsidR="00A32BDF" w:rsidP="00A32BDF">
      <w:pPr>
        <w:pStyle w:val="ListParagraph"/>
        <w:numPr>
          <w:ilvl w:val="0"/>
          <w:numId w:val="1"/>
        </w:numPr>
        <w:spacing w:after="0" w:line="240" w:lineRule="auto"/>
        <w:ind w:left="0" w:firstLine="709"/>
        <w:jc w:val="both"/>
        <w:rPr>
          <w:rFonts w:ascii="Times New Roman" w:hAnsi="Times New Roman"/>
          <w:b/>
          <w:bCs/>
          <w:color w:val="000000"/>
          <w:sz w:val="24"/>
          <w:szCs w:val="24"/>
        </w:rPr>
      </w:pPr>
      <w:r w:rsidRPr="0017052D">
        <w:rPr>
          <w:rFonts w:ascii="Times New Roman" w:hAnsi="Times New Roman"/>
          <w:b/>
          <w:bCs/>
          <w:color w:val="000000"/>
          <w:sz w:val="24"/>
          <w:szCs w:val="24"/>
        </w:rPr>
        <w:t>Obiectul acţiunii.</w:t>
      </w:r>
    </w:p>
    <w:p w:rsidRPr="0017052D" w:rsidR="00A32BDF" w:rsidP="00A32BDF">
      <w:pPr>
        <w:pStyle w:val="ListParagraph"/>
        <w:spacing w:after="0" w:line="240" w:lineRule="auto"/>
        <w:ind w:left="0" w:firstLine="709"/>
        <w:jc w:val="both"/>
        <w:rPr>
          <w:rFonts w:ascii="Times New Roman" w:hAnsi="Times New Roman"/>
          <w:color w:val="000000"/>
          <w:sz w:val="24"/>
          <w:szCs w:val="24"/>
        </w:rPr>
      </w:pPr>
    </w:p>
    <w:p w:rsidRPr="0017052D" w:rsidR="00A32BDF" w:rsidP="00A32BDF">
      <w:pPr>
        <w:pStyle w:val="ListParagraph"/>
        <w:spacing w:after="0" w:line="240" w:lineRule="auto"/>
        <w:ind w:left="0" w:firstLine="709"/>
        <w:jc w:val="both"/>
        <w:rPr>
          <w:rFonts w:ascii="Times New Roman" w:hAnsi="Times New Roman"/>
          <w:color w:val="000000"/>
          <w:sz w:val="24"/>
          <w:szCs w:val="24"/>
        </w:rPr>
      </w:pPr>
      <w:r w:rsidRPr="0017052D">
        <w:rPr>
          <w:rFonts w:ascii="Times New Roman" w:hAnsi="Times New Roman"/>
          <w:color w:val="000000"/>
          <w:sz w:val="24"/>
          <w:szCs w:val="24"/>
        </w:rPr>
        <w:t xml:space="preserve">Prin cererea de chemare în judecată înregistrată pe rolul </w:t>
      </w:r>
      <w:r w:rsidR="00104DB1">
        <w:rPr>
          <w:rFonts w:ascii="Times New Roman" w:hAnsi="Times New Roman"/>
          <w:color w:val="000000"/>
          <w:sz w:val="24"/>
          <w:szCs w:val="24"/>
        </w:rPr>
        <w:t>Curţii de Apel .........</w:t>
      </w:r>
      <w:r w:rsidRPr="0017052D">
        <w:rPr>
          <w:rFonts w:ascii="Times New Roman" w:hAnsi="Times New Roman"/>
          <w:color w:val="000000"/>
          <w:sz w:val="24"/>
          <w:szCs w:val="24"/>
        </w:rPr>
        <w:t xml:space="preserve"> sub nr. </w:t>
      </w:r>
      <w:r w:rsidR="0082044A">
        <w:rPr>
          <w:rFonts w:ascii="Times New Roman" w:hAnsi="Times New Roman"/>
          <w:color w:val="000000"/>
          <w:sz w:val="24"/>
          <w:szCs w:val="24"/>
        </w:rPr>
        <w:t>...........</w:t>
      </w:r>
      <w:r w:rsidRPr="0017052D">
        <w:rPr>
          <w:rFonts w:ascii="Times New Roman" w:hAnsi="Times New Roman"/>
          <w:color w:val="000000"/>
          <w:sz w:val="24"/>
          <w:szCs w:val="24"/>
        </w:rPr>
        <w:t xml:space="preserve">, Ministerul Educaţiei, în contradictoriu cu Consiliul Naţional pentru Combaterea Discriminării, a solicitat anularea Hotărârii nr. </w:t>
      </w:r>
      <w:r w:rsidR="00104DB1">
        <w:rPr>
          <w:rFonts w:ascii="Times New Roman" w:hAnsi="Times New Roman"/>
          <w:color w:val="000000"/>
          <w:sz w:val="24"/>
          <w:szCs w:val="24"/>
        </w:rPr>
        <w:t>......./16.11.2022</w:t>
      </w:r>
      <w:r w:rsidRPr="0017052D">
        <w:rPr>
          <w:rFonts w:ascii="Times New Roman" w:hAnsi="Times New Roman"/>
          <w:color w:val="000000"/>
          <w:sz w:val="24"/>
          <w:szCs w:val="24"/>
        </w:rPr>
        <w:t>.</w:t>
      </w:r>
    </w:p>
    <w:p w:rsidRPr="0017052D" w:rsidR="00A32BDF" w:rsidP="00A32BDF">
      <w:pPr>
        <w:pStyle w:val="ListParagraph"/>
        <w:spacing w:after="0" w:line="240" w:lineRule="auto"/>
        <w:ind w:left="0" w:firstLine="709"/>
        <w:jc w:val="both"/>
        <w:rPr>
          <w:rFonts w:ascii="Times New Roman" w:hAnsi="Times New Roman"/>
          <w:color w:val="000000"/>
          <w:sz w:val="24"/>
          <w:szCs w:val="24"/>
        </w:rPr>
      </w:pPr>
      <w:r w:rsidRPr="0017052D">
        <w:rPr>
          <w:rFonts w:ascii="Times New Roman" w:hAnsi="Times New Roman"/>
          <w:color w:val="000000"/>
          <w:sz w:val="24"/>
          <w:szCs w:val="24"/>
        </w:rPr>
        <w:t>În motivarea cererii de chemar</w:t>
      </w:r>
      <w:r w:rsidRPr="0017052D">
        <w:rPr>
          <w:rFonts w:ascii="Times New Roman" w:hAnsi="Times New Roman"/>
          <w:color w:val="000000"/>
          <w:sz w:val="24"/>
          <w:szCs w:val="24"/>
        </w:rPr>
        <w:t xml:space="preserve">e în judecată, s-a arătat că prin  Hotărârea nr. </w:t>
      </w:r>
      <w:r w:rsidR="00104DB1">
        <w:rPr>
          <w:rFonts w:ascii="Times New Roman" w:hAnsi="Times New Roman"/>
          <w:color w:val="000000"/>
          <w:sz w:val="24"/>
          <w:szCs w:val="24"/>
        </w:rPr>
        <w:t>......./16.11.2022</w:t>
      </w:r>
      <w:r w:rsidRPr="0017052D">
        <w:rPr>
          <w:rFonts w:ascii="Times New Roman" w:hAnsi="Times New Roman"/>
          <w:color w:val="000000"/>
          <w:sz w:val="24"/>
          <w:szCs w:val="24"/>
        </w:rPr>
        <w:t xml:space="preserve"> a fost sancţionată cu amendă contravenţională în cuantum 10.000 lei, apreciindu-se că, prin emiterea Ordinului nr. 5379/2011, mai exact prin art. </w:t>
      </w:r>
      <w:r w:rsidRPr="0017052D">
        <w:rPr>
          <w:rFonts w:ascii="Times New Roman" w:hAnsi="Times New Roman" w:eastAsia="Times New Roman"/>
          <w:color w:val="000000"/>
          <w:sz w:val="24"/>
          <w:szCs w:val="24"/>
        </w:rPr>
        <w:t xml:space="preserve">9 şi art. 15 alin. lit. d), a fost creată o situaţie discriminatorie între elevi cu privire la accesarea bursei sociale şi a bursei de merit, fiind încălcate, astfel, dispoziţiile </w:t>
      </w:r>
      <w:r w:rsidRPr="0017052D">
        <w:rPr>
          <w:rFonts w:ascii="Times New Roman" w:hAnsi="Times New Roman" w:eastAsia="Times New Roman"/>
          <w:color w:val="000000"/>
          <w:sz w:val="24"/>
          <w:szCs w:val="24"/>
          <w:lang w:eastAsia="ro-RO"/>
        </w:rPr>
        <w:t>art. 2 alin. 1 şi alin. 3, ale art. 10 lit. h) şi ale art. 11 alin. 1 din O.G. nr. 137/2000.</w:t>
      </w:r>
    </w:p>
    <w:p w:rsidRPr="0017052D" w:rsidR="00A32BDF" w:rsidP="00A32BDF">
      <w:pPr>
        <w:pStyle w:val="ListParagraph"/>
        <w:spacing w:after="0" w:line="240" w:lineRule="auto"/>
        <w:ind w:left="0" w:firstLine="709"/>
        <w:jc w:val="both"/>
        <w:rPr>
          <w:rFonts w:ascii="Times New Roman" w:hAnsi="Times New Roman"/>
          <w:color w:val="000000"/>
          <w:sz w:val="24"/>
          <w:szCs w:val="24"/>
        </w:rPr>
      </w:pPr>
      <w:bookmarkStart w:name="_Hlk204417421" w:id="0"/>
      <w:r w:rsidRPr="0017052D">
        <w:rPr>
          <w:rFonts w:ascii="Times New Roman" w:hAnsi="Times New Roman"/>
          <w:color w:val="000000"/>
          <w:sz w:val="24"/>
          <w:szCs w:val="24"/>
        </w:rPr>
        <w:t>Criticile de nelegalitate</w:t>
      </w:r>
      <w:r w:rsidRPr="0017052D">
        <w:rPr>
          <w:rFonts w:ascii="Times New Roman" w:hAnsi="Times New Roman"/>
          <w:color w:val="000000"/>
          <w:sz w:val="24"/>
          <w:szCs w:val="24"/>
        </w:rPr>
        <w:t xml:space="preserve"> </w:t>
      </w:r>
      <w:bookmarkEnd w:id="0"/>
      <w:r w:rsidRPr="0017052D">
        <w:rPr>
          <w:rFonts w:ascii="Times New Roman" w:hAnsi="Times New Roman"/>
          <w:color w:val="000000"/>
          <w:sz w:val="24"/>
          <w:szCs w:val="24"/>
        </w:rPr>
        <w:t xml:space="preserve">aduse Hotărârii nr. </w:t>
      </w:r>
      <w:r w:rsidR="00104DB1">
        <w:rPr>
          <w:rFonts w:ascii="Times New Roman" w:hAnsi="Times New Roman"/>
          <w:color w:val="000000"/>
          <w:sz w:val="24"/>
          <w:szCs w:val="24"/>
        </w:rPr>
        <w:t>......./16.11.2022</w:t>
      </w:r>
      <w:r w:rsidRPr="0017052D">
        <w:rPr>
          <w:rFonts w:ascii="Times New Roman" w:hAnsi="Times New Roman"/>
          <w:color w:val="000000"/>
          <w:sz w:val="24"/>
          <w:szCs w:val="24"/>
        </w:rPr>
        <w:t xml:space="preserve"> sunt următoarele:</w:t>
      </w:r>
    </w:p>
    <w:p w:rsidRPr="0017052D" w:rsidR="00A32BDF" w:rsidP="00A32BDF">
      <w:pPr>
        <w:pStyle w:val="ListParagraph"/>
        <w:numPr>
          <w:ilvl w:val="0"/>
          <w:numId w:val="2"/>
        </w:numPr>
        <w:spacing w:after="0" w:line="240" w:lineRule="auto"/>
        <w:ind w:left="0" w:firstLine="709"/>
        <w:jc w:val="both"/>
        <w:rPr>
          <w:rFonts w:ascii="Times New Roman" w:hAnsi="Times New Roman"/>
          <w:color w:val="000000"/>
          <w:sz w:val="24"/>
          <w:szCs w:val="24"/>
        </w:rPr>
      </w:pPr>
      <w:bookmarkStart w:name="_Hlk204172854" w:id="1"/>
      <w:bookmarkStart w:name="_Hlk204178667" w:id="2"/>
      <w:r w:rsidRPr="0017052D">
        <w:rPr>
          <w:rFonts w:ascii="Times New Roman" w:hAnsi="Times New Roman"/>
          <w:color w:val="000000"/>
          <w:sz w:val="24"/>
          <w:szCs w:val="24"/>
        </w:rPr>
        <w:t>deşi este real că, subsecvent comunicării autosesizării în vederea exprimării unui punct de vedere, nu a prezentat o justificare obiectivă cu privire la eliminarea bursei sociale, o astfel de omisiune a fost cauzată de maniera în care a fost redactată autosesizarea, în sensul că din cuprinsul acesteia, deşi se face referire la bursa socială, trimiterile au fost făcute la criteriile prevăzute în cuprinsul Ordinului nr. 5379/2022  cu privire la bursa de merit;</w:t>
      </w:r>
    </w:p>
    <w:p w:rsidRPr="0017052D" w:rsidR="00A32BDF" w:rsidP="00A32BDF">
      <w:pPr>
        <w:pStyle w:val="ListParagraph"/>
        <w:numPr>
          <w:ilvl w:val="0"/>
          <w:numId w:val="2"/>
        </w:numPr>
        <w:spacing w:after="0" w:line="240" w:lineRule="auto"/>
        <w:ind w:left="0" w:firstLine="709"/>
        <w:jc w:val="both"/>
        <w:rPr>
          <w:rFonts w:ascii="Times New Roman" w:hAnsi="Times New Roman"/>
          <w:color w:val="000000"/>
          <w:sz w:val="24"/>
          <w:szCs w:val="24"/>
        </w:rPr>
      </w:pPr>
      <w:bookmarkEnd w:id="1"/>
      <w:r w:rsidRPr="0017052D">
        <w:rPr>
          <w:rFonts w:ascii="Times New Roman" w:hAnsi="Times New Roman"/>
          <w:color w:val="000000"/>
          <w:sz w:val="24"/>
          <w:szCs w:val="24"/>
        </w:rPr>
        <w:t>este eronată concluzia pârâtului în sensul că de la beneficiul bursei sociale a fost exclusă o categorie de elevi, aceasta fiind contrazisă de conţinutul prevederilor art. 15 din Ordin care vizează o situaţie în care elevii pot sau nu să se afle; în plus, din cuprinsul dispoziţiilor  art. 15, rezultă că elevii de liceu, care sunt şcolarizaţi în altă localitate decât cea de domiciliu, au acces la bursa de ajutor social, dacă se află în situaţiile prevăzute la art.15 lit. a)-c);</w:t>
      </w:r>
    </w:p>
    <w:p w:rsidRPr="0017052D" w:rsidR="00A32BDF" w:rsidP="00A32BDF">
      <w:pPr>
        <w:pStyle w:val="ListParagraph"/>
        <w:numPr>
          <w:ilvl w:val="0"/>
          <w:numId w:val="2"/>
        </w:numPr>
        <w:spacing w:after="0" w:line="240" w:lineRule="auto"/>
        <w:ind w:left="0" w:firstLine="709"/>
        <w:jc w:val="both"/>
        <w:rPr>
          <w:rFonts w:ascii="Times New Roman" w:hAnsi="Times New Roman"/>
          <w:color w:val="000000"/>
          <w:sz w:val="24"/>
          <w:szCs w:val="24"/>
        </w:rPr>
      </w:pPr>
      <w:r w:rsidRPr="0017052D">
        <w:rPr>
          <w:rFonts w:ascii="Times New Roman" w:hAnsi="Times New Roman"/>
          <w:color w:val="000000"/>
          <w:sz w:val="24"/>
          <w:szCs w:val="24"/>
        </w:rPr>
        <w:t>în contextul modificării structurii anului şcolar 2022-2023 prin Ordinul nr. 3505/31.03.2022, în sensul că acesta se va împărţi în module şi nu în semestre, Ordinul nr. 5379/2022 nu a făcut altceva decât să adapteze criteriile de acordare a burselor la noua situaţie, caracterizată prin eliminarea semestrelor; întrucât în învăţământul primar evaluarea se face prin calificative şi nu prin note, nu se poate stabili o medie generală anuală, astfel încât să se poată acorda bursa de merit şi elevilor din clasa a V-a; dacă, s-ar accepta teza susţinută de C.N.C.D. ar însemna ca elevii din clasa a V-a să beneficieze de burse de merit în baza calificativelor, ceea ce ar determina o situaţie discriminatorie în raport cu elevii din celelalte clase (respectiv, clasa a VI-a, a VII-a şi a VIII-a).</w:t>
      </w:r>
    </w:p>
    <w:p w:rsidRPr="0017052D" w:rsidR="00A32BDF" w:rsidP="00A32BDF">
      <w:pPr>
        <w:ind w:firstLine="709"/>
        <w:jc w:val="both"/>
        <w:rPr>
          <w:color w:val="000000"/>
        </w:rPr>
      </w:pPr>
      <w:bookmarkEnd w:id="2"/>
      <w:r w:rsidRPr="0017052D">
        <w:rPr>
          <w:color w:val="000000"/>
        </w:rPr>
        <w:t>În drept, au fost invocate dispoziţiile O.G. nr. 137/2000 şi cele ale Legii nr. 554/2004.</w:t>
      </w:r>
    </w:p>
    <w:p w:rsidRPr="0017052D" w:rsidR="00A32BDF" w:rsidP="00A32BDF">
      <w:pPr>
        <w:ind w:firstLine="709"/>
        <w:jc w:val="both"/>
        <w:rPr>
          <w:color w:val="000000"/>
        </w:rPr>
      </w:pPr>
    </w:p>
    <w:p w:rsidRPr="0017052D" w:rsidR="00A32BDF" w:rsidP="00A32BDF">
      <w:pPr>
        <w:pStyle w:val="ListParagraph"/>
        <w:numPr>
          <w:ilvl w:val="0"/>
          <w:numId w:val="1"/>
        </w:numPr>
        <w:spacing w:after="0" w:line="240" w:lineRule="auto"/>
        <w:ind w:left="0" w:firstLine="709"/>
        <w:jc w:val="both"/>
        <w:rPr>
          <w:rFonts w:ascii="Times New Roman" w:hAnsi="Times New Roman"/>
          <w:b/>
          <w:bCs/>
          <w:color w:val="000000"/>
          <w:sz w:val="24"/>
          <w:szCs w:val="24"/>
        </w:rPr>
      </w:pPr>
      <w:r w:rsidRPr="0017052D">
        <w:rPr>
          <w:rFonts w:ascii="Times New Roman" w:hAnsi="Times New Roman"/>
          <w:b/>
          <w:bCs/>
          <w:color w:val="000000"/>
          <w:sz w:val="24"/>
          <w:szCs w:val="24"/>
        </w:rPr>
        <w:t>Aspecte procesuale relevante.</w:t>
      </w:r>
    </w:p>
    <w:p w:rsidRPr="0017052D" w:rsidR="00A32BDF" w:rsidP="00A32BDF">
      <w:pPr>
        <w:ind w:firstLine="709"/>
        <w:jc w:val="both"/>
        <w:rPr>
          <w:color w:val="000000"/>
        </w:rPr>
      </w:pPr>
    </w:p>
    <w:p w:rsidRPr="0017052D" w:rsidR="00A32BDF" w:rsidP="00A32BDF">
      <w:pPr>
        <w:pStyle w:val="ListParagraph"/>
        <w:spacing w:after="0" w:line="240" w:lineRule="auto"/>
        <w:ind w:left="0" w:firstLine="709"/>
        <w:jc w:val="both"/>
        <w:rPr>
          <w:rFonts w:ascii="Times New Roman" w:hAnsi="Times New Roman"/>
          <w:color w:val="000000"/>
          <w:sz w:val="24"/>
          <w:szCs w:val="24"/>
        </w:rPr>
      </w:pPr>
      <w:r w:rsidRPr="0017052D">
        <w:rPr>
          <w:rFonts w:ascii="Times New Roman" w:hAnsi="Times New Roman"/>
          <w:color w:val="000000"/>
          <w:sz w:val="24"/>
          <w:szCs w:val="24"/>
        </w:rPr>
        <w:t>Pârâtul, deşi legal citat, nu a formulat întâmpinare.</w:t>
      </w:r>
    </w:p>
    <w:p w:rsidRPr="0017052D" w:rsidR="00A32BDF" w:rsidP="00A32BDF">
      <w:pPr>
        <w:pStyle w:val="ListParagraph"/>
        <w:spacing w:after="0" w:line="240" w:lineRule="auto"/>
        <w:ind w:left="0" w:firstLine="709"/>
        <w:jc w:val="both"/>
        <w:rPr>
          <w:rFonts w:ascii="Times New Roman" w:hAnsi="Times New Roman"/>
          <w:color w:val="000000"/>
          <w:sz w:val="24"/>
          <w:szCs w:val="24"/>
        </w:rPr>
      </w:pPr>
      <w:r w:rsidRPr="0017052D">
        <w:rPr>
          <w:rFonts w:ascii="Times New Roman" w:hAnsi="Times New Roman"/>
          <w:color w:val="000000"/>
          <w:sz w:val="24"/>
          <w:szCs w:val="24"/>
        </w:rPr>
        <w:t>Curtea, în baza art. 255 rap. la art. 254 C.pr.civ., a încuviinţat administrarea probei cu înscrisuri, respectiv dosarul administrativ comunicat de C.N.C.D., apreciind că proba este admisibilă şi aptă să ducă la dezlegarea cauzei.</w:t>
      </w:r>
    </w:p>
    <w:p w:rsidRPr="0017052D" w:rsidR="00A32BDF" w:rsidP="00A32BDF">
      <w:pPr>
        <w:ind w:firstLine="709"/>
        <w:jc w:val="both"/>
        <w:rPr>
          <w:b/>
          <w:bCs/>
          <w:color w:val="000000"/>
        </w:rPr>
      </w:pPr>
    </w:p>
    <w:p w:rsidRPr="0017052D" w:rsidR="00A32BDF" w:rsidP="00A32BDF">
      <w:pPr>
        <w:pStyle w:val="ListParagraph"/>
        <w:numPr>
          <w:ilvl w:val="0"/>
          <w:numId w:val="1"/>
        </w:numPr>
        <w:spacing w:after="0" w:line="240" w:lineRule="auto"/>
        <w:ind w:left="0" w:firstLine="709"/>
        <w:jc w:val="both"/>
        <w:rPr>
          <w:rFonts w:ascii="Times New Roman" w:hAnsi="Times New Roman"/>
          <w:b/>
          <w:bCs/>
          <w:color w:val="000000"/>
          <w:sz w:val="24"/>
          <w:szCs w:val="24"/>
        </w:rPr>
      </w:pPr>
      <w:r w:rsidRPr="0017052D">
        <w:rPr>
          <w:rFonts w:ascii="Times New Roman" w:hAnsi="Times New Roman"/>
          <w:b/>
          <w:bCs/>
          <w:color w:val="000000"/>
          <w:sz w:val="24"/>
          <w:szCs w:val="24"/>
        </w:rPr>
        <w:t xml:space="preserve">Considerentele </w:t>
      </w:r>
      <w:r w:rsidR="00104DB1">
        <w:rPr>
          <w:rFonts w:ascii="Times New Roman" w:hAnsi="Times New Roman"/>
          <w:b/>
          <w:bCs/>
          <w:color w:val="000000"/>
          <w:sz w:val="24"/>
          <w:szCs w:val="24"/>
        </w:rPr>
        <w:t>Curţii de Apel .........</w:t>
      </w:r>
      <w:r w:rsidRPr="0017052D">
        <w:rPr>
          <w:rFonts w:ascii="Times New Roman" w:hAnsi="Times New Roman"/>
          <w:b/>
          <w:bCs/>
          <w:color w:val="000000"/>
          <w:sz w:val="24"/>
          <w:szCs w:val="24"/>
        </w:rPr>
        <w:t>.</w:t>
      </w:r>
    </w:p>
    <w:p w:rsidRPr="0017052D" w:rsidR="00A32BDF" w:rsidP="00A32BDF">
      <w:pPr>
        <w:ind w:firstLine="709"/>
        <w:jc w:val="both"/>
        <w:rPr>
          <w:b/>
          <w:bCs/>
          <w:color w:val="000000"/>
        </w:rPr>
      </w:pPr>
    </w:p>
    <w:p w:rsidRPr="0017052D" w:rsidR="00A32BDF" w:rsidP="00A32BDF">
      <w:pPr>
        <w:pStyle w:val="ListParagraph"/>
        <w:numPr>
          <w:ilvl w:val="1"/>
          <w:numId w:val="1"/>
        </w:numPr>
        <w:spacing w:after="0" w:line="240" w:lineRule="auto"/>
        <w:ind w:left="0" w:firstLine="709"/>
        <w:jc w:val="both"/>
        <w:rPr>
          <w:rFonts w:ascii="Times New Roman" w:hAnsi="Times New Roman"/>
          <w:b/>
          <w:bCs/>
          <w:color w:val="000000"/>
          <w:sz w:val="24"/>
          <w:szCs w:val="24"/>
        </w:rPr>
      </w:pPr>
      <w:r w:rsidRPr="0017052D">
        <w:rPr>
          <w:rFonts w:ascii="Times New Roman" w:hAnsi="Times New Roman"/>
          <w:b/>
          <w:bCs/>
          <w:color w:val="000000"/>
          <w:sz w:val="24"/>
          <w:szCs w:val="24"/>
        </w:rPr>
        <w:t>Situaţia de fapt relevantă pentru dezlegarea cauzei.</w:t>
      </w:r>
    </w:p>
    <w:p w:rsidRPr="0017052D" w:rsidR="00A32BDF" w:rsidP="00A32BDF">
      <w:pPr>
        <w:ind w:firstLine="709"/>
        <w:jc w:val="both"/>
        <w:rPr>
          <w:b/>
          <w:bCs/>
          <w:color w:val="000000"/>
        </w:rPr>
      </w:pPr>
    </w:p>
    <w:p w:rsidRPr="0017052D" w:rsidR="00A32BDF" w:rsidP="00A32BDF">
      <w:pPr>
        <w:pStyle w:val="ListParagraph"/>
        <w:numPr>
          <w:ilvl w:val="2"/>
          <w:numId w:val="1"/>
        </w:numPr>
        <w:spacing w:after="0" w:line="240" w:lineRule="auto"/>
        <w:ind w:left="0" w:firstLine="709"/>
        <w:jc w:val="both"/>
        <w:rPr>
          <w:rFonts w:ascii="Times New Roman" w:hAnsi="Times New Roman"/>
          <w:color w:val="000000"/>
          <w:sz w:val="24"/>
          <w:szCs w:val="24"/>
        </w:rPr>
      </w:pPr>
      <w:r w:rsidRPr="0017052D">
        <w:rPr>
          <w:rFonts w:ascii="Times New Roman" w:hAnsi="Times New Roman"/>
          <w:color w:val="000000"/>
          <w:sz w:val="24"/>
          <w:szCs w:val="24"/>
        </w:rPr>
        <w:t>Pri</w:t>
      </w:r>
      <w:r w:rsidRPr="0017052D">
        <w:rPr>
          <w:rFonts w:ascii="Times New Roman" w:hAnsi="Times New Roman"/>
          <w:color w:val="000000"/>
          <w:sz w:val="24"/>
          <w:szCs w:val="24"/>
        </w:rPr>
        <w:t>n Ordinul nr. 5379/2022 s-au aprobat Criteriile generale de acordare a burselor elevilor din învăţământul preuniversitar.</w:t>
      </w:r>
    </w:p>
    <w:p w:rsidRPr="0017052D" w:rsidR="00A32BDF" w:rsidP="00A32BDF">
      <w:pPr>
        <w:pStyle w:val="ListParagraph"/>
        <w:spacing w:after="0" w:line="240" w:lineRule="auto"/>
        <w:ind w:left="0" w:firstLine="709"/>
        <w:jc w:val="both"/>
        <w:rPr>
          <w:rFonts w:ascii="Times New Roman" w:hAnsi="Times New Roman"/>
          <w:color w:val="000000"/>
          <w:sz w:val="24"/>
          <w:szCs w:val="24"/>
        </w:rPr>
      </w:pPr>
      <w:r w:rsidRPr="0017052D">
        <w:rPr>
          <w:rFonts w:ascii="Times New Roman" w:hAnsi="Times New Roman"/>
          <w:color w:val="000000"/>
          <w:sz w:val="24"/>
          <w:szCs w:val="24"/>
        </w:rPr>
        <w:t>Prevederile din actul normativ antereferit, relevante pentru litigiul pendinte, sunt următoarele:</w:t>
      </w:r>
    </w:p>
    <w:p w:rsidRPr="0017052D" w:rsidR="00A32BDF" w:rsidP="00A32BDF">
      <w:pPr>
        <w:pStyle w:val="ListParagraph"/>
        <w:numPr>
          <w:ilvl w:val="0"/>
          <w:numId w:val="3"/>
        </w:numPr>
        <w:spacing w:after="0" w:line="240" w:lineRule="auto"/>
        <w:ind w:left="0" w:firstLine="709"/>
        <w:jc w:val="both"/>
        <w:rPr>
          <w:rFonts w:ascii="Times New Roman" w:hAnsi="Times New Roman"/>
          <w:i/>
          <w:iCs/>
          <w:color w:val="000000"/>
          <w:sz w:val="24"/>
          <w:szCs w:val="24"/>
        </w:rPr>
      </w:pPr>
      <w:r w:rsidRPr="0017052D">
        <w:rPr>
          <w:rFonts w:ascii="Times New Roman" w:hAnsi="Times New Roman"/>
          <w:color w:val="000000"/>
          <w:sz w:val="24"/>
          <w:szCs w:val="24"/>
        </w:rPr>
        <w:t>articolul 9: „</w:t>
      </w:r>
      <w:r w:rsidRPr="0017052D">
        <w:rPr>
          <w:rFonts w:ascii="Times New Roman" w:hAnsi="Times New Roman"/>
          <w:i/>
          <w:iCs/>
          <w:color w:val="000000"/>
          <w:sz w:val="24"/>
          <w:szCs w:val="24"/>
        </w:rPr>
        <w:t>Bursele de merit se acordă elevilor din clasele a VI-a – a XII-a de la cursurile cu frecvenţă din învăţământul preuniversitar de stat, în funcţie de rezultatele obţinute la învăţătură.”;</w:t>
      </w:r>
    </w:p>
    <w:p w:rsidRPr="0017052D" w:rsidR="00A32BDF" w:rsidP="00A32BDF">
      <w:pPr>
        <w:pStyle w:val="ListParagraph"/>
        <w:numPr>
          <w:ilvl w:val="0"/>
          <w:numId w:val="3"/>
        </w:numPr>
        <w:spacing w:after="0" w:line="240" w:lineRule="auto"/>
        <w:ind w:left="0" w:firstLine="709"/>
        <w:jc w:val="both"/>
        <w:rPr>
          <w:rFonts w:ascii="Times New Roman" w:hAnsi="Times New Roman"/>
          <w:color w:val="000000"/>
          <w:sz w:val="24"/>
          <w:szCs w:val="24"/>
        </w:rPr>
      </w:pPr>
      <w:r w:rsidRPr="0017052D">
        <w:rPr>
          <w:rFonts w:ascii="Times New Roman" w:hAnsi="Times New Roman"/>
          <w:color w:val="000000"/>
          <w:sz w:val="24"/>
          <w:szCs w:val="24"/>
        </w:rPr>
        <w:t>articolul 15 alin. 1 lit. d): „</w:t>
      </w:r>
      <w:r w:rsidRPr="0017052D">
        <w:rPr>
          <w:rFonts w:ascii="Times New Roman" w:hAnsi="Times New Roman" w:eastAsia="Times New Roman"/>
          <w:i/>
          <w:iCs/>
          <w:color w:val="000000"/>
          <w:sz w:val="24"/>
          <w:szCs w:val="24"/>
          <w:lang w:eastAsia="ro-RO"/>
        </w:rPr>
        <w:t>Bursele de ajutor social se acordă elevilor din învăţământul preuniversitar de stat înscrişi la cursurile cu frecvenţă, inclusiv celor şcolarizaţi la domiciliu sau care urmează cursurile în şcoala de spital, care se încadrează în cel puţin una dintre următoarele situaţii: (...) d) elevii din învăţământul primar şi gimnazial din mediul rural, care sunt şcolarizaţi într-o altă localitate, întrucât nu au posibilitatea să studieze într-o unitate de învăţământ din localitatea de domiciliu, acordarea bursei nefiind condiţionată de venitul net lunar al familiei; prin localitate se înţelege comuna/oraşul cu subdiviziunile sale administrative.”.</w:t>
      </w:r>
    </w:p>
    <w:p w:rsidRPr="0017052D" w:rsidR="00A32BDF" w:rsidP="00A32BDF">
      <w:pPr>
        <w:pStyle w:val="ListParagraph"/>
        <w:numPr>
          <w:ilvl w:val="2"/>
          <w:numId w:val="1"/>
        </w:numPr>
        <w:spacing w:after="0" w:line="240" w:lineRule="auto"/>
        <w:ind w:left="0" w:firstLine="709"/>
        <w:jc w:val="both"/>
        <w:rPr>
          <w:rFonts w:ascii="Times New Roman" w:hAnsi="Times New Roman"/>
          <w:color w:val="000000"/>
          <w:sz w:val="24"/>
          <w:szCs w:val="24"/>
        </w:rPr>
      </w:pPr>
      <w:r w:rsidRPr="0017052D">
        <w:rPr>
          <w:rFonts w:ascii="Times New Roman" w:hAnsi="Times New Roman"/>
          <w:color w:val="000000"/>
          <w:sz w:val="24"/>
          <w:szCs w:val="24"/>
        </w:rPr>
        <w:t xml:space="preserve">Prin autosesizarea înregistrată cu nr. </w:t>
      </w:r>
      <w:r w:rsidR="00104DB1">
        <w:rPr>
          <w:rFonts w:ascii="Times New Roman" w:hAnsi="Times New Roman"/>
          <w:color w:val="000000"/>
          <w:sz w:val="24"/>
          <w:szCs w:val="24"/>
        </w:rPr>
        <w:t>.......</w:t>
      </w:r>
      <w:r w:rsidRPr="0017052D">
        <w:rPr>
          <w:rFonts w:ascii="Times New Roman" w:hAnsi="Times New Roman"/>
          <w:color w:val="000000"/>
          <w:sz w:val="24"/>
          <w:szCs w:val="24"/>
        </w:rPr>
        <w:t xml:space="preserve">/14.09.2022, doamna </w:t>
      </w:r>
      <w:r w:rsidR="00104DB1">
        <w:rPr>
          <w:rFonts w:ascii="Times New Roman" w:hAnsi="Times New Roman"/>
          <w:color w:val="000000"/>
          <w:sz w:val="24"/>
          <w:szCs w:val="24"/>
        </w:rPr>
        <w:t>AB</w:t>
      </w:r>
      <w:r w:rsidRPr="0017052D">
        <w:rPr>
          <w:rFonts w:ascii="Times New Roman" w:hAnsi="Times New Roman"/>
          <w:color w:val="000000"/>
          <w:sz w:val="24"/>
          <w:szCs w:val="24"/>
        </w:rPr>
        <w:t>, membru al Colegiului Director din cadrul Consiliului Naţional pentru Combaterea Discriminării, a semnalat o posibilă încălcare a dreptului la educaţie şi şanse egale a elevilor în urma emiterii Ordinului nr. 5379/07.09.2022 pentru aprobarea Criteriilor generale de acordare a burselor elevilor din învăţământul preuniversitar.</w:t>
      </w:r>
    </w:p>
    <w:p w:rsidRPr="0017052D" w:rsidR="00A32BDF" w:rsidP="00A32BDF">
      <w:pPr>
        <w:pStyle w:val="ListParagraph"/>
        <w:numPr>
          <w:ilvl w:val="2"/>
          <w:numId w:val="1"/>
        </w:numPr>
        <w:spacing w:after="0" w:line="240" w:lineRule="auto"/>
        <w:ind w:left="0" w:firstLine="709"/>
        <w:jc w:val="both"/>
        <w:rPr>
          <w:rFonts w:ascii="Times New Roman" w:hAnsi="Times New Roman"/>
          <w:color w:val="000000"/>
          <w:sz w:val="24"/>
          <w:szCs w:val="24"/>
        </w:rPr>
      </w:pPr>
      <w:r w:rsidRPr="0017052D">
        <w:rPr>
          <w:rFonts w:ascii="Times New Roman" w:hAnsi="Times New Roman"/>
          <w:color w:val="000000"/>
          <w:sz w:val="24"/>
          <w:szCs w:val="24"/>
        </w:rPr>
        <w:t xml:space="preserve">Prin Hotărârea nr. </w:t>
      </w:r>
      <w:r w:rsidR="00104DB1">
        <w:rPr>
          <w:rFonts w:ascii="Times New Roman" w:hAnsi="Times New Roman"/>
          <w:color w:val="000000"/>
          <w:sz w:val="24"/>
          <w:szCs w:val="24"/>
        </w:rPr>
        <w:t>......./16.11.2022</w:t>
      </w:r>
      <w:r w:rsidRPr="0017052D">
        <w:rPr>
          <w:rFonts w:ascii="Times New Roman" w:hAnsi="Times New Roman"/>
          <w:color w:val="000000"/>
          <w:sz w:val="24"/>
          <w:szCs w:val="24"/>
        </w:rPr>
        <w:t xml:space="preserve"> (fil</w:t>
      </w:r>
      <w:r w:rsidRPr="0017052D">
        <w:rPr>
          <w:rFonts w:ascii="Times New Roman" w:hAnsi="Times New Roman"/>
          <w:color w:val="000000"/>
          <w:sz w:val="24"/>
          <w:szCs w:val="24"/>
        </w:rPr>
        <w:t xml:space="preserve">ele 16 şi următoarele), </w:t>
      </w:r>
      <w:r w:rsidRPr="0017052D">
        <w:rPr>
          <w:rFonts w:ascii="Times New Roman" w:hAnsi="Times New Roman" w:eastAsia="Times New Roman"/>
          <w:color w:val="000000"/>
          <w:sz w:val="24"/>
          <w:szCs w:val="24"/>
          <w:lang w:eastAsia="ro-RO"/>
        </w:rPr>
        <w:t>Consiliului Naţional pentru Combaterea Discriminării a constatat că aspectele sesizate se confirmă, intrând sub incidenţa prevederilor art. 2 alin. 1 şi alin. 3, ale art. 10 lit. h) şi ale art. 11 alin. 1 din O.G. nr. 137/2000.</w:t>
      </w:r>
    </w:p>
    <w:p w:rsidRPr="0017052D" w:rsidR="00A32BDF" w:rsidP="00A32BDF">
      <w:pPr>
        <w:ind w:firstLine="709"/>
        <w:jc w:val="both"/>
        <w:rPr>
          <w:color w:val="000000"/>
        </w:rPr>
      </w:pPr>
      <w:r w:rsidRPr="0017052D">
        <w:rPr>
          <w:color w:val="000000"/>
        </w:rPr>
        <w:t>Pent</w:t>
      </w:r>
      <w:r w:rsidRPr="0017052D">
        <w:rPr>
          <w:color w:val="000000"/>
        </w:rPr>
        <w:t>ru a decide în acest sens, Colegiul Director a reţinut următoarele:</w:t>
      </w:r>
    </w:p>
    <w:p w:rsidRPr="0017052D" w:rsidR="00A32BDF" w:rsidP="00A32BDF">
      <w:pPr>
        <w:ind w:firstLine="709"/>
        <w:jc w:val="both"/>
        <w:rPr>
          <w:color w:val="000000"/>
        </w:rPr>
      </w:pPr>
      <w:r w:rsidRPr="0017052D">
        <w:rPr>
          <w:color w:val="000000"/>
        </w:rPr>
        <w:t>&lt;&lt;</w:t>
      </w:r>
      <w:r w:rsidRPr="0017052D">
        <w:rPr>
          <w:i/>
          <w:iCs/>
          <w:color w:val="000000"/>
        </w:rPr>
        <w:t>36. Colegiul director reţine că în data de 7 septembrie 2022, Ministerul Educaţiei a adoptat Ordinul nr.  5379/2022 pentru aprobarea Criteriilor de acordare a burselor  (...); prin adoptarea noilor criterii a fost eliminată bursa de ajutor social pentru elevii din mediul rural din învăţământul liceal, precum şi bursa de merit pentru elevii din clasele a V-a</w:t>
      </w:r>
      <w:r w:rsidRPr="0017052D">
        <w:rPr>
          <w:color w:val="000000"/>
        </w:rPr>
        <w:t>. (...).</w:t>
      </w:r>
    </w:p>
    <w:p w:rsidRPr="0017052D" w:rsidR="00A32BDF" w:rsidP="00A32BDF">
      <w:pPr>
        <w:ind w:firstLine="709"/>
        <w:jc w:val="both"/>
        <w:rPr>
          <w:i/>
          <w:iCs/>
          <w:color w:val="000000"/>
        </w:rPr>
      </w:pPr>
      <w:r w:rsidRPr="0017052D">
        <w:rPr>
          <w:i/>
          <w:iCs/>
          <w:color w:val="000000"/>
        </w:rPr>
        <w:t>38. În continuare, Colegiul director a analizat petiţia având în vedere elementele constitutive ale unei fapte de discriminare directă. Prin raportare la prevederile O.G. nr. 137/2000, republicată, se constată incidenţa art. 2 alin. 1 coroborat cu art. 10 lit. h) şi art. 11 alin. 1, având în vedere argumentele redate în continuare.</w:t>
      </w:r>
    </w:p>
    <w:p w:rsidRPr="0017052D" w:rsidR="00A32BDF" w:rsidP="00A32BDF">
      <w:pPr>
        <w:ind w:firstLine="709"/>
        <w:jc w:val="both"/>
        <w:rPr>
          <w:i/>
          <w:iCs/>
          <w:color w:val="000000"/>
        </w:rPr>
      </w:pPr>
      <w:r w:rsidRPr="0017052D">
        <w:rPr>
          <w:i/>
          <w:iCs/>
          <w:color w:val="000000"/>
        </w:rPr>
        <w:t>a. Se constată că elevii, indiferent de vârstă, an de studiu sau ciclu de învăţământ se află în situaţii comparabile din punctul de vedere al accesului în condiţii de egalitate la instruire/educaţie/învăţământ;</w:t>
      </w:r>
    </w:p>
    <w:p w:rsidRPr="0017052D" w:rsidR="00A32BDF" w:rsidP="00A32BDF">
      <w:pPr>
        <w:ind w:firstLine="709"/>
        <w:jc w:val="both"/>
        <w:rPr>
          <w:i/>
          <w:iCs/>
          <w:color w:val="000000"/>
        </w:rPr>
      </w:pPr>
      <w:r w:rsidRPr="0017052D">
        <w:rPr>
          <w:i/>
          <w:iCs/>
          <w:color w:val="000000"/>
        </w:rPr>
        <w:t>b. Se constată existenţa unui tratament mai puţin favorabil aplicat elevilor de gimnaziu din clasa a V-a prin exceptarea acestora de la acordarea bursei de merit, precum şi existenţa unui tratament mai puţin favorabil aplicat elevilor de liceu din mediul rural, prin exceptarea acestora de la bursa socială;</w:t>
      </w:r>
    </w:p>
    <w:p w:rsidRPr="0017052D" w:rsidR="00A32BDF" w:rsidP="00A32BDF">
      <w:pPr>
        <w:ind w:firstLine="709"/>
        <w:jc w:val="both"/>
        <w:rPr>
          <w:i/>
          <w:iCs/>
          <w:color w:val="000000"/>
        </w:rPr>
      </w:pPr>
      <w:r w:rsidRPr="0017052D">
        <w:rPr>
          <w:i/>
          <w:iCs/>
          <w:color w:val="000000"/>
        </w:rPr>
        <w:t>c. Se constată că, în ceea ce priveşte acordarea bursei de merit, criteriul de diferenţiere este anul de studiu, iar, în ceea ce priveşte bursele sociale, criteriul de diferenţiere este ciclul de învăţământ;</w:t>
      </w:r>
    </w:p>
    <w:p w:rsidRPr="0017052D" w:rsidR="00A32BDF" w:rsidP="00A32BDF">
      <w:pPr>
        <w:ind w:firstLine="709"/>
        <w:jc w:val="both"/>
        <w:rPr>
          <w:i/>
          <w:iCs/>
          <w:color w:val="000000"/>
        </w:rPr>
      </w:pPr>
      <w:r w:rsidRPr="0017052D">
        <w:rPr>
          <w:i/>
          <w:iCs/>
          <w:color w:val="000000"/>
        </w:rPr>
        <w:t>d. Se constată că dreptul atins este dreptul la învăţământ; în acest sens, prin raportare la art. 2</w:t>
      </w:r>
      <w:r w:rsidRPr="0017052D">
        <w:rPr>
          <w:i/>
          <w:iCs/>
          <w:color w:val="000000"/>
          <w:vertAlign w:val="superscript"/>
        </w:rPr>
        <w:t xml:space="preserve">1 </w:t>
      </w:r>
      <w:r w:rsidRPr="0017052D">
        <w:rPr>
          <w:i/>
          <w:iCs/>
          <w:color w:val="000000"/>
        </w:rPr>
        <w:t>din Ordinul Ministerului Educaţiei naţionale şi/sau la definiţia termenului „bursă” din dicţionarul explicativ al limbii române, Colegiul director reţine că scopul urmărit de legiuitor prin acordarea unor burse în timpul studiilor, indiferent de tipul bursei acordate, este acela de a veni în sprijinul elevului în procesul educaţional, reprezentând în acest sens facilităţi oferite de statul român;</w:t>
      </w:r>
    </w:p>
    <w:p w:rsidRPr="0017052D" w:rsidR="00A32BDF" w:rsidP="00A32BDF">
      <w:pPr>
        <w:ind w:firstLine="709"/>
        <w:jc w:val="both"/>
        <w:rPr>
          <w:i/>
          <w:iCs/>
          <w:color w:val="000000"/>
        </w:rPr>
      </w:pPr>
      <w:r w:rsidRPr="0017052D">
        <w:rPr>
          <w:i/>
          <w:iCs/>
          <w:color w:val="000000"/>
        </w:rPr>
        <w:t>e. Se constată că acordarea accesului la drepturi şi facilităţi trebuie să se facă în condiţii de egalitate, în caz contrar fiind vorba despre un refuz (...);</w:t>
      </w:r>
    </w:p>
    <w:p w:rsidRPr="0017052D" w:rsidR="00A32BDF" w:rsidP="00A32BDF">
      <w:pPr>
        <w:ind w:firstLine="709"/>
        <w:jc w:val="both"/>
        <w:rPr>
          <w:i/>
          <w:iCs/>
          <w:color w:val="000000"/>
        </w:rPr>
      </w:pPr>
      <w:r w:rsidRPr="0017052D">
        <w:rPr>
          <w:i/>
          <w:iCs/>
          <w:color w:val="000000"/>
        </w:rPr>
        <w:t xml:space="preserve">f. Analizând punctul de vedere al părţii reclamate, Colegiul director constată că Ministerul Educaţiei a prezentat o justificare cu privire la modificarea introdusă prin Ordinul nr. 5379/2022 numai în legătură cu bursa de merit, neoferind niciun fel de informaţii în legătură cu bursa socială. În acest sens, colegiul director reţine că Ministerul Educaţiei a eliminat bursa de merit pentru elevii de clasa a V-a ca urmare directă a eliminării împărţirii anului şcolar pe semestre, nemaiexistând medie semestrială pe baza căreia elevii de clasa a V-a să beneficieze de burse de merit. </w:t>
      </w:r>
    </w:p>
    <w:p w:rsidRPr="0017052D" w:rsidR="00A32BDF" w:rsidP="00A32BDF">
      <w:pPr>
        <w:ind w:firstLine="709"/>
        <w:jc w:val="both"/>
        <w:rPr>
          <w:i/>
          <w:iCs/>
          <w:color w:val="000000"/>
        </w:rPr>
      </w:pPr>
      <w:r w:rsidRPr="0017052D">
        <w:rPr>
          <w:i/>
          <w:iCs/>
          <w:color w:val="000000"/>
        </w:rPr>
        <w:t xml:space="preserve">39. Raportându-se la argumentele Ministerului Educaţiei cu privire la exceptarea elevilor clasei a V-a de la acordarea bursei de merit, Colegiul director constată că </w:t>
      </w:r>
      <w:bookmarkStart w:name="_Hlk204183298" w:id="3"/>
      <w:r w:rsidRPr="0017052D">
        <w:rPr>
          <w:i/>
          <w:iCs/>
          <w:color w:val="000000"/>
        </w:rPr>
        <w:t>adoptarea Ordinului nr. 5379/2022 a condus la tratarea diferită a unor persoane aflate în situaţii similare, care a lezat un drept fără ca justificarea obiectivă a măsurii luate să fie rezonabilă. În acest sens, Colegiul director apreciază că ne aflăm în prezenţa pasivităţii unei instituţii a statului de a identifica un alt mod de evaluare a elevilor de clasa a V-a, astfel încât să fie respectat principiul nediscriminării în cazul acordării burselor de merit.</w:t>
      </w:r>
    </w:p>
    <w:p w:rsidRPr="0017052D" w:rsidR="00A32BDF" w:rsidP="00A32BDF">
      <w:pPr>
        <w:ind w:firstLine="709"/>
        <w:jc w:val="both"/>
        <w:rPr>
          <w:i/>
          <w:iCs/>
          <w:color w:val="000000"/>
        </w:rPr>
      </w:pPr>
      <w:bookmarkEnd w:id="3"/>
      <w:r w:rsidRPr="0017052D">
        <w:rPr>
          <w:i/>
          <w:iCs/>
          <w:color w:val="000000"/>
        </w:rPr>
        <w:t>40. Raportându-se la lipsa prezentării din partea Ministerului Educaţiei a unei justificări cu privire la exceptarea elevilor de liceu din mediul rural de la acordarea bursei sociale, Colegiul director constată că nu s-a inversat sarcina probei. În legătură cu acest aspect, colegiul director reţine că în materia drepturilor omului, în situaţia în care se stabileşte o situaţie de fapt care să permită prezumţia existenţei unei discriminări directe sau indirecte pe baza unui criteriu interzis, punerea efectivă în aplicare a principiului egalităţii de tratament ar impune atunci ca sarcina probei să revină persoanei acuzate de discriminare, care ar trebui să dovedească faptul că nu a avut loc o încălcare a principiului menţionat.</w:t>
      </w:r>
    </w:p>
    <w:p w:rsidRPr="0017052D" w:rsidR="00A32BDF" w:rsidP="00A32BDF">
      <w:pPr>
        <w:ind w:firstLine="709"/>
        <w:jc w:val="both"/>
        <w:rPr>
          <w:i/>
          <w:iCs/>
          <w:color w:val="000000"/>
        </w:rPr>
      </w:pPr>
      <w:r w:rsidRPr="0017052D">
        <w:rPr>
          <w:i/>
          <w:iCs/>
          <w:color w:val="000000"/>
        </w:rPr>
        <w:t>41. În continuare, Colegiul director a analizat speţa având în vedere elementele constitutive ale unei fapte de discriminare indirectă (o diferenţiere bazată practică aparent neutră; care dezavantajează persoane pe baza unui criteriu; care atinge un drept, fără o justificare obiectivă). Astfel, prin raportare la prevederile O.G. nr. 137/2000, se constată incidenţa art. 2 alin. 3, având în vedere argumentele prezentate în continuare.</w:t>
      </w:r>
    </w:p>
    <w:p w:rsidRPr="0017052D" w:rsidR="00A32BDF" w:rsidP="00A32BDF">
      <w:pPr>
        <w:ind w:firstLine="709"/>
        <w:jc w:val="both"/>
        <w:rPr>
          <w:i/>
          <w:iCs/>
          <w:color w:val="000000"/>
        </w:rPr>
      </w:pPr>
      <w:r w:rsidRPr="0017052D">
        <w:rPr>
          <w:i/>
          <w:iCs/>
          <w:color w:val="000000"/>
        </w:rPr>
        <w:t>42. Analizând situaţia faptică, Colegiul director reţine că diferenţa de tratament a elevilor de liceu a provenit din aplicarea unei măsuri aparent neutre care, deşi de aplică tuturor elevilor de liceu din mediul rural care învaţă în altă localitate decât cea de domiciliu, totuşi afectează în mod preponderent un anumit grup din respectiva categorie de elevi, mai exact copii vulnerabili din punct de vedere social şi economic, care folosesc bursa socială pentru acoperirea cheltuielilor de transport dintre domiciliu şi şcoală. Astfel, Colegiul director apreciază că, deşi în speţă nu este vorba de o excludere directă a unor grupuri vulnerabile, totuşi, excluderea intervine ca efect indirect al măsurii luate de către Ministerul Educaţiei, efectul restrângerii bursei sociale fiind acela de excludere a unor grupuri vulnerabile din procesul educaţional.</w:t>
      </w:r>
    </w:p>
    <w:p w:rsidRPr="0017052D" w:rsidR="00A32BDF" w:rsidP="00A32BDF">
      <w:pPr>
        <w:ind w:firstLine="709"/>
        <w:jc w:val="both"/>
        <w:rPr>
          <w:i/>
          <w:iCs/>
          <w:color w:val="000000"/>
        </w:rPr>
      </w:pPr>
      <w:r w:rsidRPr="0017052D">
        <w:rPr>
          <w:i/>
          <w:iCs/>
          <w:color w:val="000000"/>
        </w:rPr>
        <w:t>43. Prin raportare la testul justificării obiective, Colegiul director urmează să analizeze existenţa scopului legitim în legătură directă cu dreptul atins prin diferenţiere, precum metodele alese pentru atingerea scopului legitim (dacă sunt adecvate şi necesare). (...) Colegiul director reţine faptul că Ministerul Educaţiei nu a oferit o justificare legată de eliminarea bursei sociale pentru elevii de liceu din mediul rural care învaţă în altă localitate decât cea de domiciliu. Ca urmare, Colegiul director reţine că măsura sus-menţionată nu urmăreşte un scop legitim.&gt;&gt;.</w:t>
      </w:r>
    </w:p>
    <w:p w:rsidRPr="0017052D" w:rsidR="00A32BDF" w:rsidP="00A32BDF">
      <w:pPr>
        <w:ind w:firstLine="709"/>
        <w:jc w:val="both"/>
        <w:rPr>
          <w:color w:val="000000"/>
        </w:rPr>
      </w:pPr>
      <w:r w:rsidRPr="0017052D">
        <w:rPr>
          <w:color w:val="000000"/>
        </w:rPr>
        <w:t>Împotriva acestei hotărâri, Ministerul Educaţiei a promovat prezenta cerere de chemare în judecată, solicitând anularea sa.</w:t>
      </w:r>
    </w:p>
    <w:p w:rsidRPr="0017052D" w:rsidR="00A32BDF" w:rsidP="00A32BDF">
      <w:pPr>
        <w:ind w:firstLine="709"/>
        <w:jc w:val="both"/>
        <w:rPr>
          <w:b/>
          <w:bCs/>
          <w:color w:val="000000"/>
        </w:rPr>
      </w:pPr>
    </w:p>
    <w:p w:rsidRPr="0017052D" w:rsidR="00A32BDF" w:rsidP="00A32BDF">
      <w:pPr>
        <w:pStyle w:val="ListParagraph"/>
        <w:numPr>
          <w:ilvl w:val="1"/>
          <w:numId w:val="1"/>
        </w:numPr>
        <w:spacing w:after="0" w:line="240" w:lineRule="auto"/>
        <w:ind w:left="0" w:firstLine="709"/>
        <w:jc w:val="both"/>
        <w:rPr>
          <w:rFonts w:ascii="Times New Roman" w:hAnsi="Times New Roman" w:eastAsia="Times New Roman"/>
          <w:b/>
          <w:bCs/>
          <w:color w:val="000000"/>
          <w:sz w:val="24"/>
          <w:szCs w:val="24"/>
          <w:lang w:eastAsia="ro-RO"/>
        </w:rPr>
      </w:pPr>
      <w:r w:rsidRPr="0017052D">
        <w:rPr>
          <w:rFonts w:ascii="Times New Roman" w:hAnsi="Times New Roman" w:eastAsia="Times New Roman"/>
          <w:b/>
          <w:bCs/>
          <w:color w:val="000000"/>
          <w:sz w:val="24"/>
          <w:szCs w:val="24"/>
          <w:lang w:eastAsia="ro-RO"/>
        </w:rPr>
        <w:t xml:space="preserve"> Examinarea susţinerilor părţilor.</w:t>
      </w:r>
    </w:p>
    <w:p w:rsidRPr="0017052D" w:rsidR="00A32BDF" w:rsidP="00A32BDF">
      <w:pPr>
        <w:ind w:firstLine="709"/>
        <w:jc w:val="both"/>
        <w:rPr>
          <w:color w:val="000000"/>
        </w:rPr>
      </w:pPr>
    </w:p>
    <w:p w:rsidRPr="0017052D" w:rsidR="00A32BDF" w:rsidP="00A32BDF">
      <w:pPr>
        <w:ind w:firstLine="709"/>
        <w:jc w:val="both"/>
        <w:rPr>
          <w:color w:val="000000"/>
        </w:rPr>
      </w:pPr>
      <w:r w:rsidRPr="0017052D">
        <w:rPr>
          <w:color w:val="000000"/>
        </w:rPr>
        <w:t xml:space="preserve">În argumentarea caracterului nelegal al Hotărârii nr. </w:t>
      </w:r>
      <w:r w:rsidR="00104DB1">
        <w:rPr>
          <w:color w:val="000000"/>
        </w:rPr>
        <w:t>......./16.11.2022</w:t>
      </w:r>
      <w:r w:rsidRPr="0017052D">
        <w:rPr>
          <w:color w:val="000000"/>
        </w:rPr>
        <w:t>, Ministerul Educaţiei a invocat trei critici, fiecare dintre acestea urmând fi analizate distinct în continuare.</w:t>
      </w:r>
    </w:p>
    <w:p w:rsidRPr="0017052D" w:rsidR="00A32BDF" w:rsidP="00A32BDF">
      <w:pPr>
        <w:pStyle w:val="ListParagraph"/>
        <w:numPr>
          <w:ilvl w:val="2"/>
          <w:numId w:val="1"/>
        </w:numPr>
        <w:spacing w:after="0" w:line="240" w:lineRule="auto"/>
        <w:ind w:left="0" w:firstLine="709"/>
        <w:jc w:val="both"/>
        <w:rPr>
          <w:rFonts w:ascii="Times New Roman" w:hAnsi="Times New Roman" w:eastAsia="Times New Roman"/>
          <w:color w:val="000000"/>
          <w:sz w:val="24"/>
          <w:szCs w:val="24"/>
          <w:lang w:eastAsia="ro-RO"/>
        </w:rPr>
      </w:pPr>
      <w:r w:rsidRPr="0017052D">
        <w:rPr>
          <w:rFonts w:ascii="Times New Roman" w:hAnsi="Times New Roman" w:eastAsia="Times New Roman"/>
          <w:color w:val="000000"/>
          <w:sz w:val="24"/>
          <w:szCs w:val="24"/>
          <w:lang w:eastAsia="ro-RO"/>
        </w:rPr>
        <w:t>Prin prima dintre critici (pct. i.), reclamantul a susţinut că omisiunea prezentării unei justificări obiective a eliminării bursei sociale a fost cauzată de maniera în care a fost redactată autosesizarea, în sensul că în cuprinsul acesteia, deşi se face referire la bursa socială, trimiterile au fost făcu</w:t>
      </w:r>
      <w:r w:rsidRPr="0017052D">
        <w:rPr>
          <w:rFonts w:ascii="Times New Roman" w:hAnsi="Times New Roman" w:eastAsia="Times New Roman"/>
          <w:color w:val="000000"/>
          <w:sz w:val="24"/>
          <w:szCs w:val="24"/>
          <w:lang w:eastAsia="ro-RO"/>
        </w:rPr>
        <w:t>te la criteriile prevăzute în cuprinsul Ordinului nr. 5379/2022  cu privire la bursa de merit.</w:t>
      </w:r>
    </w:p>
    <w:p w:rsidRPr="0017052D" w:rsidR="00A32BDF" w:rsidP="00A32BDF">
      <w:pPr>
        <w:ind w:firstLine="709"/>
        <w:jc w:val="both"/>
        <w:rPr>
          <w:color w:val="000000"/>
        </w:rPr>
      </w:pPr>
      <w:r w:rsidRPr="0017052D">
        <w:rPr>
          <w:color w:val="000000"/>
        </w:rPr>
        <w:t>Critica este nefondată.</w:t>
      </w:r>
    </w:p>
    <w:p w:rsidRPr="0017052D" w:rsidR="00A32BDF" w:rsidP="00A32BDF">
      <w:pPr>
        <w:ind w:firstLine="709"/>
        <w:jc w:val="both"/>
        <w:rPr>
          <w:color w:val="000000"/>
        </w:rPr>
      </w:pPr>
      <w:r w:rsidRPr="0017052D">
        <w:rPr>
          <w:color w:val="000000"/>
        </w:rPr>
        <w:t>Astfel, în urma parcurgerii autosesizării aflate la fila 90 a dosarului, Curtea, deşi observă că aceasta este întocmită relativ inform, apreciază că elementele dezvoltate în cuprinsul său permiteau a se decela faptele apreciate ca fiind potenţial discriminatorii.</w:t>
      </w:r>
    </w:p>
    <w:p w:rsidRPr="0017052D" w:rsidR="00A32BDF" w:rsidP="00A32BDF">
      <w:pPr>
        <w:ind w:firstLine="709"/>
        <w:jc w:val="both"/>
        <w:rPr>
          <w:color w:val="000000"/>
        </w:rPr>
      </w:pPr>
      <w:r w:rsidRPr="0017052D">
        <w:rPr>
          <w:color w:val="000000"/>
        </w:rPr>
        <w:t>Concret, capitolul intitulat „</w:t>
      </w:r>
      <w:r w:rsidRPr="0017052D">
        <w:rPr>
          <w:i/>
          <w:iCs/>
          <w:color w:val="000000"/>
        </w:rPr>
        <w:t>Motivarea în fapt</w:t>
      </w:r>
      <w:r w:rsidRPr="0017052D">
        <w:rPr>
          <w:color w:val="000000"/>
        </w:rPr>
        <w:t>” are următorul conţinut:</w:t>
      </w:r>
    </w:p>
    <w:p w:rsidRPr="0017052D" w:rsidR="00A32BDF" w:rsidP="00A32BDF">
      <w:pPr>
        <w:ind w:firstLine="709"/>
        <w:jc w:val="both"/>
        <w:rPr>
          <w:i/>
          <w:iCs/>
          <w:color w:val="000000"/>
        </w:rPr>
      </w:pPr>
      <w:r w:rsidRPr="0017052D">
        <w:rPr>
          <w:color w:val="000000"/>
        </w:rPr>
        <w:t>„</w:t>
      </w:r>
      <w:r w:rsidRPr="0017052D">
        <w:rPr>
          <w:i/>
          <w:iCs/>
          <w:color w:val="000000"/>
        </w:rPr>
        <w:t>1. Prin emiterea Ordinului n. 5379/07.09.2022 [</w:t>
      </w:r>
      <w:bookmarkStart w:name="_Hlk204177124" w:id="4"/>
      <w:r w:rsidRPr="0017052D">
        <w:rPr>
          <w:i/>
          <w:iCs/>
          <w:color w:val="000000"/>
        </w:rPr>
        <w:t>art. 15 alin. d)</w:t>
      </w:r>
      <w:bookmarkEnd w:id="4"/>
      <w:r w:rsidRPr="0017052D">
        <w:rPr>
          <w:i/>
          <w:iCs/>
          <w:color w:val="000000"/>
        </w:rPr>
        <w:t>] elevii din învăţământul liceal proveniţi din mediul rural înrolaţi în altă localitate decât cea de domiciliu sunt exceptaţi de la accesarea bursei de ajutor social, fiind potenţial încălcat dreptul la educaţie şi la şanse egale. Precizez că în ordinul precedent, nr. 5870, bursele de merit erau acordate elevilor de clasa a V-a din semestrul al doilea, pe baza mediei din semestrul I.</w:t>
      </w:r>
    </w:p>
    <w:p w:rsidRPr="0017052D" w:rsidR="00A32BDF" w:rsidP="00A32BDF">
      <w:pPr>
        <w:ind w:firstLine="709"/>
        <w:jc w:val="both"/>
        <w:rPr>
          <w:i/>
          <w:iCs/>
          <w:color w:val="000000"/>
        </w:rPr>
      </w:pPr>
      <w:r w:rsidRPr="0017052D">
        <w:rPr>
          <w:i/>
          <w:iCs/>
          <w:color w:val="000000"/>
        </w:rPr>
        <w:t>2. Prin emiterea Ordinului nr. 5379/07.09.2022 (art. 9</w:t>
      </w:r>
      <w:r w:rsidRPr="0017052D">
        <w:rPr>
          <w:i/>
          <w:iCs/>
          <w:color w:val="000000"/>
          <w:vertAlign w:val="superscript"/>
        </w:rPr>
        <w:t>2</w:t>
      </w:r>
      <w:r w:rsidRPr="0017052D">
        <w:rPr>
          <w:i/>
          <w:iCs/>
          <w:color w:val="000000"/>
        </w:rPr>
        <w:t>), elevii de clasa a V-a din învăţământul gimnazial sunt exceptaţi de la accesarea burselor de merit, fiind potenţial încălcat dreptul la educaţie şi la şanse egale (bursele de merit acordându-se doar elevilor din clasele a VI-a - a XII-a).”.</w:t>
      </w:r>
    </w:p>
    <w:p w:rsidRPr="0017052D" w:rsidR="00A32BDF" w:rsidP="00A32BDF">
      <w:pPr>
        <w:ind w:firstLine="709"/>
        <w:jc w:val="both"/>
        <w:rPr>
          <w:color w:val="000000"/>
        </w:rPr>
      </w:pPr>
      <w:r w:rsidRPr="0017052D">
        <w:rPr>
          <w:color w:val="000000"/>
        </w:rPr>
        <w:t>Deşi se observă că, după descrierea faptei de la pct. 1, urmează în cadrul aceluiaşi paragraf o referire la fapta de la punctul 2, totuşi o astfel de manieră de redactare a autosesizării nu conduce la imposibilitatea decelării primeia dintre faptele apreciate ca fiind potenţial discriminatorii, în condiţiile în care elementul material al acesteia este suficient de conturat [este indicat textul art. 15 alin. d), acesta fiind şi redat în integralitate în nota de subsol la care se face trimitere, urmat de maniera de înţelegere a acestuia de către titularul autosesizării, precum şi de concluzia relativă la potenţiala încălcare a dreptului la educaţie şi la şanse egale]</w:t>
      </w:r>
    </w:p>
    <w:p w:rsidRPr="0017052D" w:rsidR="00A32BDF" w:rsidP="00A32BDF">
      <w:pPr>
        <w:ind w:firstLine="709"/>
        <w:jc w:val="both"/>
        <w:rPr>
          <w:color w:val="000000"/>
        </w:rPr>
      </w:pPr>
      <w:r w:rsidRPr="0017052D">
        <w:rPr>
          <w:color w:val="000000"/>
        </w:rPr>
        <w:t>Mai mult decât atât, la fila 2 a autosesizării, argumentele dezvoltate la rubrica intitulată „</w:t>
      </w:r>
      <w:r w:rsidRPr="0017052D">
        <w:rPr>
          <w:i/>
          <w:iCs/>
          <w:color w:val="000000"/>
        </w:rPr>
        <w:t>Precizări contextuale</w:t>
      </w:r>
      <w:r w:rsidRPr="0017052D">
        <w:rPr>
          <w:color w:val="000000"/>
        </w:rPr>
        <w:t>” privesc mai cu seamă bursa socială şi caracterul vital pe care aceasta îl are pentru elevii aflaţi într-o situaţie de vulnerabilitate financiară.</w:t>
      </w:r>
    </w:p>
    <w:p w:rsidRPr="0017052D" w:rsidR="00A32BDF" w:rsidP="00A32BDF">
      <w:pPr>
        <w:ind w:firstLine="709"/>
        <w:jc w:val="both"/>
        <w:rPr>
          <w:color w:val="000000"/>
        </w:rPr>
      </w:pPr>
      <w:r w:rsidRPr="0017052D">
        <w:rPr>
          <w:color w:val="000000"/>
        </w:rPr>
        <w:t>În fine, Curtea constată că inclusiv în citaţia prin care reclamantei i s-a adus la cunoştinţă data la care urma să aibă loc audierea, fiind, totodată, invitată să comunice punctul său de vedere cu privire la faptele care fac obiectul autosesizării ataşate (fila 89), s-au menţionat în mod expres cele două fapte.</w:t>
      </w:r>
    </w:p>
    <w:p w:rsidRPr="0017052D" w:rsidR="00A32BDF" w:rsidP="00A32BDF">
      <w:pPr>
        <w:ind w:firstLine="709"/>
        <w:jc w:val="both"/>
        <w:rPr>
          <w:color w:val="000000"/>
        </w:rPr>
      </w:pPr>
      <w:bookmarkStart w:name="_Hlk204409233" w:id="5"/>
      <w:r w:rsidRPr="0017052D">
        <w:rPr>
          <w:color w:val="000000"/>
        </w:rPr>
        <w:t>Pornind de la constatările argumentate în precedent, Curtea reţine caracterul nefondat al criticii reclamantului.</w:t>
      </w:r>
    </w:p>
    <w:p w:rsidRPr="0017052D" w:rsidR="00A32BDF" w:rsidP="00A32BDF">
      <w:pPr>
        <w:pStyle w:val="ListParagraph"/>
        <w:numPr>
          <w:ilvl w:val="2"/>
          <w:numId w:val="1"/>
        </w:numPr>
        <w:spacing w:after="0" w:line="240" w:lineRule="auto"/>
        <w:ind w:left="0" w:firstLine="709"/>
        <w:jc w:val="both"/>
        <w:rPr>
          <w:rFonts w:ascii="Times New Roman" w:hAnsi="Times New Roman" w:eastAsia="Times New Roman"/>
          <w:color w:val="000000"/>
          <w:sz w:val="24"/>
          <w:szCs w:val="24"/>
          <w:lang w:eastAsia="ro-RO"/>
        </w:rPr>
      </w:pPr>
      <w:bookmarkEnd w:id="5"/>
      <w:r w:rsidRPr="0017052D">
        <w:rPr>
          <w:rFonts w:ascii="Times New Roman" w:hAnsi="Times New Roman" w:eastAsia="Times New Roman"/>
          <w:color w:val="000000"/>
          <w:sz w:val="24"/>
          <w:szCs w:val="24"/>
          <w:lang w:eastAsia="ro-RO"/>
        </w:rPr>
        <w:t>Prin cea de-a doua critică invocată (pct. ii.), reclamantul, susţine, în esenţă, caracterul eronat al concluziei pârâtului în sensul că de la beneficiul bursei sociale a fost exclusă o categorie de elevi.</w:t>
      </w:r>
    </w:p>
    <w:p w:rsidRPr="0017052D" w:rsidR="00A32BDF" w:rsidP="00A32BDF">
      <w:pPr>
        <w:ind w:firstLine="709"/>
        <w:jc w:val="both"/>
        <w:rPr>
          <w:color w:val="000000"/>
        </w:rPr>
      </w:pPr>
      <w:r w:rsidRPr="0017052D">
        <w:rPr>
          <w:color w:val="000000"/>
        </w:rPr>
        <w:t>Critica este nefondată.</w:t>
      </w:r>
    </w:p>
    <w:p w:rsidRPr="0017052D" w:rsidR="00A32BDF" w:rsidP="00A32BDF">
      <w:pPr>
        <w:ind w:firstLine="709"/>
        <w:jc w:val="both"/>
        <w:rPr>
          <w:color w:val="000000"/>
        </w:rPr>
      </w:pPr>
      <w:r w:rsidRPr="0017052D">
        <w:rPr>
          <w:color w:val="000000"/>
        </w:rPr>
        <w:t>Astfel, art. 15 alin. 1 lit. d) din Ordinul nr. 5379/07.09.2022, are următorul conţinut:</w:t>
      </w:r>
    </w:p>
    <w:p w:rsidRPr="0017052D" w:rsidR="00A32BDF" w:rsidP="00A32BDF">
      <w:pPr>
        <w:ind w:firstLine="709"/>
        <w:jc w:val="both"/>
        <w:rPr>
          <w:i/>
          <w:iCs/>
          <w:color w:val="000000"/>
        </w:rPr>
      </w:pPr>
      <w:r w:rsidRPr="0017052D">
        <w:rPr>
          <w:color w:val="000000"/>
        </w:rPr>
        <w:t>„</w:t>
      </w:r>
      <w:r w:rsidRPr="0017052D">
        <w:rPr>
          <w:i/>
          <w:iCs/>
          <w:color w:val="000000"/>
        </w:rPr>
        <w:t>Bursele de ajutor social se acordă elevilor din învăţământul preuniversitar de stat înscrişi la cursurile cu frecvenţă, inclusiv celor şcolarizaţi la domiciliu sau care urmează cursurile în şcoala de spital, care se încadrează în cel puţin una dintre următoarele situaţii: (...) d) elevii din învăţământul primar şi gimnazial din mediul rural, care sunt şcolarizaţi într-o altă localitate, întrucât nu au posibilitatea să studieze într-o unitate de învăţământ din localitatea de domiciliu, acordarea bursei nefiind condiţionată de venitul net lunar al familiei; prin localitate se înţelege comuna/oraşul cu subdiviziunile sale administrative.”.</w:t>
      </w:r>
    </w:p>
    <w:p w:rsidRPr="0017052D" w:rsidR="00A32BDF" w:rsidP="00A32BDF">
      <w:pPr>
        <w:ind w:firstLine="709"/>
        <w:jc w:val="both"/>
        <w:rPr>
          <w:color w:val="000000"/>
        </w:rPr>
      </w:pPr>
      <w:r w:rsidRPr="0017052D">
        <w:rPr>
          <w:color w:val="000000"/>
        </w:rPr>
        <w:t>În urma parcurgerii textului redat anterior, Curtea notează că, din interpretarea gramaticală a prevederilor lit. d), care se referă la elevii din învăţământul primar şi gimnazial, în coroborare cu partea introductivă a textului, care se referă la elevii din învăţământul preuniversitar, acesta incluzând învăţământul primar, gimnazial şi liceal, rezultă cu evidenţă că de la acordarea bursei sociale au fost excluşi elevii din învăţământul liceal din mediul rural care sunt şcolarizaţi într-o altă localitate, întrucât nu au posibilitatea să studieze într-o unitate de învăţământ din localitatea de domiciliu.</w:t>
      </w:r>
    </w:p>
    <w:p w:rsidRPr="0017052D" w:rsidR="00A32BDF" w:rsidP="00A32BDF">
      <w:pPr>
        <w:ind w:firstLine="709"/>
        <w:jc w:val="both"/>
        <w:rPr>
          <w:color w:val="000000"/>
        </w:rPr>
      </w:pPr>
      <w:r w:rsidRPr="0017052D">
        <w:rPr>
          <w:color w:val="000000"/>
        </w:rPr>
        <w:t xml:space="preserve">Prin critica formulată, reclamantul pur şi simplu neagă starea de drept sau realitatea juridică astfel cum rezultă ea din simpla lecturare a Ordinului, respectiv faptul că elevii din învăţământul liceal din mediul rural au fost excluşi de la beneficiul bursei sociale reglementate de art. 15 alin. 1 lit. d). </w:t>
      </w:r>
    </w:p>
    <w:p w:rsidRPr="0017052D" w:rsidR="00A32BDF" w:rsidP="00A32BDF">
      <w:pPr>
        <w:ind w:firstLine="709"/>
        <w:jc w:val="both"/>
        <w:rPr>
          <w:color w:val="000000"/>
        </w:rPr>
      </w:pPr>
      <w:r w:rsidRPr="0017052D">
        <w:rPr>
          <w:color w:val="000000"/>
        </w:rPr>
        <w:t>Împrejurarea că elevii de liceu din mediul rural care sunt şcolarizaţi în altă localitate pot beneficia de bursele de la literele a)-c) este irelevantă, întrucât evaluare îndreptăţirii la primirea acestora din urmă burse se face nu prin raportare la calitatea de elev din mediul rural care urmează învăţământul liceal şi care este şcolarizat într-o localitate diferită de localitatea de domiciliu, ci prin raportare la calităţile menţionate art. 15 lit. a)-c) din Ordinul nr.15 /07.09.2022 [respectiv elevi proveniţi din familii care nu realizează un venit mediu net lunar pe membru de familie mai mare de 50% din salariul minim net pe economie – lit. a); elevi orfani, elevi aflaţi în întreţinerea unui singur părinte, copil cu tatăl declarat necunoscut, copil adoptat de o singură persoană etc. – lit. b); elevi care au deficienţe/afectări funcţionale produse de boli, tulburări sau afecţiuni ale structurilor şi funcţiilor organismului – lit. c)].</w:t>
      </w:r>
    </w:p>
    <w:p w:rsidRPr="0017052D" w:rsidR="00A32BDF" w:rsidP="00A32BDF">
      <w:pPr>
        <w:ind w:firstLine="709"/>
        <w:jc w:val="both"/>
        <w:rPr>
          <w:color w:val="000000"/>
        </w:rPr>
      </w:pPr>
      <w:r w:rsidRPr="0017052D">
        <w:rPr>
          <w:color w:val="000000"/>
        </w:rPr>
        <w:t>Cât despre susţinerea reclamantului dezvoltată cu ocazia cuvântului asupra fondului cererii de chemare în judecată (dincolo de faptul că aceasta a fost invocată peste termenul de 15 zile defipt de lege pentru sesizare</w:t>
      </w:r>
      <w:r w:rsidRPr="0017052D" w:rsidR="00504AC8">
        <w:rPr>
          <w:color w:val="000000"/>
        </w:rPr>
        <w:t>a</w:t>
      </w:r>
      <w:r w:rsidRPr="0017052D">
        <w:rPr>
          <w:color w:val="000000"/>
        </w:rPr>
        <w:t xml:space="preserve"> instanţei), respectiv faptul că Ordinul Ministerului Educaţiei nr. 4426/2021 permitea decontarea transportului elevilor care nu pot fi şcolarizaţi în localitatea de domiciliu, astfel că acordarea bursei sociale concomitent cu decontarea transportului avea semnificaţia unei duble plăţi, Curtea arată că reclamantul nu a produs nicio probă în sensul echivalenţei celor două sume şi nici nu a dovedit faptul că ele urmăresc protejarea aceloraşi drepturi.</w:t>
      </w:r>
    </w:p>
    <w:p w:rsidRPr="0017052D" w:rsidR="00A32BDF" w:rsidP="00A32BDF">
      <w:pPr>
        <w:ind w:firstLine="709"/>
        <w:jc w:val="both"/>
        <w:rPr>
          <w:color w:val="000000"/>
        </w:rPr>
      </w:pPr>
      <w:r w:rsidRPr="0017052D">
        <w:rPr>
          <w:color w:val="000000"/>
        </w:rPr>
        <w:t>Pornind de la constatările argumentate în precedent, Curtea reţine caracterul nefondat al criticii reclamantului.</w:t>
      </w:r>
    </w:p>
    <w:p w:rsidRPr="0017052D" w:rsidR="00A32BDF" w:rsidP="00A32BDF">
      <w:pPr>
        <w:pStyle w:val="ListParagraph"/>
        <w:numPr>
          <w:ilvl w:val="2"/>
          <w:numId w:val="1"/>
        </w:numPr>
        <w:spacing w:after="0" w:line="240" w:lineRule="auto"/>
        <w:ind w:left="0" w:firstLine="709"/>
        <w:jc w:val="both"/>
        <w:rPr>
          <w:rFonts w:ascii="Times New Roman" w:hAnsi="Times New Roman" w:eastAsia="Times New Roman"/>
          <w:color w:val="000000"/>
          <w:sz w:val="24"/>
          <w:szCs w:val="24"/>
          <w:lang w:eastAsia="ro-RO"/>
        </w:rPr>
      </w:pPr>
      <w:r w:rsidRPr="0017052D">
        <w:rPr>
          <w:rFonts w:ascii="Times New Roman" w:hAnsi="Times New Roman" w:eastAsia="Times New Roman"/>
          <w:color w:val="000000"/>
          <w:sz w:val="24"/>
          <w:szCs w:val="24"/>
          <w:lang w:eastAsia="ro-RO"/>
        </w:rPr>
        <w:t>Prin cea de-a treia critică (pct. iii), reclamantul susţine, în esenţă, că, în contextul modificării structurii anului şcolar 2022-2023 prin Ordinul nr. 3505/31.03.2022, în sensul că acesta se va împărţi în module şi nu în semestre, Ordinul nr. 5379/2022 nu a făcut altceva decât să adapteze criteriile de acordare a burselor la noua situaţie, caracterizată prin eliminarea semestrelor. În plus, întrucât în învăţământul primar evaluarea se face prin calificative şi nu prin note, pentru elevii din clasa a V-a nu se poate stabili o medie generală anuală, astfel încât să se poată acorda şi acestora bursa de merit.</w:t>
      </w:r>
    </w:p>
    <w:p w:rsidRPr="0017052D" w:rsidR="00A32BDF" w:rsidP="00A32BDF">
      <w:pPr>
        <w:ind w:firstLine="709"/>
        <w:jc w:val="both"/>
        <w:rPr>
          <w:color w:val="000000"/>
        </w:rPr>
      </w:pPr>
      <w:r w:rsidRPr="0017052D">
        <w:rPr>
          <w:color w:val="000000"/>
        </w:rPr>
        <w:t>Critica este nefondată.</w:t>
      </w:r>
    </w:p>
    <w:p w:rsidRPr="0017052D" w:rsidR="00A32BDF" w:rsidP="00A32BDF">
      <w:pPr>
        <w:ind w:firstLine="709"/>
        <w:jc w:val="both"/>
        <w:rPr>
          <w:color w:val="000000"/>
        </w:rPr>
      </w:pPr>
      <w:r w:rsidRPr="0017052D">
        <w:rPr>
          <w:color w:val="000000"/>
        </w:rPr>
        <w:t>În motivarea acestei concluzii, Curtea reţine, sub un prim aspect, că apărarea dezvoltată de reclamant nu combate în mod real argumente pe care autoritatea de autoritatea pârâtă şi-a fundamentat concluzia.</w:t>
      </w:r>
    </w:p>
    <w:p w:rsidRPr="0017052D" w:rsidR="00A32BDF" w:rsidP="00A32BDF">
      <w:pPr>
        <w:ind w:firstLine="709"/>
        <w:jc w:val="both"/>
        <w:rPr>
          <w:i/>
          <w:iCs/>
          <w:color w:val="000000"/>
        </w:rPr>
      </w:pPr>
      <w:r w:rsidRPr="0017052D">
        <w:rPr>
          <w:color w:val="000000"/>
        </w:rPr>
        <w:t xml:space="preserve">Astfel, potrivit considerentelor de la pct. 39 din Hotărârea nr. </w:t>
      </w:r>
      <w:r w:rsidR="00104DB1">
        <w:rPr>
          <w:color w:val="000000"/>
        </w:rPr>
        <w:t>......./16.11.2022</w:t>
      </w:r>
      <w:r w:rsidRPr="0017052D">
        <w:rPr>
          <w:color w:val="000000"/>
        </w:rPr>
        <w:t xml:space="preserve">, „ (...) </w:t>
      </w:r>
      <w:r w:rsidRPr="0017052D">
        <w:rPr>
          <w:i/>
          <w:iCs/>
          <w:color w:val="000000"/>
        </w:rPr>
        <w:t>adoptarea Ordinului nr. 5379/2022 a condus la tratarea diferită a unor persoane aflate în situaţii similare, care a lezat un drept fără ca justificarea obiectivă a măsurii luate să fie rezonabilă. În acest sens, Colegiul director apreciază că ne aflăm în prezenţa pasivităţii unei instituţii a statului de a identifica un alt mod de evaluare a elevilor de clasa a V-a, astfel încât să fie respectat principiul nediscriminării în cazul acordării burselor de merit.”.</w:t>
      </w:r>
    </w:p>
    <w:p w:rsidRPr="0017052D" w:rsidR="00A32BDF" w:rsidP="00A32BDF">
      <w:pPr>
        <w:ind w:firstLine="709"/>
        <w:jc w:val="both"/>
        <w:rPr>
          <w:color w:val="000000"/>
        </w:rPr>
      </w:pPr>
      <w:r w:rsidRPr="0017052D">
        <w:rPr>
          <w:color w:val="000000"/>
        </w:rPr>
        <w:t>Aşadar, ce s-a reţinut este faptul că justificarea măsurii luate, respectiv suprimarea dreptului elevilor din clasa a V-a de a beneficia de bursă de merit, nu este rezonabilă, autorităţii reclamante revenindu-i obligaţia de a identifica un alt mod de evaluare a elevilor de clasa a V-a.</w:t>
      </w:r>
    </w:p>
    <w:p w:rsidRPr="0017052D" w:rsidR="00A32BDF" w:rsidP="00A32BDF">
      <w:pPr>
        <w:ind w:firstLine="709"/>
        <w:jc w:val="both"/>
        <w:rPr>
          <w:color w:val="000000"/>
        </w:rPr>
      </w:pPr>
      <w:r w:rsidRPr="0017052D">
        <w:rPr>
          <w:color w:val="000000"/>
        </w:rPr>
        <w:t>Or, raportând aceste considerente la apărarea reclamantului, se observă că Ministerul Educaţiei se limitează la a face referire la modificarea structurii anului şcolar 2022-2023 prin Ordinul nr. 3505/31.03.2022 şi la faptul că evaluarea elevilor în clasa a IV-a se face prin acordarea calificativelor, ceea ce duce la imposibilitatea stabilirii pentru aceştia a unei medii generale anuale (aspecte necontestate de Consiliu), fără însă să arate de ce măsura luată, respectiv suprimarea dreptului la bursă, are caracter rezonabil şi de ce nu s-au putut identifica alte măsuri mai puţin intruzive.</w:t>
      </w:r>
    </w:p>
    <w:p w:rsidRPr="0017052D" w:rsidR="00A32BDF" w:rsidP="00A32BDF">
      <w:pPr>
        <w:ind w:firstLine="709"/>
        <w:jc w:val="both"/>
        <w:rPr>
          <w:color w:val="000000"/>
        </w:rPr>
      </w:pPr>
      <w:r w:rsidRPr="0017052D">
        <w:rPr>
          <w:color w:val="000000"/>
        </w:rPr>
        <w:t>În plus, argumentul derivat din faptul că anul şcolar nu mai este împărţit în semestre, ci în module, nu poate fi unul valid în condiţiile în care, deşi anul şcolar e împărţit în module inclusiv în cazul elevilor din clasele a VI-a – a VIII-a, aceştia beneficiază de bursa de merit.</w:t>
      </w:r>
    </w:p>
    <w:p w:rsidRPr="0017052D" w:rsidR="00A32BDF" w:rsidP="00A32BDF">
      <w:pPr>
        <w:pStyle w:val="ListParagraph"/>
        <w:numPr>
          <w:ilvl w:val="2"/>
          <w:numId w:val="1"/>
        </w:numPr>
        <w:autoSpaceDE w:val="0"/>
        <w:autoSpaceDN w:val="0"/>
        <w:adjustRightInd w:val="0"/>
        <w:spacing w:after="0" w:line="240" w:lineRule="auto"/>
        <w:ind w:left="0" w:firstLine="709"/>
        <w:jc w:val="both"/>
        <w:rPr>
          <w:rFonts w:ascii="Times New Roman" w:hAnsi="Times New Roman"/>
          <w:color w:val="000000"/>
          <w:sz w:val="24"/>
          <w:szCs w:val="24"/>
        </w:rPr>
      </w:pPr>
      <w:r w:rsidRPr="0017052D">
        <w:rPr>
          <w:rFonts w:ascii="Times New Roman" w:hAnsi="Times New Roman" w:eastAsia="Times New Roman"/>
          <w:color w:val="000000"/>
          <w:sz w:val="24"/>
          <w:szCs w:val="24"/>
          <w:lang w:eastAsia="ro-RO"/>
        </w:rPr>
        <w:t>În continuare,</w:t>
      </w:r>
      <w:r w:rsidRPr="0017052D">
        <w:rPr>
          <w:rFonts w:ascii="Times New Roman" w:hAnsi="Times New Roman"/>
          <w:color w:val="000000"/>
          <w:sz w:val="24"/>
          <w:szCs w:val="24"/>
        </w:rPr>
        <w:t xml:space="preserve"> în ceea ce priveşte exigențele probatorii specifice acestui domeniu, Curtea arată că dispozițiile art. 20 alin. 6 din O.G. nr. 137/2000, prevăd că „</w:t>
      </w:r>
      <w:r w:rsidRPr="0017052D">
        <w:rPr>
          <w:rFonts w:ascii="Times New Roman" w:hAnsi="Times New Roman"/>
          <w:i/>
          <w:color w:val="000000"/>
          <w:sz w:val="24"/>
          <w:szCs w:val="24"/>
        </w:rPr>
        <w:t>persoana interesată va prezenta fapte pe baza cărora poate fi prezumată existența unei discriminări directe sau indirect, iar persoanei împotriva căreia s-a formulat sesizarea îi revine sarcina de a dovedi că nu a avut loc o încălcare a principiului egalității de tratament</w:t>
      </w:r>
      <w:r w:rsidRPr="0017052D">
        <w:rPr>
          <w:rFonts w:ascii="Times New Roman" w:hAnsi="Times New Roman"/>
          <w:color w:val="000000"/>
          <w:sz w:val="24"/>
          <w:szCs w:val="24"/>
        </w:rPr>
        <w:t>", în acelaşi sens fiind edictate şi prevederile art. 72 din ordinul C.N.C.D. nr. 144/2008, ambele texte fiind o transpunere în dreptul intern a art. 8 din Directiva Consiliului 2000/43/CE, potrivit căruia „</w:t>
      </w:r>
      <w:r w:rsidRPr="0017052D">
        <w:rPr>
          <w:rFonts w:ascii="Times New Roman" w:hAnsi="Times New Roman"/>
          <w:i/>
          <w:color w:val="000000"/>
          <w:sz w:val="24"/>
          <w:szCs w:val="24"/>
        </w:rPr>
        <w:t>Statele membre iau măsurile necesare, în conformitate cu sistemul juridic propriu, astfel încât, atunci când o persoană se consideră lezată prin nerespectarea faţă de ea a principiului egalităţii, şi prezintă, în faţa unei jurisdicţii sau a unei alte instanţe competente, fapte care permit prezumţia existenţei unei discriminări directe sau indirecte, să revină reclamatului sarcina de a dovedi că nu a violat principiul egalităţii.".</w:t>
      </w:r>
      <w:r w:rsidRPr="0017052D">
        <w:rPr>
          <w:rFonts w:ascii="Times New Roman" w:hAnsi="Times New Roman"/>
          <w:color w:val="000000"/>
          <w:sz w:val="24"/>
          <w:szCs w:val="24"/>
        </w:rPr>
        <w:t xml:space="preserve"> </w:t>
      </w:r>
    </w:p>
    <w:p w:rsidRPr="0017052D" w:rsidR="00A32BDF" w:rsidP="00A32BDF">
      <w:pPr>
        <w:ind w:firstLine="709"/>
        <w:jc w:val="both"/>
        <w:rPr>
          <w:color w:val="000000"/>
        </w:rPr>
      </w:pPr>
      <w:r w:rsidRPr="0017052D">
        <w:rPr>
          <w:color w:val="000000"/>
        </w:rPr>
        <w:t>Din analiza acestor dispoziţii, Curtea reţine că, în domeniul discriminării, sarcina probei este împărţită între petent şi reclamant: petentul are obligaţia de a dovedi existenţa unei fapte, care, aparent, dă naştere unei discriminări, în privinţa acestea legea instituind, practic, o prezumţie de discriminare, în timp ce persoana reclamată are sarcina de a răsturna aparenţa de discriminare a stării de fapt reclamante.</w:t>
      </w:r>
    </w:p>
    <w:p w:rsidRPr="0017052D" w:rsidR="00A32BDF" w:rsidP="00A32BDF">
      <w:pPr>
        <w:shd w:val="clear" w:color="auto" w:fill="FFFFFF"/>
        <w:ind w:firstLine="709"/>
        <w:jc w:val="both"/>
        <w:rPr>
          <w:color w:val="000000"/>
        </w:rPr>
      </w:pPr>
      <w:r w:rsidRPr="0017052D">
        <w:rPr>
          <w:color w:val="000000"/>
        </w:rPr>
        <w:t>Aşadar, în lipsa unei justificări rezonabile de natură a răsturna prezumţia de discriminare a situaţie de fapt semnalate, Consiliul Naţional pentru Combaterea Discriminării poate să constate existenţa caracterului discriminator al conduitei reclamate, pe baza probelor administrate.</w:t>
      </w:r>
    </w:p>
    <w:p w:rsidRPr="0017052D" w:rsidR="00A32BDF" w:rsidP="00A32BDF">
      <w:pPr>
        <w:shd w:val="clear" w:color="auto" w:fill="FFFFFF"/>
        <w:ind w:firstLine="709"/>
        <w:jc w:val="both"/>
        <w:rPr>
          <w:color w:val="000000"/>
        </w:rPr>
      </w:pPr>
      <w:r w:rsidRPr="0017052D">
        <w:rPr>
          <w:color w:val="000000"/>
        </w:rPr>
        <w:t xml:space="preserve">Aplicând aceste aspecte de ordin teoretic la situaţia de fapt, Curtea reţine că pârâtul a făcut dovada atât în cazul </w:t>
      </w:r>
      <w:bookmarkStart w:name="_Hlk204417584" w:id="6"/>
      <w:r w:rsidRPr="0017052D">
        <w:rPr>
          <w:color w:val="000000"/>
        </w:rPr>
        <w:t xml:space="preserve">prevederilor art. 15 alin. lit. d) din Ordinul nr. 5379/07.09.2022, cât şi în cazul dispoziţiilor art. 9 </w:t>
      </w:r>
      <w:bookmarkEnd w:id="6"/>
      <w:r w:rsidRPr="0017052D">
        <w:rPr>
          <w:color w:val="000000"/>
        </w:rPr>
        <w:t xml:space="preserve">din acelaşi act normativ că acestea dau naştere unei situaţii discriminatorii, fără ca, aşa cum s-a demonstrat în precedent, vreunul dintre argumentele invocate de reclamant să aibă aptitudinea de a răsturna prezumţia relativă de discriminare care joacă în favoarea C.N.C.D.. </w:t>
      </w:r>
    </w:p>
    <w:p w:rsidRPr="0017052D" w:rsidR="00A32BDF" w:rsidP="00A32BDF">
      <w:pPr>
        <w:shd w:val="clear" w:color="auto" w:fill="FFFFFF"/>
        <w:ind w:firstLine="709"/>
        <w:jc w:val="both"/>
        <w:rPr>
          <w:color w:val="000000"/>
        </w:rPr>
      </w:pPr>
    </w:p>
    <w:p w:rsidRPr="0017052D" w:rsidR="00A32BDF" w:rsidP="00A32BDF">
      <w:pPr>
        <w:pStyle w:val="ListParagraph"/>
        <w:numPr>
          <w:ilvl w:val="1"/>
          <w:numId w:val="1"/>
        </w:numPr>
        <w:spacing w:after="0" w:line="240" w:lineRule="auto"/>
        <w:ind w:left="0" w:firstLine="709"/>
        <w:jc w:val="both"/>
        <w:rPr>
          <w:rFonts w:ascii="Times New Roman" w:hAnsi="Times New Roman"/>
          <w:b/>
          <w:bCs/>
          <w:color w:val="000000"/>
          <w:sz w:val="24"/>
          <w:szCs w:val="24"/>
        </w:rPr>
      </w:pPr>
      <w:r w:rsidRPr="0017052D">
        <w:rPr>
          <w:rFonts w:ascii="Times New Roman" w:hAnsi="Times New Roman"/>
          <w:b/>
          <w:bCs/>
          <w:color w:val="000000"/>
          <w:sz w:val="24"/>
          <w:szCs w:val="24"/>
        </w:rPr>
        <w:t>Temeiul de drept al soluţiei.</w:t>
      </w:r>
    </w:p>
    <w:p w:rsidRPr="0017052D" w:rsidR="00A32BDF" w:rsidP="00A32BDF">
      <w:pPr>
        <w:ind w:firstLine="709"/>
        <w:jc w:val="both"/>
        <w:rPr>
          <w:color w:val="000000"/>
        </w:rPr>
      </w:pPr>
    </w:p>
    <w:p w:rsidRPr="0017052D" w:rsidR="00A32BDF" w:rsidP="00A32BDF">
      <w:pPr>
        <w:ind w:firstLine="709"/>
        <w:jc w:val="both"/>
        <w:rPr>
          <w:color w:val="000000"/>
        </w:rPr>
      </w:pPr>
      <w:r w:rsidRPr="0017052D">
        <w:rPr>
          <w:color w:val="000000"/>
        </w:rPr>
        <w:t xml:space="preserve">Pentru considerentele expuse, constatând că motivele invocate de reclamant sunt neîntemeiate şi că Hotărârea nr. </w:t>
      </w:r>
      <w:r w:rsidR="00104DB1">
        <w:rPr>
          <w:color w:val="000000"/>
        </w:rPr>
        <w:t>......./16.11.2022</w:t>
      </w:r>
      <w:r w:rsidRPr="0017052D">
        <w:rPr>
          <w:color w:val="000000"/>
        </w:rPr>
        <w:t xml:space="preserve"> a fost adoptată în mod legal şi temeinic, Curtea, în baza art. 20 alin. 9 din O.G. nr. 137/2000 coroborat cu art. 18 din Legea nr. 554/2004, va respinge prezenta acţiune în anulare ca neîntemeiată. </w:t>
      </w:r>
    </w:p>
    <w:p w:rsidRPr="0017052D" w:rsidR="00DB71EB" w:rsidP="00A32BDF">
      <w:pPr>
        <w:tabs>
          <w:tab w:val="left" w:pos="0"/>
          <w:tab w:val="left" w:pos="915"/>
        </w:tabs>
        <w:ind w:firstLine="709"/>
        <w:rPr>
          <w:b/>
          <w:color w:val="000000"/>
        </w:rPr>
      </w:pPr>
    </w:p>
    <w:p w:rsidRPr="0017052D" w:rsidR="00DB71EB" w:rsidP="00A32BDF">
      <w:pPr>
        <w:tabs>
          <w:tab w:val="left" w:pos="0"/>
          <w:tab w:val="left" w:pos="915"/>
        </w:tabs>
        <w:ind w:firstLine="709"/>
        <w:rPr>
          <w:b/>
          <w:color w:val="000000"/>
        </w:rPr>
      </w:pPr>
      <w:r w:rsidRPr="0017052D">
        <w:rPr>
          <w:b/>
          <w:color w:val="000000"/>
        </w:rPr>
        <w:t xml:space="preserve">                                          PENTRU ACESTE MOTIVE,</w:t>
      </w:r>
    </w:p>
    <w:p w:rsidRPr="0017052D" w:rsidR="00DB71EB" w:rsidP="00A32BDF">
      <w:pPr>
        <w:tabs>
          <w:tab w:val="left" w:pos="915"/>
        </w:tabs>
        <w:ind w:firstLine="709"/>
        <w:jc w:val="center"/>
        <w:rPr>
          <w:b/>
          <w:color w:val="000000"/>
        </w:rPr>
      </w:pPr>
      <w:r w:rsidRPr="0017052D">
        <w:rPr>
          <w:b/>
          <w:color w:val="000000"/>
        </w:rPr>
        <w:t>ÎN NUMELE LEGII,</w:t>
      </w:r>
    </w:p>
    <w:p w:rsidRPr="0017052D" w:rsidR="00DB71EB" w:rsidP="00A32BDF">
      <w:pPr>
        <w:tabs>
          <w:tab w:val="left" w:pos="915"/>
        </w:tabs>
        <w:ind w:firstLine="709"/>
        <w:jc w:val="center"/>
        <w:rPr>
          <w:b/>
          <w:color w:val="000000"/>
        </w:rPr>
      </w:pPr>
      <w:r w:rsidRPr="0017052D">
        <w:rPr>
          <w:b/>
          <w:color w:val="000000"/>
        </w:rPr>
        <w:t>HOTĂRĂŞTE:</w:t>
      </w:r>
    </w:p>
    <w:p w:rsidRPr="0017052D" w:rsidR="00D469B1" w:rsidP="00A32BDF">
      <w:pPr>
        <w:tabs>
          <w:tab w:val="left" w:pos="915"/>
        </w:tabs>
        <w:ind w:firstLine="709"/>
        <w:jc w:val="center"/>
        <w:rPr>
          <w:b/>
          <w:color w:val="000000"/>
        </w:rPr>
      </w:pPr>
    </w:p>
    <w:p w:rsidRPr="0017052D" w:rsidR="00DB71EB" w:rsidP="00A32BDF">
      <w:pPr>
        <w:ind w:firstLine="709"/>
        <w:jc w:val="both"/>
        <w:rPr>
          <w:color w:val="000000"/>
        </w:rPr>
      </w:pPr>
      <w:r w:rsidRPr="0017052D">
        <w:rPr>
          <w:color w:val="000000"/>
        </w:rPr>
        <w:t xml:space="preserve">Respinge acţiunea, ca nefondată formulate de </w:t>
      </w:r>
      <w:r w:rsidRPr="0017052D">
        <w:rPr>
          <w:b/>
          <w:color w:val="000000"/>
        </w:rPr>
        <w:t>reclamantul Ministerul Educaţiei</w:t>
      </w:r>
      <w:r w:rsidRPr="0017052D">
        <w:rPr>
          <w:color w:val="000000"/>
        </w:rPr>
        <w:t xml:space="preserve"> cu sediul în</w:t>
      </w:r>
      <w:r w:rsidR="00104DB1">
        <w:rPr>
          <w:color w:val="000000"/>
        </w:rPr>
        <w:t xml:space="preserve"> ...........</w:t>
      </w:r>
      <w:r w:rsidRPr="0017052D">
        <w:rPr>
          <w:color w:val="000000"/>
        </w:rPr>
        <w:t>, str.</w:t>
      </w:r>
      <w:r w:rsidR="00104DB1">
        <w:rPr>
          <w:color w:val="000000"/>
        </w:rPr>
        <w:t>........., nr........., .........</w:t>
      </w:r>
      <w:r w:rsidRPr="0017052D">
        <w:rPr>
          <w:color w:val="000000"/>
        </w:rPr>
        <w:t xml:space="preserve"> în contradictoriu cu </w:t>
      </w:r>
      <w:r w:rsidRPr="0017052D">
        <w:rPr>
          <w:b/>
          <w:color w:val="000000"/>
        </w:rPr>
        <w:t>pârâtul Consiliul Naţional pentru Combaterea Discriminării</w:t>
      </w:r>
      <w:r w:rsidRPr="0017052D">
        <w:rPr>
          <w:color w:val="000000"/>
        </w:rPr>
        <w:t>, cu sediul în</w:t>
      </w:r>
      <w:r w:rsidR="00104DB1">
        <w:rPr>
          <w:color w:val="000000"/>
        </w:rPr>
        <w:t xml:space="preserve"> .........</w:t>
      </w:r>
      <w:r w:rsidRPr="0017052D">
        <w:rPr>
          <w:color w:val="000000"/>
        </w:rPr>
        <w:t>, P-ţa</w:t>
      </w:r>
      <w:r w:rsidR="00104DB1">
        <w:rPr>
          <w:color w:val="000000"/>
        </w:rPr>
        <w:t xml:space="preserve"> ........, nr.........</w:t>
      </w:r>
      <w:r w:rsidRPr="0017052D">
        <w:rPr>
          <w:color w:val="000000"/>
        </w:rPr>
        <w:t>,</w:t>
      </w:r>
      <w:r w:rsidR="00104DB1">
        <w:rPr>
          <w:color w:val="000000"/>
        </w:rPr>
        <w:t xml:space="preserve"> ........</w:t>
      </w:r>
      <w:r w:rsidRPr="0017052D">
        <w:rPr>
          <w:color w:val="000000"/>
        </w:rPr>
        <w:t xml:space="preserve">. </w:t>
      </w:r>
    </w:p>
    <w:p w:rsidRPr="0017052D" w:rsidR="00DB71EB" w:rsidP="00A32BDF">
      <w:pPr>
        <w:ind w:firstLine="709"/>
        <w:jc w:val="both"/>
        <w:rPr>
          <w:color w:val="000000"/>
        </w:rPr>
      </w:pPr>
      <w:r w:rsidRPr="0017052D">
        <w:rPr>
          <w:color w:val="000000"/>
        </w:rPr>
        <w:t xml:space="preserve">Cu recurs în termen de 15 zile de la comunicare, calea de atac, urmând a fi depusă la Curtea de Apel </w:t>
      </w:r>
      <w:r w:rsidR="00104DB1">
        <w:rPr>
          <w:color w:val="000000"/>
        </w:rPr>
        <w:t>.........</w:t>
      </w:r>
      <w:r w:rsidRPr="0017052D">
        <w:rPr>
          <w:color w:val="000000"/>
        </w:rPr>
        <w:t xml:space="preserve">- Secţia </w:t>
      </w:r>
      <w:r w:rsidR="00104DB1">
        <w:rPr>
          <w:color w:val="000000"/>
        </w:rPr>
        <w:t xml:space="preserve">.......... </w:t>
      </w:r>
      <w:r w:rsidRPr="0017052D">
        <w:rPr>
          <w:color w:val="000000"/>
        </w:rPr>
        <w:t xml:space="preserve">contencios administrativ şi fiscal. </w:t>
      </w:r>
    </w:p>
    <w:p w:rsidRPr="0017052D" w:rsidR="00DB71EB" w:rsidP="00A32BDF">
      <w:pPr>
        <w:ind w:firstLine="709"/>
        <w:jc w:val="both"/>
        <w:rPr>
          <w:color w:val="000000"/>
        </w:rPr>
      </w:pPr>
      <w:r w:rsidRPr="0017052D">
        <w:rPr>
          <w:color w:val="000000"/>
        </w:rPr>
        <w:t xml:space="preserve">Pronunţată azi, </w:t>
      </w:r>
      <w:r w:rsidR="0082044A">
        <w:rPr>
          <w:color w:val="000000"/>
        </w:rPr>
        <w:t>...........</w:t>
      </w:r>
      <w:r w:rsidRPr="0017052D">
        <w:rPr>
          <w:color w:val="000000"/>
        </w:rPr>
        <w:t>, prin punerea soluţiei la dispoziţia părţilor prin mijlocirea grefei instanţei.</w:t>
      </w:r>
    </w:p>
    <w:p w:rsidRPr="0017052D" w:rsidR="00507CCA" w:rsidP="00A32BDF">
      <w:pPr>
        <w:ind w:firstLine="709"/>
        <w:jc w:val="both"/>
        <w:rPr>
          <w:color w:val="000000"/>
        </w:rPr>
      </w:pPr>
    </w:p>
    <w:p w:rsidRPr="0017052D" w:rsidR="00DB71EB" w:rsidP="00507CCA">
      <w:pPr>
        <w:jc w:val="both"/>
        <w:rPr>
          <w:b/>
          <w:color w:val="000000"/>
        </w:rPr>
      </w:pPr>
      <w:r w:rsidRPr="0017052D" w:rsidR="00507CCA">
        <w:rPr>
          <w:b/>
          <w:color w:val="000000"/>
        </w:rPr>
        <w:t xml:space="preserve">       </w:t>
      </w:r>
      <w:r w:rsidRPr="0017052D">
        <w:rPr>
          <w:b/>
          <w:color w:val="000000"/>
        </w:rPr>
        <w:t>PREŞEDINTE</w:t>
      </w:r>
      <w:r w:rsidRPr="0017052D" w:rsidR="00507CCA">
        <w:rPr>
          <w:b/>
          <w:color w:val="000000"/>
        </w:rPr>
        <w:t>,</w:t>
      </w:r>
      <w:r w:rsidRPr="0017052D">
        <w:rPr>
          <w:b/>
          <w:color w:val="000000"/>
        </w:rPr>
        <w:tab/>
        <w:tab/>
        <w:t xml:space="preserve">                                                               GREFIER</w:t>
      </w:r>
      <w:r w:rsidRPr="0017052D" w:rsidR="00507CCA">
        <w:rPr>
          <w:b/>
          <w:color w:val="000000"/>
        </w:rPr>
        <w:t>,</w:t>
      </w:r>
    </w:p>
    <w:p w:rsidRPr="0017052D" w:rsidR="00DB71EB" w:rsidP="00507CCA">
      <w:pPr>
        <w:rPr>
          <w:b/>
          <w:color w:val="000000"/>
        </w:rPr>
      </w:pPr>
      <w:r w:rsidRPr="0017052D">
        <w:rPr>
          <w:b/>
          <w:color w:val="000000"/>
        </w:rPr>
        <w:t xml:space="preserve"> </w:t>
      </w:r>
      <w:r w:rsidR="0082044A">
        <w:rPr>
          <w:b/>
          <w:color w:val="000000"/>
        </w:rPr>
        <w:t>CANDIDAT A0009</w:t>
      </w:r>
      <w:r w:rsidRPr="0017052D">
        <w:rPr>
          <w:b/>
          <w:color w:val="000000"/>
        </w:rPr>
        <w:t xml:space="preserve">                                                             </w:t>
      </w:r>
      <w:r w:rsidR="00104DB1">
        <w:rPr>
          <w:b/>
          <w:color w:val="000000"/>
        </w:rPr>
        <w:t xml:space="preserve">                 </w:t>
      </w:r>
      <w:r w:rsidRPr="0017052D">
        <w:rPr>
          <w:b/>
          <w:color w:val="000000"/>
        </w:rPr>
        <w:t xml:space="preserve"> </w:t>
      </w:r>
      <w:r w:rsidR="0082044A">
        <w:rPr>
          <w:b/>
          <w:color w:val="000000"/>
        </w:rPr>
        <w:t>...........</w:t>
      </w:r>
      <w:r w:rsidR="00104DB1">
        <w:rPr>
          <w:b/>
          <w:color w:val="000000"/>
        </w:rPr>
        <w:t>......</w:t>
      </w:r>
    </w:p>
    <w:p w:rsidRPr="0017052D" w:rsidR="00DB71EB" w:rsidP="00A32BDF">
      <w:pPr>
        <w:ind w:firstLine="709"/>
        <w:jc w:val="center"/>
        <w:rPr>
          <w:color w:val="000000"/>
        </w:rPr>
      </w:pPr>
    </w:p>
    <w:p w:rsidRPr="0017052D" w:rsidR="00DB71EB" w:rsidP="00A32BDF">
      <w:pPr>
        <w:ind w:firstLine="709"/>
        <w:jc w:val="center"/>
        <w:rPr>
          <w:color w:val="000000"/>
        </w:rPr>
      </w:pPr>
    </w:p>
    <w:p w:rsidRPr="0017052D" w:rsidR="00DB71EB" w:rsidP="00A32BDF">
      <w:pPr>
        <w:ind w:firstLine="709"/>
        <w:jc w:val="center"/>
        <w:rPr>
          <w:color w:val="000000"/>
        </w:rPr>
      </w:pPr>
    </w:p>
    <w:p w:rsidRPr="0017052D" w:rsidR="00DB71EB" w:rsidP="00A32BDF">
      <w:pPr>
        <w:ind w:firstLine="709"/>
        <w:jc w:val="center"/>
        <w:rPr>
          <w:color w:val="000000"/>
        </w:rPr>
      </w:pPr>
    </w:p>
    <w:p w:rsidRPr="0017052D" w:rsidR="00DB71EB" w:rsidP="00A32BDF">
      <w:pPr>
        <w:widowControl w:val="0"/>
        <w:autoSpaceDE w:val="0"/>
        <w:autoSpaceDN w:val="0"/>
        <w:adjustRightInd w:val="0"/>
        <w:ind w:right="-360" w:firstLine="709"/>
        <w:jc w:val="both"/>
        <w:rPr>
          <w:color w:val="000000"/>
          <w:sz w:val="16"/>
          <w:szCs w:val="16"/>
        </w:rPr>
      </w:pPr>
      <w:r w:rsidR="00104DB1">
        <w:rPr>
          <w:bCs/>
          <w:color w:val="000000"/>
          <w:sz w:val="16"/>
          <w:szCs w:val="16"/>
        </w:rPr>
        <w:t>Red./tehnored. jud. CANDIDAT A0009/......</w:t>
      </w:r>
      <w:r w:rsidRPr="0017052D">
        <w:rPr>
          <w:bCs/>
          <w:color w:val="000000"/>
          <w:sz w:val="16"/>
          <w:szCs w:val="16"/>
        </w:rPr>
        <w:t>/4 ex</w:t>
      </w:r>
    </w:p>
    <w:p w:rsidRPr="0017052D" w:rsidR="00DB71EB" w:rsidP="00A32BDF">
      <w:pPr>
        <w:ind w:firstLine="709"/>
        <w:jc w:val="center"/>
        <w:rPr>
          <w:color w:val="000000"/>
        </w:rPr>
      </w:pPr>
    </w:p>
    <w:p w:rsidRPr="0017052D" w:rsidR="00DB71EB" w:rsidP="00A32BDF">
      <w:pPr>
        <w:ind w:firstLine="709"/>
        <w:jc w:val="center"/>
        <w:rPr>
          <w:color w:val="000000"/>
        </w:rPr>
      </w:pPr>
    </w:p>
    <w:p w:rsidRPr="0017052D" w:rsidR="00DB71EB" w:rsidP="00A32BDF">
      <w:pPr>
        <w:ind w:firstLine="709"/>
        <w:jc w:val="center"/>
        <w:rPr>
          <w:color w:val="000000"/>
        </w:rPr>
      </w:pPr>
    </w:p>
    <w:p w:rsidRPr="0017052D" w:rsidR="00090D1C" w:rsidP="00A32BDF">
      <w:pPr>
        <w:ind w:firstLine="709"/>
        <w:jc w:val="both"/>
        <w:rPr>
          <w:rFonts w:ascii="Garamond" w:hAnsi="Garamond"/>
          <w:color w:val="000000"/>
          <w:sz w:val="16"/>
          <w:szCs w:val="15"/>
        </w:rPr>
      </w:pPr>
    </w:p>
    <w:sectPr w:rsidSect="009847E9">
      <w:footerReference w:type="default" r:id="rId4"/>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CCA">
    <w:pPr>
      <w:pStyle w:val="Footer"/>
      <w:jc w:val="center"/>
    </w:pPr>
    <w:r>
      <w:t xml:space="preserve">Pagină </w:t>
    </w:r>
    <w:r>
      <w:rPr>
        <w:b/>
        <w:bCs/>
      </w:rPr>
      <w:fldChar w:fldCharType="begin"/>
    </w:r>
    <w:r>
      <w:rPr>
        <w:b/>
        <w:bCs/>
      </w:rPr>
      <w:instrText>PAGE</w:instrText>
    </w:r>
    <w:r>
      <w:rPr>
        <w:b/>
        <w:bCs/>
      </w:rPr>
      <w:fldChar w:fldCharType="separate"/>
    </w:r>
    <w:r w:rsidR="00104DB1">
      <w:rPr>
        <w:b/>
        <w:bCs/>
        <w:noProof/>
      </w:rPr>
      <w:t>1</w:t>
    </w:r>
    <w:r>
      <w:rPr>
        <w:b/>
        <w:bCs/>
      </w:rPr>
      <w:fldChar w:fldCharType="end"/>
    </w:r>
    <w:r>
      <w:t xml:space="preserve"> din </w:t>
    </w:r>
    <w:r>
      <w:rPr>
        <w:b/>
        <w:bCs/>
      </w:rPr>
      <w:fldChar w:fldCharType="begin"/>
    </w:r>
    <w:r>
      <w:rPr>
        <w:b/>
        <w:bCs/>
      </w:rPr>
      <w:instrText>NUMPAGES</w:instrText>
    </w:r>
    <w:r>
      <w:rPr>
        <w:b/>
        <w:bCs/>
      </w:rPr>
      <w:fldChar w:fldCharType="separate"/>
    </w:r>
    <w:r w:rsidR="00104DB1">
      <w:rPr>
        <w:b/>
        <w:bCs/>
        <w:noProof/>
      </w:rPr>
      <w:t>7</w:t>
    </w:r>
    <w:r>
      <w:rPr>
        <w:b/>
        <w:bCs/>
      </w:rPr>
      <w:fldChar w:fldCharType="end"/>
    </w:r>
  </w:p>
  <w:p w:rsidR="00507CCA">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E676F"/>
    <w:multiLevelType w:val="multilevel"/>
    <w:tmpl w:val="746CE6F6"/>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b/>
        <w:bCs/>
      </w:rPr>
    </w:lvl>
    <w:lvl w:ilvl="2">
      <w:start w:val="1"/>
      <w:numFmt w:val="decimal"/>
      <w:isLgl/>
      <w:lvlText w:val="%1.%2.%3."/>
      <w:lvlJc w:val="left"/>
      <w:pPr>
        <w:ind w:left="1430" w:hanging="720"/>
      </w:pPr>
      <w:rPr>
        <w:rFonts w:hint="default"/>
        <w:b/>
        <w:bCs/>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nsid w:val="5C394DE0"/>
    <w:multiLevelType w:val="hybridMultilevel"/>
    <w:tmpl w:val="BA8C25B4"/>
    <w:lvl w:ilvl="0">
      <w:start w:val="1"/>
      <w:numFmt w:val="lowerRoman"/>
      <w:lvlText w:val="%1."/>
      <w:lvlJc w:val="right"/>
      <w:pPr>
        <w:ind w:left="1429" w:hanging="360"/>
      </w:pPr>
      <w:rPr>
        <w:b/>
        <w:bCs/>
      </w:r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2">
    <w:nsid w:val="67EB6A6E"/>
    <w:multiLevelType w:val="hybridMultilevel"/>
    <w:tmpl w:val="51023814"/>
    <w:lvl w:ilvl="0">
      <w:start w:val="3"/>
      <w:numFmt w:val="bullet"/>
      <w:lvlText w:val="-"/>
      <w:lvlJc w:val="left"/>
      <w:pPr>
        <w:ind w:left="1790" w:hanging="360"/>
      </w:pPr>
      <w:rPr>
        <w:rFonts w:ascii="Times New Roman" w:eastAsia="Calibri" w:hAnsi="Times New Roman" w:cs="Times New Roman" w:hint="default"/>
      </w:rPr>
    </w:lvl>
    <w:lvl w:ilvl="1" w:tentative="1">
      <w:start w:val="1"/>
      <w:numFmt w:val="bullet"/>
      <w:lvlText w:val="o"/>
      <w:lvlJc w:val="left"/>
      <w:pPr>
        <w:ind w:left="2510" w:hanging="360"/>
      </w:pPr>
      <w:rPr>
        <w:rFonts w:ascii="Courier New" w:hAnsi="Courier New" w:cs="Courier New" w:hint="default"/>
      </w:rPr>
    </w:lvl>
    <w:lvl w:ilvl="2" w:tentative="1">
      <w:start w:val="1"/>
      <w:numFmt w:val="bullet"/>
      <w:lvlText w:val=""/>
      <w:lvlJc w:val="left"/>
      <w:pPr>
        <w:ind w:left="3230" w:hanging="360"/>
      </w:pPr>
      <w:rPr>
        <w:rFonts w:ascii="Wingdings" w:hAnsi="Wingdings" w:hint="default"/>
      </w:rPr>
    </w:lvl>
    <w:lvl w:ilvl="3" w:tentative="1">
      <w:start w:val="1"/>
      <w:numFmt w:val="bullet"/>
      <w:lvlText w:val=""/>
      <w:lvlJc w:val="left"/>
      <w:pPr>
        <w:ind w:left="3950" w:hanging="360"/>
      </w:pPr>
      <w:rPr>
        <w:rFonts w:ascii="Symbol" w:hAnsi="Symbol" w:hint="default"/>
      </w:rPr>
    </w:lvl>
    <w:lvl w:ilvl="4" w:tentative="1">
      <w:start w:val="1"/>
      <w:numFmt w:val="bullet"/>
      <w:lvlText w:val="o"/>
      <w:lvlJc w:val="left"/>
      <w:pPr>
        <w:ind w:left="4670" w:hanging="360"/>
      </w:pPr>
      <w:rPr>
        <w:rFonts w:ascii="Courier New" w:hAnsi="Courier New" w:cs="Courier New" w:hint="default"/>
      </w:rPr>
    </w:lvl>
    <w:lvl w:ilvl="5" w:tentative="1">
      <w:start w:val="1"/>
      <w:numFmt w:val="bullet"/>
      <w:lvlText w:val=""/>
      <w:lvlJc w:val="left"/>
      <w:pPr>
        <w:ind w:left="5390" w:hanging="360"/>
      </w:pPr>
      <w:rPr>
        <w:rFonts w:ascii="Wingdings" w:hAnsi="Wingdings" w:hint="default"/>
      </w:rPr>
    </w:lvl>
    <w:lvl w:ilvl="6" w:tentative="1">
      <w:start w:val="1"/>
      <w:numFmt w:val="bullet"/>
      <w:lvlText w:val=""/>
      <w:lvlJc w:val="left"/>
      <w:pPr>
        <w:ind w:left="6110" w:hanging="360"/>
      </w:pPr>
      <w:rPr>
        <w:rFonts w:ascii="Symbol" w:hAnsi="Symbol" w:hint="default"/>
      </w:rPr>
    </w:lvl>
    <w:lvl w:ilvl="7" w:tentative="1">
      <w:start w:val="1"/>
      <w:numFmt w:val="bullet"/>
      <w:lvlText w:val="o"/>
      <w:lvlJc w:val="left"/>
      <w:pPr>
        <w:ind w:left="6830" w:hanging="360"/>
      </w:pPr>
      <w:rPr>
        <w:rFonts w:ascii="Courier New" w:hAnsi="Courier New" w:cs="Courier New" w:hint="default"/>
      </w:rPr>
    </w:lvl>
    <w:lvl w:ilvl="8" w:tentative="1">
      <w:start w:val="1"/>
      <w:numFmt w:val="bullet"/>
      <w:lvlText w:val=""/>
      <w:lvlJc w:val="left"/>
      <w:pPr>
        <w:ind w:left="755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4103"/>
    <w:rsid w:val="00090AE4"/>
    <w:rsid w:val="00090D1C"/>
    <w:rsid w:val="00104DB1"/>
    <w:rsid w:val="00130518"/>
    <w:rsid w:val="0017052D"/>
    <w:rsid w:val="00190DF5"/>
    <w:rsid w:val="00230098"/>
    <w:rsid w:val="00236F8B"/>
    <w:rsid w:val="00310770"/>
    <w:rsid w:val="003676FC"/>
    <w:rsid w:val="003D2216"/>
    <w:rsid w:val="00434264"/>
    <w:rsid w:val="004362D5"/>
    <w:rsid w:val="00444EB7"/>
    <w:rsid w:val="00483536"/>
    <w:rsid w:val="00504AC8"/>
    <w:rsid w:val="00507CCA"/>
    <w:rsid w:val="005E0080"/>
    <w:rsid w:val="00666854"/>
    <w:rsid w:val="007F1FF4"/>
    <w:rsid w:val="0082044A"/>
    <w:rsid w:val="00841EEF"/>
    <w:rsid w:val="008D6F98"/>
    <w:rsid w:val="00902C7A"/>
    <w:rsid w:val="00982CB8"/>
    <w:rsid w:val="009847E9"/>
    <w:rsid w:val="009876B0"/>
    <w:rsid w:val="009B7961"/>
    <w:rsid w:val="00A32BDF"/>
    <w:rsid w:val="00A56F73"/>
    <w:rsid w:val="00A74B82"/>
    <w:rsid w:val="00A8393E"/>
    <w:rsid w:val="00BC4A1A"/>
    <w:rsid w:val="00BC5260"/>
    <w:rsid w:val="00BF0E6F"/>
    <w:rsid w:val="00D469B1"/>
    <w:rsid w:val="00DB71EB"/>
    <w:rsid w:val="00F035C2"/>
    <w:rsid w:val="00F10CB8"/>
  </w:rsids>
  <w:docVars>
    <w:docVar w:name="url" w:val="https://cabuc.just.ro/ecris_cdms/document_upload.aspx?id_document=200000005025887&amp;id_departament=58&amp;id_sesiune=6143361&amp;id_user=928&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ListParagraph">
    <w:name w:val="List Paragraph"/>
    <w:basedOn w:val="Normal"/>
    <w:uiPriority w:val="34"/>
    <w:qFormat/>
    <w:rsid w:val="00A32BDF"/>
    <w:pPr>
      <w:spacing w:after="160" w:line="259" w:lineRule="auto"/>
      <w:ind w:left="720"/>
      <w:contextualSpacing/>
    </w:pPr>
    <w:rPr>
      <w:rFonts w:ascii="Calibri" w:eastAsia="Calibri" w:hAnsi="Calibri" w:cs="Times New Roman"/>
      <w:kern w:val="2"/>
      <w:sz w:val="22"/>
      <w:szCs w:val="22"/>
      <w:lang w:eastAsia="en-US"/>
    </w:rPr>
  </w:style>
  <w:style w:type="paragraph" w:styleId="Header">
    <w:name w:val="header"/>
    <w:basedOn w:val="Normal"/>
    <w:link w:val="HeaderChar"/>
    <w:rsid w:val="00507CCA"/>
    <w:pPr>
      <w:tabs>
        <w:tab w:val="center" w:pos="4513"/>
        <w:tab w:val="right" w:pos="9026"/>
      </w:tabs>
    </w:pPr>
    <w:rPr>
      <w:lang w:val="x-none" w:eastAsia="x-none"/>
    </w:rPr>
  </w:style>
  <w:style w:type="character" w:customStyle="1" w:styleId="HeaderChar">
    <w:name w:val="Header Char"/>
    <w:link w:val="Header"/>
    <w:rsid w:val="00507CCA"/>
    <w:rPr>
      <w:sz w:val="24"/>
      <w:szCs w:val="24"/>
    </w:rPr>
  </w:style>
  <w:style w:type="paragraph" w:styleId="Footer">
    <w:name w:val="footer"/>
    <w:basedOn w:val="Normal"/>
    <w:link w:val="FooterChar"/>
    <w:uiPriority w:val="99"/>
    <w:rsid w:val="00507CCA"/>
    <w:pPr>
      <w:tabs>
        <w:tab w:val="center" w:pos="4513"/>
        <w:tab w:val="right" w:pos="9026"/>
      </w:tabs>
    </w:pPr>
    <w:rPr>
      <w:lang w:val="x-none" w:eastAsia="x-none"/>
    </w:rPr>
  </w:style>
  <w:style w:type="character" w:customStyle="1" w:styleId="FooterChar">
    <w:name w:val="Footer Char"/>
    <w:link w:val="Footer"/>
    <w:uiPriority w:val="99"/>
    <w:rsid w:val="00507CCA"/>
    <w:rPr>
      <w:sz w:val="24"/>
      <w:szCs w:val="24"/>
    </w:rPr>
  </w:style>
</w:styles>
</file>

<file path=word/webSettings.xml><?xml version="1.0" encoding="utf-8"?>
<w:webSettings xmlns:r="http://schemas.openxmlformats.org/officeDocument/2006/relationships" xmlns:w="http://schemas.openxmlformats.org/wordprocessingml/2006/main">
  <w:encoding w:val="windows-1252"/>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17</ap:TotalTime>
  <ap:Pages>7</ap:Pages>
  <ap:Words>3654</ap:Words>
  <ap:Characters>21195</ap:Characters>
  <ap:Application>Microsoft Office Word</ap:Application>
  <ap:DocSecurity>0</ap:DocSecurity>
  <ap:Lines>176</ap:Lines>
  <ap:Paragraphs>49</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24800</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