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oter1.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&#65279;<?xml version="1.0" encoding="utf-8"?><Relationships xmlns="http://schemas.openxmlformats.org/package/2006/relationships"><Relationship Type="http://schemas.openxmlformats.org/package/2006/relationships/metadata/core-properties" Target="docProps/core.xml" Id="rId1" /><Relationship Type="http://schemas.openxmlformats.org/officeDocument/2006/relationships/extended-properties" Target="docProps/app.xml" Id="rId2" /><Relationship Type="http://schemas.openxmlformats.org/officeDocument/2006/relationships/officeDocument" Target="word/document.xml" Id="rId4"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b/>
        </w:rPr>
      </w:pPr>
      <w:r>
        <w:rPr>
          <w:b/>
        </w:rPr>
        <w:t>Hot 19</w:t>
      </w:r>
    </w:p>
    <w:p>
      <w:pPr>
        <w:pStyle w:val="Normal"/>
        <w:rPr>
          <w:b/>
        </w:rPr>
      </w:pPr>
      <w:r>
        <w:rPr>
          <w:b/>
        </w:rPr>
        <w:t>DOSAR NR. D1</w:t>
      </w:r>
    </w:p>
    <w:p>
      <w:pPr>
        <w:pStyle w:val="Normal"/>
        <w:rPr/>
      </w:pPr>
      <w:r>
        <w:rPr/>
      </w:r>
    </w:p>
    <w:p>
      <w:pPr>
        <w:pStyle w:val="Normal"/>
        <w:keepNext w:val="true"/>
        <w:numPr>
          <w:ilvl w:val="0"/>
          <w:numId w:val="0"/>
        </w:numPr>
        <w:jc w:val="center"/>
        <w:outlineLvl w:val="2"/>
        <w:rPr>
          <w:b/>
        </w:rPr>
      </w:pPr>
      <w:r>
        <w:rPr>
          <w:b/>
        </w:rPr>
        <w:t>R O M Â N I A</w:t>
      </w:r>
    </w:p>
    <w:p>
      <w:pPr>
        <w:pStyle w:val="Normal"/>
        <w:jc w:val="center"/>
        <w:rPr>
          <w:b/>
        </w:rPr>
      </w:pPr>
      <w:r>
        <w:rPr>
          <w:b/>
        </w:rPr>
        <w:t>CURTEA DE APEL ...</w:t>
      </w:r>
    </w:p>
    <w:p>
      <w:pPr>
        <w:pStyle w:val="Normal"/>
        <w:jc w:val="center"/>
        <w:rPr>
          <w:b/>
        </w:rPr>
      </w:pPr>
      <w:r>
        <w:rPr>
          <w:b/>
        </w:rPr>
        <w:t>SECŢIA .... - NCPP - DREPTURI ŞI LIBERTĂŢI</w:t>
      </w:r>
    </w:p>
    <w:p>
      <w:pPr>
        <w:pStyle w:val="Normal"/>
        <w:rPr/>
      </w:pPr>
      <w:r>
        <w:rPr/>
      </w:r>
    </w:p>
    <w:p>
      <w:pPr>
        <w:pStyle w:val="Normal"/>
        <w:keepNext w:val="true"/>
        <w:numPr>
          <w:ilvl w:val="0"/>
          <w:numId w:val="0"/>
        </w:numPr>
        <w:jc w:val="center"/>
        <w:outlineLvl w:val="1"/>
        <w:rPr>
          <w:b/>
        </w:rPr>
      </w:pPr>
      <w:r>
        <w:rPr>
          <w:b/>
        </w:rPr>
        <w:t>Î N C H E I E R E A   NR. ...</w:t>
      </w:r>
    </w:p>
    <w:p>
      <w:pPr>
        <w:pStyle w:val="Normal"/>
        <w:rPr>
          <w:b/>
        </w:rPr>
      </w:pPr>
      <w:r>
        <w:rPr>
          <w:b/>
        </w:rPr>
      </w:r>
    </w:p>
    <w:p>
      <w:pPr>
        <w:pStyle w:val="Normal"/>
        <w:jc w:val="center"/>
        <w:rPr/>
      </w:pPr>
      <w:r>
        <w:rPr/>
        <w:t>Şedinţa camerei de consiliu din data de  ...</w:t>
      </w:r>
    </w:p>
    <w:p>
      <w:pPr>
        <w:pStyle w:val="Normal"/>
        <w:jc w:val="center"/>
        <w:rPr/>
      </w:pPr>
      <w:r>
        <w:rPr/>
        <w:t>Instanţa constituită  din:</w:t>
      </w:r>
    </w:p>
    <w:p>
      <w:pPr>
        <w:pStyle w:val="Normal"/>
        <w:jc w:val="center"/>
        <w:rPr>
          <w:b/>
        </w:rPr>
      </w:pPr>
      <w:r>
        <w:rPr>
          <w:b/>
        </w:rPr>
        <w:t xml:space="preserve">JUDECĂTOR DE DREPTURI ŞI LIBERTĂŢI – A0013 </w:t>
      </w:r>
    </w:p>
    <w:p>
      <w:pPr>
        <w:pStyle w:val="Normal"/>
        <w:jc w:val="center"/>
        <w:rPr>
          <w:b/>
        </w:rPr>
      </w:pPr>
      <w:r>
        <w:rPr>
          <w:b/>
        </w:rPr>
        <w:t>Grefier –...</w:t>
      </w:r>
    </w:p>
    <w:p>
      <w:pPr>
        <w:pStyle w:val="Normal"/>
        <w:jc w:val="center"/>
        <w:rPr>
          <w:b/>
        </w:rPr>
      </w:pPr>
      <w:r>
        <w:rPr>
          <w:b/>
        </w:rPr>
      </w:r>
    </w:p>
    <w:p>
      <w:pPr>
        <w:pStyle w:val="Normal"/>
        <w:jc w:val="center"/>
        <w:rPr>
          <w:b/>
        </w:rPr>
      </w:pPr>
      <w:r>
        <w:rPr>
          <w:b/>
        </w:rPr>
        <w:t>Ministerul Public – D.I.I.C.O.T.  – Serviciul Teritorial ... – reprezentat prin procuror ...</w:t>
      </w:r>
    </w:p>
    <w:p>
      <w:pPr>
        <w:pStyle w:val="Normal"/>
        <w:jc w:val="center"/>
        <w:rPr/>
      </w:pPr>
      <w:r>
        <w:rPr/>
      </w:r>
    </w:p>
    <w:p>
      <w:pPr>
        <w:pStyle w:val="Normal"/>
        <w:jc w:val="center"/>
        <w:rPr/>
      </w:pPr>
      <w:r>
        <w:rPr/>
      </w:r>
    </w:p>
    <w:p>
      <w:pPr>
        <w:pStyle w:val="Normal"/>
        <w:ind w:right="-1" w:firstLine="708"/>
        <w:jc w:val="both"/>
        <w:rPr/>
      </w:pPr>
      <w:r>
        <w:rPr/>
        <w:t xml:space="preserve">Pe rol se află soluţionarea </w:t>
      </w:r>
      <w:r>
        <w:rPr>
          <w:b/>
        </w:rPr>
        <w:t>contestaţiei</w:t>
      </w:r>
      <w:r>
        <w:rPr/>
        <w:t xml:space="preserve"> promovate de </w:t>
      </w:r>
      <w:r>
        <w:rPr>
          <w:b/>
        </w:rPr>
        <w:t>inculpatul R1</w:t>
      </w:r>
      <w:r>
        <w:rPr/>
        <w:t xml:space="preserve"> împotriva </w:t>
      </w:r>
      <w:r>
        <w:rPr>
          <w:b/>
        </w:rPr>
        <w:t>încheierii penale nr. IP1 din data de ...</w:t>
      </w:r>
      <w:r>
        <w:rPr/>
        <w:t xml:space="preserve"> pronunţată de Tribunalul..., în dosarul nr. D1.</w:t>
      </w:r>
    </w:p>
    <w:p>
      <w:pPr>
        <w:pStyle w:val="Normal"/>
        <w:ind w:firstLine="708"/>
        <w:jc w:val="both"/>
        <w:rPr/>
      </w:pPr>
      <w:r>
        <w:rPr/>
        <w:t>La apelul nominal, făcut în şedinţa camerei de consiliu, se prezintă inculpatul R1, personal, asistat de avocat desemnat din oficiu Av1, care depune delegaţia nr. ...5 din data de 04.07.2018 (fila 15).</w:t>
      </w:r>
    </w:p>
    <w:p>
      <w:pPr>
        <w:pStyle w:val="Normal"/>
        <w:ind w:firstLine="708"/>
        <w:jc w:val="both"/>
        <w:rPr/>
      </w:pPr>
      <w:r>
        <w:rPr/>
        <w:t xml:space="preserve">Procedura de citare este </w:t>
      </w:r>
      <w:r>
        <w:rPr>
          <w:b/>
        </w:rPr>
        <w:t>legal îndeplinită.</w:t>
      </w:r>
    </w:p>
    <w:p>
      <w:pPr>
        <w:pStyle w:val="Normal"/>
        <w:ind w:firstLine="708"/>
        <w:jc w:val="both"/>
        <w:rPr/>
      </w:pPr>
      <w:r>
        <w:rPr/>
        <w:t>S-a făcut referatul cauzei de către grefier, care învederează cele menționate referitor la procedura de citare, după care:</w:t>
      </w:r>
    </w:p>
    <w:p>
      <w:pPr>
        <w:pStyle w:val="Normal"/>
        <w:ind w:firstLine="708"/>
        <w:jc w:val="both"/>
        <w:rPr/>
      </w:pPr>
      <w:r>
        <w:rPr/>
        <w:t>Judecătorul de drepturi şi libertăţi permite avocatului desemnat din oficiu să ia legătura cu inculpatul contestator.</w:t>
      </w:r>
    </w:p>
    <w:p>
      <w:pPr>
        <w:pStyle w:val="Normal"/>
        <w:ind w:firstLine="708"/>
        <w:jc w:val="both"/>
        <w:rPr/>
      </w:pPr>
      <w:r>
        <w:rPr>
          <w:i/>
        </w:rPr>
        <w:t>Judecătorul de drepturi şi libertăţi</w:t>
      </w:r>
      <w:r>
        <w:rPr/>
        <w:t xml:space="preserve"> procedează la identificarea inculpatului contestator R1, care arată că este fiul lui ... şi al lui ..., născut la ..., aflat în C.R.A.P. din cadrul I.P.J. ..., datele declarate de acesta fiind în concordanţă cu datele de la dosarul cauzei.</w:t>
      </w:r>
    </w:p>
    <w:p>
      <w:pPr>
        <w:pStyle w:val="Normal"/>
        <w:ind w:firstLine="708"/>
        <w:jc w:val="both"/>
        <w:rPr/>
      </w:pPr>
      <w:r>
        <w:rPr/>
        <w:t>Judecătorul de drepturi şi libertăţi aduce la cunoştinţă inculpatului că a formulat o cerere de înlocuire a măsurii arestului preventiv cu măsura preventivă a arestului la domiciliu. Cererea sa a fost analizată de judecătorul de drepturi şi libertăţi din cadrul Tribunalului ... în data de ... şi a fost respinsă. Inculpatul a formulat o contestaţie în care a indicat un alt număr de dosar decât cel în cauză. Întreabă inculpatul contestator dacă cererea de contestaţie vizează încheierea prin care i s-a respins această cerere de înlocuire a măsurii preventive luate asupra sa.</w:t>
      </w:r>
    </w:p>
    <w:p>
      <w:pPr>
        <w:pStyle w:val="Normal"/>
        <w:ind w:firstLine="708"/>
        <w:jc w:val="both"/>
        <w:rPr/>
      </w:pPr>
      <w:r>
        <w:rPr/>
        <w:t>Inculpatul contestator R1 răspunde afirmativ.</w:t>
      </w:r>
    </w:p>
    <w:p>
      <w:pPr>
        <w:pStyle w:val="Normal"/>
        <w:ind w:firstLine="708"/>
        <w:jc w:val="both"/>
        <w:rPr/>
      </w:pPr>
      <w:r>
        <w:rPr/>
        <w:t>Judecătorul de drepturi şi libertăţi pune în vedere inculpatului contestator că şi-a exprimat o poziţie procesuală cu privire la cererea sa privind înlocuirea măsurii preventive şi întreabă inculpatul dacă doreşte să dea declaraţie în acest sens în faţa instanţei de control.</w:t>
      </w:r>
    </w:p>
    <w:p>
      <w:pPr>
        <w:pStyle w:val="Normal"/>
        <w:ind w:firstLine="708"/>
        <w:jc w:val="both"/>
        <w:rPr/>
      </w:pPr>
      <w:r>
        <w:rPr/>
        <w:t>Inculpatul contestator R1 învederează că nu doreşte să dea declaraţie, susţinând aceleaşi motive referitoare la înlocuirea măsurii.</w:t>
      </w:r>
    </w:p>
    <w:p>
      <w:pPr>
        <w:pStyle w:val="Normal"/>
        <w:ind w:firstLine="708"/>
        <w:jc w:val="both"/>
        <w:rPr>
          <w:i/>
          <w:i/>
        </w:rPr>
      </w:pPr>
      <w:r>
        <w:rPr>
          <w:i/>
        </w:rPr>
        <w:t>Judecătorul de drepturi şi libertăţi întreabă părţile dacă mai sunt alte cereri de formulat, acestea răspunzând negativ.</w:t>
      </w:r>
    </w:p>
    <w:p>
      <w:pPr>
        <w:pStyle w:val="Normal"/>
        <w:ind w:firstLine="708"/>
        <w:jc w:val="both"/>
        <w:rPr>
          <w:i/>
          <w:i/>
        </w:rPr>
      </w:pPr>
      <w:r>
        <w:rPr>
          <w:i/>
        </w:rPr>
        <w:t>Nemaifiind cereri prealabile de formulat, judecătorul de drepturi şi libertăţi acordă cuvântul asupra contestaţiei formulate în cauză.</w:t>
      </w:r>
    </w:p>
    <w:p>
      <w:pPr>
        <w:pStyle w:val="Normal"/>
        <w:ind w:firstLine="708"/>
        <w:jc w:val="both"/>
        <w:rPr/>
      </w:pPr>
      <w:r>
        <w:rPr>
          <w:b/>
        </w:rPr>
        <w:t>Avocat desemnat din oficiu Av1, pentru inculpatul contestator R1,</w:t>
      </w:r>
      <w:r>
        <w:rPr/>
        <w:t xml:space="preserve"> solicită admiterea contestaţiei formulate împotriva încheierii nr. 111 din data de ... prin care Tribunalul... a respins cererea de înlocuire a măsurii arestului preventiv cu o altă măsură preventivă mai uşoară. Inculpatul a invocat, în acea cerere de înlocuire, motive familiale şi financiare, apreciind că acestea sunt întemeiate şi că instanţa are posibilitatea, în temeiul art. 242 Cod procedură penală, să dispună înlocuirea arestului preventiv cu o măsură mai puţin severă. </w:t>
      </w:r>
    </w:p>
    <w:p>
      <w:pPr>
        <w:pStyle w:val="Normal"/>
        <w:ind w:firstLine="708"/>
        <w:jc w:val="both"/>
        <w:rPr/>
      </w:pPr>
      <w:r>
        <w:rPr/>
        <w:t>Judecătorul de drepturi şi libertăţi urmează să aprecieze, în raport de probele administrate, de scopul prevăzut de art. 202 Cod procedură penală, de poziţia procesuală a contestatorului dar şi de motivele pe care  acesta le-a susţinut prin cererea de înlocuire, dacă inculpatul se poate afla sub o altă măsură preventivă mai uşoară, care să asigure scopul prevăzut de art. 202 Cod procedură penală.</w:t>
      </w:r>
    </w:p>
    <w:p>
      <w:pPr>
        <w:pStyle w:val="Normal"/>
        <w:ind w:firstLine="708"/>
        <w:jc w:val="both"/>
        <w:rPr/>
      </w:pPr>
      <w:r>
        <w:rPr/>
        <w:t>Solicită judecătorului de drepturi şi libertăţi admiterea contestaţiei şi, în consecinţă, admiterea cererii de înlocuire a măsurii arestului preventiv cu măsura arestului la domiciliu, acesta fiind întemeiată, învederând totodată că inculpatul va respecta toate obligaţiile ce îi vor fi puse în sarcină.</w:t>
      </w:r>
    </w:p>
    <w:p>
      <w:pPr>
        <w:pStyle w:val="Normal"/>
        <w:ind w:firstLine="708"/>
        <w:jc w:val="both"/>
        <w:rPr/>
      </w:pPr>
      <w:r>
        <w:rPr/>
        <w:t>Solicită plata onorariului din oficiu, sens în care depune la dosarul cauzei referatul privind plata acestuia, în dublu exemplar.</w:t>
      </w:r>
    </w:p>
    <w:p>
      <w:pPr>
        <w:pStyle w:val="Normal"/>
        <w:ind w:firstLine="708"/>
        <w:jc w:val="both"/>
        <w:rPr/>
      </w:pPr>
      <w:r>
        <w:rPr>
          <w:b/>
        </w:rPr>
        <w:t xml:space="preserve">Reprezentatul Ministerului Public </w:t>
      </w:r>
      <w:r>
        <w:rPr/>
        <w:t>solicită respingerea contestaţiei formulate, urmând a se constata că în mod corect judecătorul de drepturi şi libertăţi a stabilit că, de la data când s-a dispus în mod definitiv cu privire la prelungirea măsurii arestului preventiv nu au intervenit elemente de noutate care să se plieze pe dispoziţiile art. 242 alin. 2 Cod procedură penală. Motivele invocate în cerere sunt motive care existau şi la data presupusei activităţi infracţionale şi situaţia familială şi starea de sănătate au fost evaluate atât atunci când s-a luat măsura arestului preventiv cât şi atunci când s-a dispus cu privire la prelungirea acestei măsuri.</w:t>
      </w:r>
    </w:p>
    <w:p>
      <w:pPr>
        <w:pStyle w:val="Normal"/>
        <w:ind w:firstLine="708"/>
        <w:jc w:val="both"/>
        <w:rPr/>
      </w:pPr>
      <w:r>
        <w:rPr/>
        <w:t xml:space="preserve">În privinţa duratei măsurii, solicită să se constate că aceasta este proporţională şi necesară şi la această dată, raportat la stadiul în care se află cauza şi la data când s-a dispus cu privire la luarea măsurii arestului preventiv. </w:t>
      </w:r>
    </w:p>
    <w:p>
      <w:pPr>
        <w:pStyle w:val="Normal"/>
        <w:ind w:firstLine="708"/>
        <w:jc w:val="both"/>
        <w:rPr/>
      </w:pPr>
      <w:r>
        <w:rPr/>
        <w:t>Solicită judecătorului de drepturi şi libertăţi să constate încheierea atacată ca fiind legală şi temeinică şi să respingă contestaţia formulată.</w:t>
      </w:r>
    </w:p>
    <w:p>
      <w:pPr>
        <w:pStyle w:val="Normal"/>
        <w:ind w:firstLine="708"/>
        <w:jc w:val="both"/>
        <w:rPr/>
      </w:pPr>
      <w:r>
        <w:rPr>
          <w:b/>
        </w:rPr>
        <w:t xml:space="preserve">Inculpatul contestator R1, având ultimul cuvânt, </w:t>
      </w:r>
      <w:r>
        <w:rPr/>
        <w:t>arată că nu el este cel care ar putea împiedica ancheta celor de la D.I.I.C.O.T.. A1 este sora lui A2 şi a lui A3 şi soţia lui A4, care este liderul, capul grupului. Au patru copii împreună şi nu mai poate fi considerat concubinaj, după 15 ani împreună. Consideră că A1 este cea care ar putea împiedica ancheta. A5 se ocupa cu trafic de minori. Şi ea ar putea împiedica ancheta.</w:t>
      </w:r>
    </w:p>
    <w:p>
      <w:pPr>
        <w:pStyle w:val="Normal"/>
        <w:ind w:firstLine="708"/>
        <w:jc w:val="both"/>
        <w:rPr/>
      </w:pPr>
      <w:r>
        <w:rPr/>
        <w:t>Nu înţelege prin ce modalitate ar putea el să împiedice ancheta în cauză, având în vedere că este un amărât, este vai de capul lui. Părinţii lui sunt bolnavi, sunt retarzi mintal. Mai are 3 surori acasă şi un băieţel de 2 ani. Toţi erau în grija lui. Bunica sa are 84 de ani, iar el face 23 de ani pe 12 iulie.</w:t>
      </w:r>
    </w:p>
    <w:p>
      <w:pPr>
        <w:pStyle w:val="Normal"/>
        <w:ind w:firstLine="708"/>
        <w:jc w:val="both"/>
        <w:rPr/>
      </w:pPr>
      <w:r>
        <w:rPr/>
        <w:t>Se întreabă retoric cu ce ar putea împiedica el ancheta şi de ce s-a considerat că A1 nu  ar putea influenţa martorii, victimele, având în vedere că fraţii şi bărbatul ei sunt la puşcărie. El nu are pe nimeni. A colaborat cu cei de la D.I.I.C.O.T., şi-a recunoscut partea sa de vină şi nu înţelege de ce nu se poate lua asupra sa măsura controlului judiciar sau măcar a arestului la domiciliu.</w:t>
      </w:r>
    </w:p>
    <w:p>
      <w:pPr>
        <w:pStyle w:val="Normal"/>
        <w:ind w:firstLine="708"/>
        <w:jc w:val="both"/>
        <w:rPr/>
      </w:pPr>
      <w:r>
        <w:rPr/>
        <w:t>Mai este un coleg în dosar care nu are nicio vină, l-au luat şi îl anchetează degeaba şi le tot prelungeşte arestul preventiv. Consideră că şi pentru ei ar trebui să se facă dreptate.</w:t>
      </w:r>
    </w:p>
    <w:p>
      <w:pPr>
        <w:pStyle w:val="Normal"/>
        <w:ind w:firstLine="708"/>
        <w:jc w:val="both"/>
        <w:rPr/>
      </w:pPr>
      <w:r>
        <w:rPr/>
        <w:t xml:space="preserve"> </w:t>
      </w:r>
    </w:p>
    <w:p>
      <w:pPr>
        <w:pStyle w:val="Normal"/>
        <w:ind w:firstLine="708"/>
        <w:jc w:val="both"/>
        <w:rPr/>
      </w:pPr>
      <w:r>
        <w:rPr/>
        <w:t xml:space="preserve"> </w:t>
      </w:r>
    </w:p>
    <w:p>
      <w:pPr>
        <w:pStyle w:val="Normal"/>
        <w:ind w:firstLine="708"/>
        <w:jc w:val="both"/>
        <w:rPr/>
      </w:pPr>
      <w:r>
        <w:rPr/>
      </w:r>
    </w:p>
    <w:p>
      <w:pPr>
        <w:pStyle w:val="Normal"/>
        <w:ind w:firstLine="709"/>
        <w:jc w:val="both"/>
        <w:rPr/>
      </w:pPr>
      <w:r>
        <w:rPr/>
      </w:r>
    </w:p>
    <w:p>
      <w:pPr>
        <w:pStyle w:val="Normal"/>
        <w:jc w:val="center"/>
        <w:rPr>
          <w:b/>
        </w:rPr>
      </w:pPr>
      <w:r>
        <w:rPr>
          <w:b/>
        </w:rPr>
        <w:t>JUDECĂTORUL DE DREPTURI ŞI LIBERTĂŢI,</w:t>
      </w:r>
    </w:p>
    <w:p>
      <w:pPr>
        <w:pStyle w:val="Normal"/>
        <w:jc w:val="center"/>
        <w:rPr/>
      </w:pPr>
      <w:r>
        <w:rPr/>
      </w:r>
    </w:p>
    <w:p>
      <w:pPr>
        <w:pStyle w:val="Normal"/>
        <w:ind w:firstLine="709"/>
        <w:jc w:val="both"/>
        <w:rPr>
          <w:b/>
        </w:rPr>
      </w:pPr>
      <w:r>
        <w:rPr>
          <w:b/>
        </w:rPr>
        <w:t>Asupra contestaţiei de faţă,</w:t>
      </w:r>
    </w:p>
    <w:p>
      <w:pPr>
        <w:pStyle w:val="Normal"/>
        <w:ind w:firstLine="709"/>
        <w:jc w:val="both"/>
        <w:rPr>
          <w:b/>
        </w:rPr>
      </w:pPr>
      <w:r>
        <w:rPr>
          <w:b/>
        </w:rPr>
        <w:t>Prin încheierea nr. IP1 din data de ... pronunţată de Tribunalul... în dosarul nr. D1 s-au dispus următoarele:</w:t>
      </w:r>
    </w:p>
    <w:p>
      <w:pPr>
        <w:pStyle w:val="Normal"/>
        <w:ind w:firstLine="708"/>
        <w:jc w:val="both"/>
        <w:rPr>
          <w:i/>
          <w:i/>
        </w:rPr>
      </w:pPr>
      <w:r>
        <w:rPr/>
        <w:t>„</w:t>
      </w:r>
      <w:r>
        <w:rPr>
          <w:i/>
        </w:rPr>
        <w:t xml:space="preserve">Respinge, ca nefondată, cererea formulată de inculpatul </w:t>
      </w:r>
      <w:r>
        <w:rPr>
          <w:b/>
          <w:i/>
        </w:rPr>
        <w:t>R1</w:t>
      </w:r>
      <w:r>
        <w:rPr>
          <w:i/>
        </w:rPr>
        <w:t xml:space="preserve">  , fiul lui ... şi ... , născut la data de ..., în prezent arestat preventiv în C.R.A.P. din cadrul I.P.J.  ..., privind înlocuirea măsurii arestării preventive - dispusă prin încheierea nr.IP2 din ... a Tribunalului ... în dosar nr.D2 - cu măsura arestului la domiciliu. </w:t>
      </w:r>
    </w:p>
    <w:p>
      <w:pPr>
        <w:pStyle w:val="Normal"/>
        <w:ind w:firstLine="708"/>
        <w:jc w:val="both"/>
        <w:rPr>
          <w:i/>
          <w:i/>
        </w:rPr>
      </w:pPr>
      <w:r>
        <w:rPr>
          <w:i/>
        </w:rPr>
        <w:t>În baza art.275 alin.6 din Cod Pr. Pen., onorariul avocatului  desemnat  din oficiu, în sumă 130 lei  , va fi achitat Baroului ... din fondurile speciale ale Ministerului Justiţiei şi inclus în cheltuielile judiciare avansate de stat.</w:t>
      </w:r>
    </w:p>
    <w:p>
      <w:pPr>
        <w:pStyle w:val="Normal"/>
        <w:ind w:firstLine="708"/>
        <w:jc w:val="both"/>
        <w:rPr>
          <w:i/>
          <w:i/>
        </w:rPr>
      </w:pPr>
      <w:r>
        <w:rPr>
          <w:i/>
        </w:rPr>
        <w:t>În baza art.275 alin.2 din Cod Pr. Pen., obligă inculpatul sa plătească statului, cu titlu de cheltuieli judiciare , suma de 50 lei.</w:t>
      </w:r>
    </w:p>
    <w:p>
      <w:pPr>
        <w:pStyle w:val="Normal"/>
        <w:jc w:val="both"/>
        <w:rPr>
          <w:i/>
          <w:i/>
        </w:rPr>
      </w:pPr>
      <w:r>
        <w:rPr>
          <w:i/>
        </w:rPr>
        <w:tab/>
        <w:t xml:space="preserve">Cu drept de contestaţie în termen de 48 de ore de la comunicare. </w:t>
      </w:r>
    </w:p>
    <w:p>
      <w:pPr>
        <w:pStyle w:val="Normal"/>
        <w:jc w:val="both"/>
        <w:rPr>
          <w:i/>
          <w:i/>
        </w:rPr>
      </w:pPr>
      <w:r>
        <w:rPr>
          <w:i/>
        </w:rPr>
        <w:tab/>
        <w:t>Cercetată şi pronunţată în camera de consiliu,  azi, ..., orele 14,00.”</w:t>
      </w:r>
    </w:p>
    <w:p>
      <w:pPr>
        <w:pStyle w:val="Normal"/>
        <w:jc w:val="both"/>
        <w:rPr>
          <w:i/>
          <w:i/>
        </w:rPr>
      </w:pPr>
      <w:r>
        <w:rPr>
          <w:i/>
        </w:rPr>
      </w:r>
    </w:p>
    <w:p>
      <w:pPr>
        <w:pStyle w:val="Normal"/>
        <w:ind w:firstLine="708"/>
        <w:jc w:val="both"/>
        <w:rPr>
          <w:b/>
        </w:rPr>
      </w:pPr>
      <w:r>
        <w:rPr>
          <w:b/>
        </w:rPr>
        <w:t>Pentru a dispune astfel, judecătorul de drepturi şi libertăţi din cadrul instanţei de fond a reţinut următoarele:</w:t>
      </w:r>
    </w:p>
    <w:p>
      <w:pPr>
        <w:pStyle w:val="Normal"/>
        <w:ind w:firstLine="708"/>
        <w:jc w:val="both"/>
        <w:rPr/>
      </w:pPr>
      <w:r>
        <w:rPr>
          <w:b/>
        </w:rPr>
        <w:t>„</w:t>
      </w:r>
      <w:r>
        <w:rPr/>
        <w:t xml:space="preserve">Prin cererea înregistrată pe rolul Tribunalului ... la data de 27.06.2018  sub nr.  de mai sus , inculpatul R1 ,  in prezent aflat in arest preventiv in C.R.A.P. din cadrul I.P.J. ... – cercetat in dosar penal nr. D3 al D.I.I.C.O.T.- Serviciul Teritorial .... , a solicitat înlocuirea măsurii arestării preventive cu măsura preventivă a arestului la domiciliu/ control judiciar, motivând în scris şi oral, că familia sa are o situaţie specială, respectiv părinţii săi sunt bolnavi , surorile aflate în grija sa , din momentul arestării sale, sunt lipsite de suport material şi moral, într-o situaţie asemănătoare aflându-se şi bunica sa în vârstă de 84 de ani, dar şi copilul său în vârstă de 2 ani .  De asemenea, susţine că familia sa nu dispune de mijloace financiare încât să îi poată asigura întreţinerea în arest .  </w:t>
      </w:r>
    </w:p>
    <w:p>
      <w:pPr>
        <w:pStyle w:val="Normal"/>
        <w:jc w:val="both"/>
        <w:rPr>
          <w:color w:val="BFBFBF"/>
        </w:rPr>
      </w:pPr>
      <w:r>
        <w:rPr/>
        <w:tab/>
        <w:t>Potrivit art. 242 alin. (2) Cod procedură penală, măsura preventivă se înlocuieşte la cerere sau din oficiu, cu o măsură preventivă mai uşoară, dacă sunt îndeplinite condiţiile prevăzute de lege pentru luarea acesteia, şi, în urma evaluării împrejurărilor concrete ale cauzei şi a conduitei procesuale a inculpatului, se apreciază că măsura preventivă mai uşoară este suficientă pentru realizarea scopului prevăzut de art. 202 alin. (1) Cod procedură penală.</w:t>
      </w:r>
    </w:p>
    <w:p>
      <w:pPr>
        <w:pStyle w:val="Normal"/>
        <w:ind w:firstLine="851"/>
        <w:jc w:val="both"/>
        <w:rPr/>
      </w:pPr>
      <w:r>
        <w:rPr/>
        <w:t>Constată judecătorul de drepturi şi libertăţi că măsura arestării preventive a fost dispusă la data de 26.05.2018 , prin încheierea nr.IP2 din ..., pronunţată de Tribunalul... în dosarul nr.D4, pentru o durată de 30 de zile, începând cu data de 26.05.2018 şi până la data de 24.06.2018, inclusiv, pentru temeiul prevăzut de art. 223 alin. (2) Cod procedură penală, reţinându-se , în esenţă , în considerentele celor două hotărâri ale judecătorului de drepturi şi libertăţi  , că :</w:t>
      </w:r>
    </w:p>
    <w:p>
      <w:pPr>
        <w:pStyle w:val="Normal"/>
        <w:numPr>
          <w:ilvl w:val="0"/>
          <w:numId w:val="2"/>
        </w:numPr>
        <w:jc w:val="both"/>
        <w:rPr/>
      </w:pPr>
      <w:r>
        <w:rPr/>
        <w:t>Mijloacele de proba existente la dosar pun la dispoziție un ansamblu de date și informații credibile care susțin suspiciunea rezonabilă  că organizarea activităţii infracţionale nu a fost una întâmplătoare, conjucturală, ci că, dimpotrivă, toţi inculpaţii, între care şi inc. R1,  animaţi de acelaşi scop - obţinerea unor câştiguri financiare consistente prin mijloace ilicite - au acţionat, cel mai probabil sub coordonarea generală a inculpatului A4, pentru a-şi realiza scopurile infracţionale şi a împiedica depistarea lor;</w:t>
      </w:r>
    </w:p>
    <w:p>
      <w:pPr>
        <w:pStyle w:val="Normal"/>
        <w:numPr>
          <w:ilvl w:val="0"/>
          <w:numId w:val="2"/>
        </w:numPr>
        <w:jc w:val="both"/>
        <w:rPr/>
      </w:pPr>
      <w:r>
        <w:rPr/>
        <w:t>referitor la acuzaţiile de „</w:t>
      </w:r>
      <w:r>
        <w:rPr>
          <w:i/>
        </w:rPr>
        <w:t>trafic de persoane</w:t>
      </w:r>
      <w:r>
        <w:rPr/>
        <w:t>”, implicarea inculpaţilor, dar şi a inculpatului inc. R1, în cadrul acestor activităţi rezultă din declaraţiile detaliate ale victimelor, declaraţii ce au conţinut elemente de fapt verificabile, ce au fost confirmate servind astfel la susţinerea şi coroborarea afirmaţiilor acestora; interceptările convorbirilor telefonice confirmă şi susţin directa implicare a inculpaţilor în activitatea de prostituţie a victimelor, urmărirea şi supravegherea acestora, temerea de a nu fi depistaţi, semnificative fiind şi datele rezultate din tranzacţiile financiare efectuate de către inculpaţi prin sistemul ...., ce atestă colectarea şi transmiterea de către inculpaţi a unor sume consistente de bani;</w:t>
      </w:r>
    </w:p>
    <w:p>
      <w:pPr>
        <w:pStyle w:val="Normal"/>
        <w:numPr>
          <w:ilvl w:val="0"/>
          <w:numId w:val="2"/>
        </w:numPr>
        <w:jc w:val="both"/>
        <w:rPr/>
      </w:pPr>
      <w:r>
        <w:rPr/>
        <w:t>infracţiunile pentru care sunt cercetaţi inculpaţii sunt sancţionate de lege cu pedepse mari, de la 3 la 10 ani, respectiv de la 5 la 12 ani, rezultând că acest gen de fapte sunt prezumate de legiuitor ca având un caracter extrem de grav chiar şi în abstract;</w:t>
      </w:r>
    </w:p>
    <w:p>
      <w:pPr>
        <w:pStyle w:val="Normal"/>
        <w:numPr>
          <w:ilvl w:val="0"/>
          <w:numId w:val="2"/>
        </w:numPr>
        <w:jc w:val="both"/>
        <w:rPr/>
      </w:pPr>
      <w:r>
        <w:rPr/>
        <w:t>gravitatea faptelor presupus comise reiese şi din modalitatea concretă în care rezoluţia infracţională a celor şase inculpaţi a fost pusă în aplicare;</w:t>
      </w:r>
    </w:p>
    <w:p>
      <w:pPr>
        <w:pStyle w:val="Normal"/>
        <w:numPr>
          <w:ilvl w:val="0"/>
          <w:numId w:val="2"/>
        </w:numPr>
        <w:jc w:val="both"/>
        <w:rPr/>
      </w:pPr>
      <w:r>
        <w:rPr/>
        <w:t>privarea de libertate a inculpaților, intre care şi a inc. R1 este necesară pentru înlăturarea stării de pericol pe care acesta o prezintă pentru ordinea publică – dedusa din  gravitatea faptelor, de circumstanţele în care acestea pare a fi fost comise, circumstanţe anterior menţionate, dar şi de comportamentul adoptat de inculpaţi;</w:t>
      </w:r>
    </w:p>
    <w:p>
      <w:pPr>
        <w:pStyle w:val="Normal"/>
        <w:numPr>
          <w:ilvl w:val="0"/>
          <w:numId w:val="2"/>
        </w:numPr>
        <w:jc w:val="both"/>
        <w:rPr/>
      </w:pPr>
      <w:r>
        <w:rPr/>
        <w:t>starea de pericol pentru ordinea publică generat de presupusa comitere de către inculpaţi a acestor fapte subzistă şi la acest moment procesual, chiar dacă, potrivit acuzaţiei formulate de către procuror, acţiunile de traficare ale victimelor s-ar fi desfăşurat pe diferite perioade de timp cuprinse între anii 2014 şi 2016;</w:t>
      </w:r>
    </w:p>
    <w:p>
      <w:pPr>
        <w:pStyle w:val="Normal"/>
        <w:ind w:firstLine="720"/>
        <w:jc w:val="both"/>
        <w:rPr/>
      </w:pPr>
      <w:r>
        <w:rPr/>
        <w:t xml:space="preserve">- arestarea preventiva a inculpaților este proporţională cu gravitatea acuzaţiei adusă şi necesară pentru asigurarea bunei desfăşurări a procesului penal și prevenirea săvârşirii de alte infracţiuni; </w:t>
      </w:r>
    </w:p>
    <w:p>
      <w:pPr>
        <w:pStyle w:val="Normal"/>
        <w:ind w:firstLine="720"/>
        <w:jc w:val="both"/>
        <w:rPr/>
      </w:pPr>
      <w:r>
        <w:rPr/>
        <w:t>- starea de pericol pe care inculpaţii o prezintă pentru ordinea publică nu poate fi înlăturată prin luarea unei alte masuri preventive mai blânde.</w:t>
      </w:r>
    </w:p>
    <w:p>
      <w:pPr>
        <w:pStyle w:val="Normal"/>
        <w:tabs>
          <w:tab w:val="clear" w:pos="720"/>
          <w:tab w:val="left" w:leader="none" w:pos="1080"/>
        </w:tabs>
        <w:jc w:val="both"/>
        <w:rPr/>
      </w:pPr>
      <w:r>
        <w:rPr/>
        <w:tab/>
        <w:t xml:space="preserve"> Măsura preventivă dispusă împotriva inculpatului a fost prelungită, la cererea D.I.I.C.O.T. ... pe o durată de 30 de zile , începând cu data de 25.06.2018 până la 24.07.2018, prin încheierea de şedinţănr.IP3 din ...  pronunţată în dosar nr.D5 - confirmată integral de judecătorul de drepturi şi libertăţi din cadrul Curţii de Apel ..., prin încheierea nr.IP4. </w:t>
      </w:r>
    </w:p>
    <w:p>
      <w:pPr>
        <w:pStyle w:val="Normal"/>
        <w:ind w:firstLine="708"/>
        <w:jc w:val="both"/>
        <w:rPr/>
      </w:pPr>
      <w:r>
        <w:rPr/>
        <w:t>Se impune menţiunea că atât la momentul luării arestării preventive cât şi cu prilejul dezbaterilor privind prelungirea măsurii în discuţie,  inculpatul a solicitat (oral)să se dispună măsura arestului la domiciliu, cerere  analizată şi apreciată de judecătorul primei instanţe dar şi de judecătorul instanţei de control judiciar    ca nefondată,  reținându-se în hotărârile menţionate subzistenta temeiurilor de fapt si de drept ce au determinat luarea acestei masuri, dar si necesitatea continuării detenției preventive pentru asigurarea desfăşurării în bune condiții a procesului penal.</w:t>
      </w:r>
    </w:p>
    <w:p>
      <w:pPr>
        <w:pStyle w:val="Normal"/>
        <w:ind w:firstLine="708"/>
        <w:jc w:val="both"/>
        <w:rPr/>
      </w:pPr>
      <w:r>
        <w:rPr/>
        <w:t xml:space="preserve">Din analiza dispozițiilor legale citate mai sus,  se desprinde concluzia ca incidenţa unei măsuri preventive mai blânde trebuie să se bazeze, aşadar, pe o situaţie  nou intervenită ulterior dispunerii măsurii preventive ce se cere a fi înlocuită. </w:t>
      </w:r>
    </w:p>
    <w:p>
      <w:pPr>
        <w:pStyle w:val="Normal"/>
        <w:ind w:firstLine="708"/>
        <w:jc w:val="both"/>
        <w:rPr/>
      </w:pPr>
      <w:r>
        <w:rPr/>
        <w:t xml:space="preserve">Același text de lege releva ca, pentru a se aprecia asupra temeiniciei  unei astfel de cereri, judecătorul cauzei trebuie sa recurgă la  o nouă evaluare a împrejurărilor concrete ale cauzei - </w:t>
      </w:r>
      <w:r>
        <w:rPr>
          <w:u w:val="single"/>
        </w:rPr>
        <w:t>pentru  a constata situaţia nou intervenită</w:t>
      </w:r>
      <w:r>
        <w:rPr/>
        <w:t xml:space="preserve"> - şi a schimbărilor produse in conduita procesuala a inculpatului , cunoscut fiind faptul ca simpla curgere a unui interval de timp ( </w:t>
      </w:r>
      <w:r>
        <w:rPr>
          <w:u w:val="single"/>
        </w:rPr>
        <w:t>în speţă fiind vorba de circa 35   de zile  de la momentul luării  măsurii arestării preventive)</w:t>
      </w:r>
      <w:r>
        <w:rPr/>
        <w:t xml:space="preserve"> în condiţiile în care nu au survenit modificări ale situaţiei de fapt sau ale conduitei procesuale a inculpatului nu  este de natura sa determine, prin ea însăși,  concluzia ca temeiurile avute in vedere la dispunerea acestei masuri s-au modificat ori au dispărut, încât să se dispună revocarea ori înlocuirea acesteia cu o măsura preventiva mai blânda . </w:t>
      </w:r>
    </w:p>
    <w:p>
      <w:pPr>
        <w:pStyle w:val="Normal"/>
        <w:ind w:firstLine="708"/>
        <w:jc w:val="both"/>
        <w:rPr/>
      </w:pPr>
      <w:r>
        <w:rPr/>
        <w:t>Examinând actele şi lucrările dosarului, judecătorul de drepturi şi libertăţi constată că solicitarea inculpatului  de înlocuire a măsurii arestării preventive cu o măsură preventivă mai uşoară, respectiv cea a arestului la domiciliu/ control judiciar, nu este întemeiată, în condiţiile în care  baza factuala infracţională rezultată în urma evaluării mijloacelor de probă administrate în cauză nu s-a schimbat într-un sens favorabil inculpatului.</w:t>
      </w:r>
    </w:p>
    <w:p>
      <w:pPr>
        <w:pStyle w:val="Normal"/>
        <w:ind w:right="-110" w:firstLine="708"/>
        <w:jc w:val="both"/>
        <w:rPr/>
      </w:pPr>
      <w:r>
        <w:rPr/>
        <w:t>În ce privește motivele invocate de inculpat legate de situaţia socială şi materială a familiei sale,  judecătorul de drepturi şi libertăţi aminteşte că acestea nu pot fi determinante in  evaluarea temeiniciei cererii de fata, în condiţiile în care situaţia familiei sale îi era cunoscută şi anterior începerii activităţilor infracţionale, asumându-şi astfel riscul de a-şi pune familia sa într-o situaţie şi mai grea decât cea anterioară</w:t>
      </w:r>
      <w:r>
        <w:rPr>
          <w:color w:val="FF0000"/>
        </w:rPr>
        <w:t>.</w:t>
      </w:r>
    </w:p>
    <w:p>
      <w:pPr>
        <w:pStyle w:val="Normal"/>
        <w:ind w:firstLine="705"/>
        <w:jc w:val="both"/>
        <w:rPr/>
      </w:pPr>
      <w:r>
        <w:rPr/>
        <w:t xml:space="preserve"> </w:t>
      </w:r>
      <w:r>
        <w:rPr/>
        <w:t xml:space="preserve">Faţă de împrejurarea că  judecătorul de drepturi şi libertăţi al instanţei de fond dar şi judecătorul de drepturi şi libertăţi al instanței superioare  de control judiciar , au analizat atât din oficiu , cât şi la stăruinţa inculpatului , oportunitatea dispunerii unei măsuri mai blânde în raport de cea a arestului preventiv , faţă de data promovării prezentei cereri  - la scurt timp  (la numai 9 zile ) de la validarea soluţiei de continuare a detenţiei preventive încă o perioadă de 30 de zile  -  judecătorul consideră că este îndreptăţit să interpreteze prezenta cerere  drept o reală contestare din partea inculpatului a considerentelor solide avute în vedere la pronunţarea soluţiei de prelungire a detenţiei preventive şi, implicit, a aceleia de  respingere a căii de atac promovate,  deşi în cauză nu au intervenit împrejurări /elemente noi de natură să impună concluzia modificării /dispariţiei temeiurilor de fapt şi de drept avute în vedere la dispunerea /prelungirea măsurii în discuţie. </w:t>
      </w:r>
    </w:p>
    <w:p>
      <w:pPr>
        <w:pStyle w:val="Normal"/>
        <w:ind w:right="-110" w:firstLine="705"/>
        <w:jc w:val="both"/>
        <w:rPr/>
      </w:pPr>
      <w:r>
        <w:rPr/>
        <w:t>În concluzie, judecătorul de drepturi şi libertăţi reiterează concluzia reţinută în cele două hotărâri menţionate că,  măsura preventivă a arestului la domiciliu  nu este nici proporţională cu gravitatea acuzaţiilor aduse şi nici suficientă pentru realizarea scopului prevăzut de art. 202 alin. (1) Cod procedură penală - în condiţiile în care infracţiunile pentru care inculpatul este cercetat au un grad de pericol deosebit de ridicat, reliefat nu numai de limitele sancţionatorii prevăzute de legiuitor, dar şi de durata în timp a activităţilor cu caracter ilicit, precum şi de impactul negativ la nivelul ordinii de drept  si din moment ce baza factuală infracțională nu s-a modificat, ci, cum s-a menționat, aceasta s-a consolidat, iar la acest moment procesual, o altă măsură preventivă nu este aptă să asigure pe deplin protejarea ordinii publice, dar şi buna desfăşurare a procesului penal şi, ca urmare, cererea formulată de inculpat va fi respinsă, ca nefondată.”</w:t>
      </w:r>
    </w:p>
    <w:p>
      <w:pPr>
        <w:pStyle w:val="Normal"/>
        <w:jc w:val="both"/>
        <w:rPr>
          <w:b/>
        </w:rPr>
      </w:pPr>
      <w:r>
        <w:rPr>
          <w:b/>
        </w:rPr>
      </w:r>
    </w:p>
    <w:p>
      <w:pPr>
        <w:pStyle w:val="Normal"/>
        <w:ind w:firstLine="1134"/>
        <w:jc w:val="both"/>
        <w:rPr>
          <w:b/>
        </w:rPr>
      </w:pPr>
      <w:r>
        <w:rPr>
          <w:b/>
        </w:rPr>
        <w:t>Împotriva acestei încheieri a formulat contestaţie inculpatul R1, pentru motivele expuse în practicaua prezentei Încheieri.</w:t>
      </w:r>
    </w:p>
    <w:p>
      <w:pPr>
        <w:pStyle w:val="Normal"/>
        <w:ind w:firstLine="709"/>
        <w:jc w:val="both"/>
        <w:rPr/>
      </w:pPr>
      <w:r>
        <w:rPr/>
      </w:r>
    </w:p>
    <w:p>
      <w:pPr>
        <w:pStyle w:val="Normal"/>
        <w:ind w:firstLine="709"/>
        <w:jc w:val="both"/>
        <w:rPr/>
      </w:pPr>
      <w:r>
        <w:rPr/>
      </w:r>
    </w:p>
    <w:p>
      <w:pPr>
        <w:pStyle w:val="Normal"/>
        <w:ind w:firstLine="1134"/>
        <w:jc w:val="both"/>
        <w:rPr>
          <w:b/>
          <w:i/>
          <w:i/>
        </w:rPr>
      </w:pPr>
      <w:r>
        <w:rPr>
          <w:b/>
          <w:i/>
        </w:rPr>
        <w:t>Analizând contestaţia formulată de inculpatul R1, judecătorul de drepturi şi libertăți de la Curtea de Apel ...constată că aceasta este nefondată pentru următoarele motive:</w:t>
      </w:r>
    </w:p>
    <w:p>
      <w:pPr>
        <w:pStyle w:val="Normal"/>
        <w:ind w:firstLine="1134"/>
        <w:jc w:val="both"/>
        <w:rPr/>
      </w:pPr>
      <w:r>
        <w:rPr/>
      </w:r>
    </w:p>
    <w:p>
      <w:pPr>
        <w:pStyle w:val="Normal"/>
        <w:ind w:firstLine="1134"/>
        <w:jc w:val="both"/>
        <w:rPr/>
      </w:pPr>
      <w:r>
        <w:rPr>
          <w:b/>
        </w:rPr>
        <w:t>I.</w:t>
        <w:tab/>
      </w:r>
      <w:r>
        <w:rPr/>
        <w:tab/>
        <w:t xml:space="preserve">Dispoziţiile procesual penale (art. 242 alin. 2 Cod procedură penală) prevăd că măsura preventivă se înlocuieşte, la cerere sau din oficiu, cu o măsură preventivă mai ușoară, dacă sunt îndeplinite condiţiile prevăzute de lege pentru luarea acesteia, şi, în urma evaluării </w:t>
      </w:r>
      <w:r>
        <w:rPr>
          <w:i/>
        </w:rPr>
        <w:t>împrejurărilor concrete ale cauzei</w:t>
      </w:r>
      <w:r>
        <w:rPr/>
        <w:t xml:space="preserve"> şi a </w:t>
      </w:r>
      <w:r>
        <w:rPr>
          <w:i/>
        </w:rPr>
        <w:t>conduitei procesuale a inculpatului</w:t>
      </w:r>
      <w:r>
        <w:rPr/>
        <w:t>, se apreciază că măsura preventivă mai uşoară este suficientă pentru realizarea scopului prevăzut în art. 202 alin. 1 Cod procedură penală.</w:t>
      </w:r>
    </w:p>
    <w:p>
      <w:pPr>
        <w:pStyle w:val="Normal"/>
        <w:ind w:firstLine="1134"/>
        <w:jc w:val="both"/>
        <w:rPr/>
      </w:pPr>
      <w:r>
        <w:rPr/>
        <w:t xml:space="preserve">Incidenţa unei măsuri preventive mai blânde trebuie să se bazeze, aşadar, pe o </w:t>
      </w:r>
      <w:r>
        <w:rPr>
          <w:i/>
        </w:rPr>
        <w:t>situaţie concretă</w:t>
      </w:r>
      <w:r>
        <w:rPr/>
        <w:t>, care, chiar în condiţiile plasării în arest la domiciliu sau sub control judiciar a inculpatului, să poată situa realizarea scopului bunei desfăşurări a procesului penal, al împiedicării inculpatului de la urmărirea penală ori al prevenirii săvârşirii unei alte infracţiuni, la nivelul la care acesta este asigurat prin menținerea inculpatului în arest preventiv.</w:t>
      </w:r>
    </w:p>
    <w:p>
      <w:pPr>
        <w:pStyle w:val="Normal"/>
        <w:ind w:firstLine="1134"/>
        <w:jc w:val="both"/>
        <w:rPr/>
      </w:pPr>
      <w:r>
        <w:rPr/>
        <w:t>Pe de altă parte, aceasta presupune o nouă evaluare a împrejurărilor concrete ale cauzei, pentru a decela situaţia nou intervenită, precum şi a conduitei procesuale a inculpatului.</w:t>
      </w:r>
    </w:p>
    <w:p>
      <w:pPr>
        <w:pStyle w:val="Normal"/>
        <w:ind w:firstLine="1134"/>
        <w:jc w:val="both"/>
        <w:rPr/>
      </w:pPr>
      <w:r>
        <w:rPr>
          <w:b/>
        </w:rPr>
        <w:t>Situaţia nou intervenită</w:t>
      </w:r>
      <w:r>
        <w:rPr/>
        <w:t xml:space="preserve">, care să poată justifica asimilarea sa cu o împrejurare ce determină înlocuirea măsurii preventive, </w:t>
      </w:r>
      <w:r>
        <w:rPr>
          <w:b/>
        </w:rPr>
        <w:t>nu se poate reduce exclusiv la trecerea unui interval de timp de la momentul arestării preventive.</w:t>
      </w:r>
    </w:p>
    <w:p>
      <w:pPr>
        <w:pStyle w:val="Normal"/>
        <w:jc w:val="both"/>
        <w:rPr>
          <w:b/>
        </w:rPr>
      </w:pPr>
      <w:r>
        <w:rPr>
          <w:b/>
        </w:rPr>
      </w:r>
    </w:p>
    <w:p>
      <w:pPr>
        <w:pStyle w:val="Normal"/>
        <w:jc w:val="both"/>
        <w:rPr>
          <w:b/>
        </w:rPr>
      </w:pPr>
      <w:r>
        <w:rPr>
          <w:b/>
        </w:rPr>
      </w:r>
    </w:p>
    <w:p>
      <w:pPr>
        <w:pStyle w:val="Normal"/>
        <w:ind w:firstLine="1134"/>
        <w:jc w:val="both"/>
        <w:rPr/>
      </w:pPr>
      <w:r>
        <w:rPr>
          <w:b/>
        </w:rPr>
        <w:t>II.</w:t>
        <w:tab/>
      </w:r>
      <w:r>
        <w:rPr/>
        <w:tab/>
        <w:t xml:space="preserve">Din probatoriul administrat până în prezent, nu reiese o diminuare a probelor și indiciilor temeinice existente la momentul </w:t>
      </w:r>
      <w:r>
        <w:rPr>
          <w:i/>
        </w:rPr>
        <w:t xml:space="preserve">luării şi prelungirii </w:t>
      </w:r>
      <w:r>
        <w:rPr/>
        <w:t xml:space="preserve">măsurii arestării preventive a inculpatului </w:t>
      </w:r>
      <w:r>
        <w:rPr>
          <w:b/>
        </w:rPr>
        <w:t>R1</w:t>
      </w:r>
      <w:r>
        <w:rPr/>
        <w:t>, din care să reiasă suspiciunea rezonabilă că ar fi săvârșit faptele pentru care este cercetat de către organele de urmărire penală (declaraţii persoane vătămate, procese-verbale de redare a convorbirilor telefonice interceptate autorizat, acte transfer bancar).</w:t>
      </w:r>
    </w:p>
    <w:p>
      <w:pPr>
        <w:pStyle w:val="Normal"/>
        <w:ind w:firstLine="1134"/>
        <w:jc w:val="both"/>
        <w:rPr/>
      </w:pPr>
      <w:r>
        <w:rPr/>
      </w:r>
    </w:p>
    <w:p>
      <w:pPr>
        <w:pStyle w:val="Normal"/>
        <w:ind w:firstLine="1134"/>
        <w:jc w:val="both"/>
        <w:rPr/>
      </w:pPr>
      <w:r>
        <w:rPr/>
      </w:r>
    </w:p>
    <w:p>
      <w:pPr>
        <w:pStyle w:val="Normal"/>
        <w:ind w:firstLine="1134"/>
        <w:jc w:val="both"/>
        <w:rPr/>
      </w:pPr>
      <w:r>
        <w:rPr>
          <w:b/>
        </w:rPr>
        <w:t>III.</w:t>
      </w:r>
      <w:r>
        <w:rPr/>
        <w:tab/>
        <w:t xml:space="preserve">Măsura arestării preventive a </w:t>
      </w:r>
      <w:r>
        <w:rPr>
          <w:b/>
        </w:rPr>
        <w:t>inculpatului-contestator</w:t>
      </w:r>
      <w:r>
        <w:rPr/>
        <w:t xml:space="preserve"> este necesară în continuare în vederea bunei desfăşurări a procesului penal, măsura fiind totodată proporţională cu gravitatea faptelor imputate, privarea de libertate fiind necesară pentru înlăturarea pericolului concret pe care inculpatul îl prezintă pentru ordinea publică. </w:t>
      </w:r>
    </w:p>
    <w:p>
      <w:pPr>
        <w:pStyle w:val="Normal"/>
        <w:ind w:firstLine="1134"/>
        <w:jc w:val="both"/>
        <w:rPr/>
      </w:pPr>
      <w:r>
        <w:rPr/>
        <w:t xml:space="preserve">Starea de pericol pentru ordinea publică este dovedită în mod concret de aceleaşi mijloace probatorii care fundamentează şi acuzațiile şi este reliefată, în primul rând, de gravitatea deosebită a faptelor pentru care există motive verosimile de a se bănui că au fost comise de inculpat, de modalitățile şi împrejurările în care se presupune că s-au săvârșit faptele, </w:t>
      </w:r>
      <w:r>
        <w:rPr>
          <w:i/>
        </w:rPr>
        <w:t>astfel cum au fost descrise pe larg în hotărârile judecătoreşti prin care s-a dispus luarea/prelungirea măsurii preventive în fond şi în contestaţie</w:t>
      </w:r>
      <w:r>
        <w:rPr/>
        <w:t>, de mijloacele utilizate, de natura relaţiilor sociale lezate, de urmările efectiv produse şi care s-ar fi putut produce şi de impactul negativ puternic generat de comiterea unor astfel de fapte.</w:t>
      </w:r>
    </w:p>
    <w:p>
      <w:pPr>
        <w:pStyle w:val="Normal"/>
        <w:ind w:firstLine="1134"/>
        <w:jc w:val="both"/>
        <w:rPr/>
      </w:pPr>
      <w:r>
        <w:rPr/>
        <w:t xml:space="preserve">Este adevărat că gravitatea faptelor, deşi constituie un temei pertinent, nu poate legitima singură o durată prea lungă a arestării preventive ori arestului la domiciliu – ambele măsuri fiind privative de libertate, în acest sens fiind şi jurisprudența Curţii E.D.O. (cauzele </w:t>
      </w:r>
      <w:r>
        <w:rPr>
          <w:i/>
        </w:rPr>
        <w:t>Letellier c. Franţei</w:t>
      </w:r>
      <w:r>
        <w:rPr/>
        <w:t xml:space="preserve">, </w:t>
      </w:r>
      <w:r>
        <w:rPr>
          <w:i/>
        </w:rPr>
        <w:t>Naus c. Poloniei</w:t>
      </w:r>
      <w:r>
        <w:rPr/>
        <w:t>).</w:t>
      </w:r>
    </w:p>
    <w:p>
      <w:pPr>
        <w:pStyle w:val="Normal"/>
        <w:ind w:firstLine="1134"/>
        <w:jc w:val="both"/>
        <w:rPr/>
      </w:pPr>
      <w:r>
        <w:rPr/>
        <w:t xml:space="preserve">Dar, în cazul de faţă gravitatea faptelor nu constituie singurul fundament al măsurii preventive, iar faţă de circumstanţele concrete ale cauzei, judecătorul de drepturi şi libertăți de la Curtea de Apel apreciază că există indicii cu privire la un interes public real pentru menținerea inculpatului în arest preventiv care, fără a aduce atingere prezumției de nevinovăție, are o pondere mai mare decât cea a regulii generale a judecării în stare de libertate (cauzele </w:t>
      </w:r>
      <w:r>
        <w:rPr>
          <w:i/>
        </w:rPr>
        <w:t>Labita c. Italiei</w:t>
      </w:r>
      <w:r>
        <w:rPr/>
        <w:t xml:space="preserve">, </w:t>
      </w:r>
      <w:r>
        <w:rPr>
          <w:i/>
        </w:rPr>
        <w:t>Neumister c. Austriei</w:t>
      </w:r>
      <w:r>
        <w:rPr/>
        <w:t>).</w:t>
      </w:r>
    </w:p>
    <w:p>
      <w:pPr>
        <w:pStyle w:val="Normal"/>
        <w:ind w:firstLine="1134"/>
        <w:jc w:val="both"/>
        <w:rPr/>
      </w:pPr>
      <w:r>
        <w:rPr/>
      </w:r>
    </w:p>
    <w:p>
      <w:pPr>
        <w:pStyle w:val="Normal"/>
        <w:ind w:firstLine="1134"/>
        <w:jc w:val="both"/>
        <w:rPr/>
      </w:pPr>
      <w:r>
        <w:rPr/>
      </w:r>
    </w:p>
    <w:p>
      <w:pPr>
        <w:pStyle w:val="Normal"/>
        <w:ind w:firstLine="1134"/>
        <w:jc w:val="both"/>
        <w:rPr/>
      </w:pPr>
      <w:r>
        <w:rPr/>
        <w:t>Alături de gravitatea faptelor (infracţiuni de constituire a unui grup infracţional organizat şi trafic de persoane – trei infracţiuni, două în formă continuată), se impun a fi avute în vedere şi alte criterii care sunt incidente în cauză şi anume:</w:t>
      </w:r>
    </w:p>
    <w:p>
      <w:pPr>
        <w:pStyle w:val="Normal"/>
        <w:ind w:firstLine="1134"/>
        <w:jc w:val="both"/>
        <w:rPr/>
      </w:pPr>
      <w:r>
        <w:rPr/>
        <w:t xml:space="preserve">- </w:t>
      </w:r>
      <w:r>
        <w:rPr>
          <w:i/>
        </w:rPr>
        <w:t>gravitatea sancţiunilor pe care le riscă inculpatul</w:t>
      </w:r>
      <w:r>
        <w:rPr/>
        <w:t xml:space="preserve"> (în cauza </w:t>
      </w:r>
      <w:r>
        <w:rPr>
          <w:i/>
        </w:rPr>
        <w:t>Paradysz c. Franţei,</w:t>
      </w:r>
      <w:r>
        <w:rPr/>
        <w:t xml:space="preserve"> din 29.10.2009, Curtea Europeană a Drepturilor Omului a apreciat că gravitatea faptelor şi a sancţiunii pe care o riscă inculpatul poate să conducă autorităţile judiciare la menţinerea suspectului în stare de arest pentru a evita tentativele de comitere a unor noi infracţiuni);</w:t>
      </w:r>
    </w:p>
    <w:p>
      <w:pPr>
        <w:pStyle w:val="Normal"/>
        <w:ind w:firstLine="1134"/>
        <w:jc w:val="both"/>
        <w:rPr/>
      </w:pPr>
      <w:r>
        <w:rPr/>
        <w:t xml:space="preserve">- </w:t>
      </w:r>
      <w:r>
        <w:rPr>
          <w:i/>
        </w:rPr>
        <w:t xml:space="preserve">circumstanţele cauzei, </w:t>
      </w:r>
      <w:r>
        <w:rPr/>
        <w:t>cu valenţa de a pune într-un real pericol mai multe persoane, din perspectiva urmărilor nefaste [</w:t>
      </w:r>
      <w:r>
        <w:rPr>
          <w:u w:val="single"/>
        </w:rPr>
        <w:t>se pot reține</w:t>
      </w:r>
      <w:r>
        <w:rPr/>
        <w:t xml:space="preserve">: </w:t>
      </w:r>
      <w:r>
        <w:rPr>
          <w:i/>
        </w:rPr>
        <w:t xml:space="preserve">participația penală multiplă; </w:t>
      </w:r>
      <w:r>
        <w:rPr>
          <w:i/>
          <w:shd w:val="clear" w:fill="FFFFFF"/>
        </w:rPr>
        <w:t xml:space="preserve">structurarea palierelor grupului infracțional, cu rolul și scopul de a dilua eficiența activităților specifice ale organelor judiciare, de depistare și cercetare, și de a îngreuna descoperirea faptelor ori stabilirea legăturilor cauzale; </w:t>
      </w:r>
      <w:r>
        <w:rPr>
          <w:i/>
        </w:rPr>
        <w:t>numărul persoanelor vătămate; consecinţele de netăgăduit asupra acestora, unele dintre acestea putând avea un caracter ireversibil, în dezvoltarea ulterioară a persoanelor vătămate; perioada de timp pe care s-ar fi desfășurat presupusa activitate infracţională – diferite intervale de timp, pe parcursul mai multor ani]</w:t>
      </w:r>
      <w:r>
        <w:rPr/>
        <w:t>;</w:t>
      </w:r>
    </w:p>
    <w:p>
      <w:pPr>
        <w:pStyle w:val="Normal"/>
        <w:ind w:firstLine="1134"/>
        <w:jc w:val="both"/>
        <w:rPr/>
      </w:pPr>
      <w:r>
        <w:rPr/>
        <w:t xml:space="preserve">- </w:t>
      </w:r>
      <w:r>
        <w:rPr>
          <w:i/>
        </w:rPr>
        <w:t>personalitatea inculpatului,</w:t>
      </w:r>
      <w:r>
        <w:rPr/>
        <w:t xml:space="preserve"> care s-ar fi implicat cu mare uşurinţă în activităţi ilicite legate de traficarea unor persoane, în scopul obţinerii unor câștiguri materiale importante şi facile</w:t>
      </w:r>
      <w:r>
        <w:rPr>
          <w:shd w:val="clear" w:fill="FFFFFF"/>
        </w:rPr>
        <w:t>.</w:t>
      </w:r>
    </w:p>
    <w:p>
      <w:pPr>
        <w:pStyle w:val="Normal"/>
        <w:ind w:firstLine="1134"/>
        <w:jc w:val="both"/>
        <w:rPr/>
      </w:pPr>
      <w:r>
        <w:rPr/>
      </w:r>
    </w:p>
    <w:p>
      <w:pPr>
        <w:pStyle w:val="Normal"/>
        <w:ind w:firstLine="1134"/>
        <w:jc w:val="both"/>
        <w:rPr/>
      </w:pPr>
      <w:r>
        <w:rPr/>
        <w:t xml:space="preserve">Evaluând, pe lângă gravitatea presupuselor fapte, modul şi circumstanţele de comitere, în conformitate cu dispoziţiile art. 223 alin. 2 teza finală Cod procedură penală – anturajul, mediul din care provine inculpatul, antecedentele penale şi datele privind persoana inculpatului, judecătorul de drepturi şi libertăţi de la Curtea de Apel reţine că măsura privativă de libertate a arestării preventive este în continuare necesară pentru înlăturarea unei stări de pericol pentru ordinea publică. </w:t>
      </w:r>
    </w:p>
    <w:p>
      <w:pPr>
        <w:pStyle w:val="msonormalcxspmijlociu"/>
        <w:shd w:val="clear" w:fill="FFFFFF"/>
        <w:spacing w:before="0" w:after="0"/>
        <w:ind w:firstLine="1134"/>
        <w:jc w:val="both"/>
        <w:rPr/>
      </w:pPr>
      <w:r>
        <w:rPr/>
        <w:t>Pluralitatea infracțională extinsă, grefată pe modalitatea concretă de acțiune imputată (</w:t>
      </w:r>
      <w:r>
        <w:rPr>
          <w:i/>
        </w:rPr>
        <w:t>prin inducerea în eroare a victimelor şi profitând de starea de vulnerabilitate a acestora; folosirea metodei LOVERBOY</w:t>
      </w:r>
      <w:r>
        <w:rPr/>
        <w:t xml:space="preserve">; </w:t>
      </w:r>
      <w:r>
        <w:rPr>
          <w:i/>
        </w:rPr>
        <w:t>exercitarea unor acte de agresiune fizică şi morală</w:t>
      </w:r>
      <w:r>
        <w:rPr/>
        <w:t xml:space="preserve">; </w:t>
      </w:r>
      <w:r>
        <w:rPr>
          <w:i/>
        </w:rPr>
        <w:t>stabilirea unui program de lucru al persoanelor traficate și</w:t>
      </w:r>
      <w:r>
        <w:rPr/>
        <w:t xml:space="preserve"> </w:t>
      </w:r>
      <w:r>
        <w:rPr>
          <w:i/>
        </w:rPr>
        <w:t>supravegherea acestora; neasigurarea condițiilor de viață; obținerea unor sume importante de bani</w:t>
      </w:r>
      <w:r>
        <w:rPr/>
        <w:t>) conduc la concluzia că o măsură mai puțin severă ar fi actualmente inadecvată, iar interesul public definit prin criteriile menționate mai sus devine preeminent față de prezervarea libertății individuale, în cadrul unui proces penal. Trebuie să existe o protecţie şi o reacţie imediată din partea statului în vederea protejării unei victime împotriva oricărei forme de exploatare.</w:t>
      </w:r>
    </w:p>
    <w:p>
      <w:pPr>
        <w:pStyle w:val="Normal"/>
        <w:ind w:firstLine="1134"/>
        <w:jc w:val="both"/>
        <w:rPr/>
      </w:pPr>
      <w:r>
        <w:rPr/>
      </w:r>
    </w:p>
    <w:p>
      <w:pPr>
        <w:pStyle w:val="Normal"/>
        <w:ind w:firstLine="1134"/>
        <w:jc w:val="both"/>
        <w:rPr>
          <w:b/>
        </w:rPr>
      </w:pPr>
      <w:r>
        <w:rPr/>
        <w:t>Judecătorul de drepturi şi libertăţi de la Curtea de Apel constată că alături de tulburarea însemnată a ordinii publice există în cauză şi un alt motiv ce justifică menținerea arestării preventive a inculpatului, respectiv pericolul de influenţare a procesului penal, pericol ce este încă unul actul având în vedere că, ancheta penală nu a fost finalizată</w:t>
      </w:r>
      <w:r>
        <w:rPr>
          <w:b/>
        </w:rPr>
        <w:t>.</w:t>
      </w:r>
    </w:p>
    <w:p>
      <w:pPr>
        <w:pStyle w:val="Normal"/>
        <w:ind w:firstLine="1134"/>
        <w:jc w:val="both"/>
        <w:rPr>
          <w:b/>
        </w:rPr>
      </w:pPr>
      <w:r>
        <w:rPr>
          <w:b/>
        </w:rPr>
        <w:t xml:space="preserve">Totodată, </w:t>
      </w:r>
      <w:r>
        <w:rPr/>
        <w:t xml:space="preserve">durata măsurii preventive este strâns legată de conținutul, amploarea și specificul pretinsei activităţi infracţionale deduse judecății și necesitatea bunei desfășurări a procesului penal, neavând legătură cu prezumţia de nevinovăţie a inculpatului, prezumţie de care acesta se bucură în continuare. </w:t>
      </w:r>
    </w:p>
    <w:p>
      <w:pPr>
        <w:pStyle w:val="Normal"/>
        <w:ind w:firstLine="1134"/>
        <w:jc w:val="both"/>
        <w:rPr/>
      </w:pPr>
      <w:r>
        <w:rPr/>
      </w:r>
    </w:p>
    <w:p>
      <w:pPr>
        <w:pStyle w:val="Normal"/>
        <w:ind w:firstLine="1134"/>
        <w:jc w:val="both"/>
        <w:rPr/>
      </w:pPr>
      <w:r>
        <w:rPr/>
        <w:t>Având în vedere şi Hotărârea Curții E.D.O. "</w:t>
      </w:r>
      <w:r>
        <w:rPr>
          <w:i/>
        </w:rPr>
        <w:t>N contra Austriei din 27 iunie 1968</w:t>
      </w:r>
      <w:r>
        <w:rPr/>
        <w:t>", se impune a se reţine că inculpatul nu are un loc de muncă util, existând şi din acest punct de vedere riscul ca, aflat în libertate, în lipsa unor mijloace de trai asigurate în mod legal, să săvârşească fapte prevăzute de legea penală.</w:t>
      </w:r>
    </w:p>
    <w:p>
      <w:pPr>
        <w:pStyle w:val="Normal"/>
        <w:ind w:firstLine="1134"/>
        <w:jc w:val="both"/>
        <w:rPr/>
      </w:pPr>
      <w:r>
        <w:rPr/>
        <w:t xml:space="preserve">În ceea ce priveşte caracterul necesar si proporţional cu scopul urmărit prin dispunerea arestării preventive, pentru interesul bunei desfăşurări a procesului penal, judecătorul de drepturi şi libertăţi de la Curtea de Apel reține că în raport de particularităţile speței, măsura arestului preventiv, </w:t>
      </w:r>
      <w:r>
        <w:rPr>
          <w:b/>
        </w:rPr>
        <w:t xml:space="preserve">la aproximativ o lună şi jumătate de la momentul luării acesteia, </w:t>
      </w:r>
      <w:r>
        <w:rPr/>
        <w:t xml:space="preserve">continuă să aibă un caracter necesar și să fie proporţională cu gravitatea acuzaţiilor aduse inculpatului, iar pe de altă parte, că este singura măsură aptă să asigure cu maximă eficiență atât protecţia ordinii publice, cât şi buna desfăşurare a procesului penal, fără riscul influenţării, în sens negativ, a probelor cauzei administrate până la acest moment. </w:t>
      </w:r>
    </w:p>
    <w:p>
      <w:pPr>
        <w:pStyle w:val="Normal"/>
        <w:ind w:firstLine="1134"/>
        <w:jc w:val="both"/>
        <w:rPr/>
      </w:pPr>
      <w:r>
        <w:rPr/>
        <w:t xml:space="preserve">Se are în vedere şi faptul că, în raport de complexitatea cauzei, conduita inculpatului şi comportamentul autorităţilor, măsura arestării preventive a acestuia nu a depăşit o durată rezonabilă. </w:t>
      </w:r>
    </w:p>
    <w:p>
      <w:pPr>
        <w:pStyle w:val="Normal"/>
        <w:ind w:firstLine="1134"/>
        <w:jc w:val="both"/>
        <w:rPr/>
      </w:pPr>
      <w:r>
        <w:rPr/>
        <w:t>Simpla trecere a timpului nu este de natură să diminueze percepţia asupra gravităţii faptelor imputate inculpatului, care par să aibă acoperire în actele aflate la dosar. Datele speţei îl indică pe acesta ca având aptitudinea să acționezi pe un segment infracţional specializat (trafic de persoane), iar amploarea activităţilor ilicite reflectă cu obiectivitate prezenţa unui risc concret şi actual pentru comunitate.</w:t>
      </w:r>
    </w:p>
    <w:p>
      <w:pPr>
        <w:pStyle w:val="Normal"/>
        <w:ind w:firstLine="1134"/>
        <w:jc w:val="both"/>
        <w:rPr/>
      </w:pPr>
      <w:r>
        <w:rPr/>
      </w:r>
    </w:p>
    <w:p>
      <w:pPr>
        <w:pStyle w:val="Normal"/>
        <w:ind w:firstLine="1134"/>
        <w:jc w:val="both"/>
        <w:rPr/>
      </w:pPr>
      <w:r>
        <w:rPr/>
        <w:t>Judecătorul de drepturi şi libertăţi de la Curtea de Apel constată, de altfel, că inculpatul a invocat, în susținerea cererii de înlocuire a măsurii arestării preventive, împrejurări preexistente momentului luării măsurii – situaţia familială dificilă, împrejurări avute în vedere și la momentul analizelor anterioare ale măsurii arestării preventive, și care se pare că nu au constituit un impediment în realizare actelor ilicite presupus a fi săvârșite.</w:t>
      </w:r>
    </w:p>
    <w:p>
      <w:pPr>
        <w:pStyle w:val="Normal"/>
        <w:ind w:firstLine="1134"/>
        <w:jc w:val="both"/>
        <w:rPr/>
      </w:pPr>
      <w:r>
        <w:rPr/>
        <w:t>În mod corect, a reţinut judecătorul de drepturi şi libertăţi de la prima instanţă că, formularea unei cereri de înlocuire a măsurii preventive, la un interval de o săptămână de la respingerea contestaţiei asupra Încheierii prin care s-a dispus prelungirea măsurii preventive, în lipsa oricărui element de noutate real sau personal, constituie o veritabilă nouă cale de atac, deghizată, ridicând, din perspectiva judecătorului de drepturi şi libertăţi de la Curtea de Apel, şi o eventuală problemă de exercitare a drepturilor procesuale contrar scopului pentru care au fost recunoscute de lege.</w:t>
      </w:r>
    </w:p>
    <w:p>
      <w:pPr>
        <w:pStyle w:val="Normal"/>
        <w:ind w:firstLine="1134"/>
        <w:jc w:val="both"/>
        <w:rPr/>
      </w:pPr>
      <w:r>
        <w:rPr/>
        <w:t>Nu se poate reține o inegalitate de tratament în raport cu persoane cercetate sub puterea altor măsuri preventive sau fără a fi supuse unor măsuri preventive, cât timp situația juridică nu este identică. Circumstanțele personale ale fiecărui inculpat și amploarea activității infracționale imputată fiecăruia impun o analiză distinctă a măsurii preventive adecvat a fi impusă fiecărui inculpat sau a împrejurării dacă o măsură preventivă poate fi luată sau nu.</w:t>
      </w:r>
    </w:p>
    <w:p>
      <w:pPr>
        <w:pStyle w:val="Normal"/>
        <w:jc w:val="both"/>
        <w:rPr/>
      </w:pPr>
      <w:r>
        <w:rPr/>
      </w:r>
    </w:p>
    <w:p>
      <w:pPr>
        <w:pStyle w:val="Normal"/>
        <w:jc w:val="both"/>
        <w:rPr/>
      </w:pPr>
      <w:r>
        <w:rPr/>
      </w:r>
    </w:p>
    <w:p>
      <w:pPr>
        <w:pStyle w:val="Normal"/>
        <w:ind w:firstLine="1134"/>
        <w:jc w:val="both"/>
        <w:rPr/>
      </w:pPr>
      <w:r>
        <w:rPr>
          <w:b/>
        </w:rPr>
        <w:t>Faţă de considerentele anterior expuse,</w:t>
      </w:r>
      <w:r>
        <w:rPr/>
        <w:t xml:space="preserve"> judecătorul de drepturi şi libertăți de la Curtea de Apel ...va respinge, </w:t>
      </w:r>
      <w:r>
        <w:rPr>
          <w:b/>
        </w:rPr>
        <w:t>ca nefondată</w:t>
      </w:r>
      <w:r>
        <w:rPr/>
        <w:t xml:space="preserve">, contestaţia formulată de inculpatul </w:t>
      </w:r>
      <w:r>
        <w:rPr>
          <w:b/>
        </w:rPr>
        <w:t>R1</w:t>
      </w:r>
      <w:r>
        <w:rPr/>
        <w:t>, împotriva Încheierii  nr. IP1 din data de ..., pronunţată de Tribunalul..., în dosarul nr. D1, pe care o va menţine.</w:t>
      </w:r>
    </w:p>
    <w:p>
      <w:pPr>
        <w:pStyle w:val="Normal"/>
        <w:ind w:firstLine="1134"/>
        <w:jc w:val="both"/>
        <w:rPr>
          <w:i/>
          <w:i/>
        </w:rPr>
      </w:pPr>
      <w:r>
        <w:rPr>
          <w:i/>
        </w:rPr>
      </w:r>
    </w:p>
    <w:p>
      <w:pPr>
        <w:pStyle w:val="Normal"/>
        <w:ind w:firstLine="1134"/>
        <w:jc w:val="both"/>
        <w:rPr/>
      </w:pPr>
      <w:r>
        <w:rPr>
          <w:i/>
        </w:rPr>
        <w:t xml:space="preserve">Constatând culpa procesuală a inculpatului contestator, faţă de soluţia de respingere a căii ordinare de atac, </w:t>
      </w:r>
      <w:r>
        <w:rPr/>
        <w:t>în baza disp. art. 275 alin. 2 din Codul de procedură penală, va obliga inculpatul contestator să plătească statului suma de 100 lei cu titlu de cheltuieli judiciare.</w:t>
      </w:r>
    </w:p>
    <w:p>
      <w:pPr>
        <w:pStyle w:val="Normal"/>
        <w:ind w:firstLine="1134"/>
        <w:jc w:val="both"/>
        <w:rPr/>
      </w:pPr>
      <w:r>
        <w:rPr/>
        <w:t>Onorariul avocatului din oficiu, în sumă de 130 lei (delegaţia nr. ...5 din data de 04.07.2018 emisă de Baroul ...pe numele doamnei avocat Av1, pentru inculpatul contestator R1) va fi suportat din fondurile Ministerului Justiţiei.</w:t>
      </w:r>
    </w:p>
    <w:p>
      <w:pPr>
        <w:pStyle w:val="Normal"/>
        <w:jc w:val="center"/>
        <w:rPr>
          <w:b/>
        </w:rPr>
      </w:pPr>
      <w:r>
        <w:rPr>
          <w:b/>
        </w:rPr>
      </w:r>
    </w:p>
    <w:p>
      <w:pPr>
        <w:pStyle w:val="Normal"/>
        <w:rPr>
          <w:b/>
        </w:rPr>
      </w:pPr>
      <w:r>
        <w:rPr>
          <w:b/>
        </w:rPr>
      </w:r>
    </w:p>
    <w:p>
      <w:pPr>
        <w:pStyle w:val="Normal"/>
        <w:jc w:val="center"/>
        <w:rPr>
          <w:b/>
        </w:rPr>
      </w:pPr>
      <w:r>
        <w:rPr>
          <w:b/>
        </w:rPr>
        <w:t>PENTRU ACESTE MOTIVE,</w:t>
      </w:r>
    </w:p>
    <w:p>
      <w:pPr>
        <w:pStyle w:val="Normal"/>
        <w:jc w:val="center"/>
        <w:rPr>
          <w:b/>
        </w:rPr>
      </w:pPr>
      <w:r>
        <w:rPr>
          <w:b/>
        </w:rPr>
        <w:t>ÎN NUMELE LEGII,</w:t>
      </w:r>
    </w:p>
    <w:p>
      <w:pPr>
        <w:pStyle w:val="Normal"/>
        <w:jc w:val="center"/>
        <w:rPr>
          <w:b/>
        </w:rPr>
      </w:pPr>
      <w:r>
        <w:rPr>
          <w:b/>
        </w:rPr>
        <w:t>DISPUNE:</w:t>
      </w:r>
    </w:p>
    <w:p>
      <w:pPr>
        <w:pStyle w:val="Normal"/>
        <w:jc w:val="center"/>
        <w:rPr/>
      </w:pPr>
      <w:r>
        <w:rPr/>
      </w:r>
    </w:p>
    <w:p>
      <w:pPr>
        <w:pStyle w:val="Normal"/>
        <w:ind w:firstLine="709"/>
        <w:jc w:val="both"/>
        <w:rPr/>
      </w:pPr>
      <w:r>
        <w:rPr/>
      </w:r>
    </w:p>
    <w:p>
      <w:pPr>
        <w:pStyle w:val="Normal"/>
        <w:ind w:firstLine="709"/>
        <w:jc w:val="both"/>
        <w:rPr/>
      </w:pPr>
      <w:r>
        <w:rPr/>
        <w:t xml:space="preserve">Respinge, ca nefondată, contestaţia formulată de inculpatul </w:t>
      </w:r>
      <w:r>
        <w:rPr>
          <w:b/>
        </w:rPr>
        <w:t>R1</w:t>
      </w:r>
      <w:r>
        <w:rPr/>
        <w:t>, fiul lui ... şi ..., născut la data de ... în oraşul ..., jud. ..., domiciliat în oraşul ..., jud. ..., str. ... nr. ..., C.N.P. ... în prezent arestat preventiv în C.R.A.P. din cadrul I.P.J.  ... împotriva încheierii  nr. IP1 din data de ..., pronunţată de Tribunalul..., în dosarul nr. D1, pe care o menţine.</w:t>
      </w:r>
    </w:p>
    <w:p>
      <w:pPr>
        <w:pStyle w:val="Normal"/>
        <w:ind w:firstLine="709"/>
        <w:jc w:val="both"/>
        <w:rPr/>
      </w:pPr>
      <w:r>
        <w:rPr/>
        <w:t>În baza disp. art. 275 alin. 2 din Codul de procedură penală obligă inculpatul contestator să plătească statului suma de 100 lei cu titlu de cheltuieli judiciare.</w:t>
      </w:r>
    </w:p>
    <w:p>
      <w:pPr>
        <w:pStyle w:val="Normal"/>
        <w:ind w:firstLine="709"/>
        <w:jc w:val="both"/>
        <w:rPr/>
      </w:pPr>
      <w:r>
        <w:rPr/>
        <w:t>Onorariul avocatului din oficiu, în sumă de 130 lei (delegaţia nr. ...5 din data de 04.07.2018 emisă de Baroul ...pe numele doamnei avocat Av1, pentru inculpatul contestator R1) va fi suportat din fondurile Ministerului Justiţiei.</w:t>
      </w:r>
    </w:p>
    <w:p>
      <w:pPr>
        <w:pStyle w:val="Normal"/>
        <w:ind w:firstLine="709"/>
        <w:jc w:val="both"/>
        <w:rPr/>
      </w:pPr>
      <w:r>
        <w:rPr/>
        <w:t>Definitivă.</w:t>
      </w:r>
    </w:p>
    <w:p>
      <w:pPr>
        <w:pStyle w:val="Normal"/>
        <w:ind w:firstLine="709"/>
        <w:jc w:val="both"/>
        <w:rPr/>
      </w:pPr>
      <w:r>
        <w:rPr/>
        <w:t>Pronunţată în şedinţa din camera de consiliu, astăzi, ....</w:t>
      </w:r>
    </w:p>
    <w:p>
      <w:pPr>
        <w:pStyle w:val="Normal"/>
        <w:ind w:firstLine="709"/>
        <w:jc w:val="both"/>
        <w:rPr/>
      </w:pPr>
      <w:r>
        <w:rPr/>
      </w:r>
    </w:p>
    <w:p>
      <w:pPr>
        <w:pStyle w:val="Normal"/>
        <w:ind w:firstLine="709"/>
        <w:jc w:val="both"/>
        <w:rPr/>
      </w:pPr>
      <w:r>
        <w:rPr/>
      </w:r>
    </w:p>
    <w:tbl>
      <w:tblPr>
        <w:tblW w:w="9286" w:type="dxa"/>
        <w:jc w:val="left"/>
        <w:tblInd w:w="-108" w:type="dxa"/>
        <w:tblLayout w:type="fixed"/>
        <w:tblCellMar>
          <w:top w:w="0" w:type="dxa"/>
          <w:left w:w="108" w:type="dxa"/>
          <w:bottom w:w="0" w:type="dxa"/>
          <w:right w:w="108" w:type="dxa"/>
        </w:tblCellMar>
      </w:tblPr>
      <w:tblGrid>
        <w:gridCol w:w="4643"/>
        <w:gridCol w:w="4643"/>
      </w:tblGrid>
      <w:tr>
        <w:trPr/>
        <w:tc>
          <w:tcPr>
            <w:tcW w:w="4643" w:type="dxa"/>
            <w:tcBorders/>
          </w:tcPr>
          <w:p>
            <w:pPr>
              <w:pStyle w:val="Normal"/>
              <w:jc w:val="center"/>
              <w:rPr>
                <w:b/>
              </w:rPr>
            </w:pPr>
            <w:r>
              <w:rPr>
                <w:b/>
              </w:rPr>
              <w:t>Judecător de drepturi şi libertăţi,</w:t>
            </w:r>
          </w:p>
          <w:p>
            <w:pPr>
              <w:pStyle w:val="Normal"/>
              <w:jc w:val="center"/>
              <w:rPr>
                <w:b/>
              </w:rPr>
            </w:pPr>
            <w:r>
              <w:rPr>
                <w:b/>
              </w:rPr>
              <w:t>A0013</w:t>
            </w:r>
          </w:p>
        </w:tc>
        <w:tc>
          <w:tcPr>
            <w:tcW w:w="4643" w:type="dxa"/>
            <w:tcBorders/>
          </w:tcPr>
          <w:p>
            <w:pPr>
              <w:pStyle w:val="Normal"/>
              <w:jc w:val="center"/>
              <w:rPr>
                <w:b/>
              </w:rPr>
            </w:pPr>
            <w:r>
              <w:rPr>
                <w:b/>
              </w:rPr>
            </w:r>
          </w:p>
          <w:p>
            <w:pPr>
              <w:pStyle w:val="Normal"/>
              <w:jc w:val="center"/>
              <w:rPr>
                <w:b/>
              </w:rPr>
            </w:pPr>
            <w:r>
              <w:rPr>
                <w:b/>
              </w:rPr>
            </w:r>
          </w:p>
          <w:p>
            <w:pPr>
              <w:pStyle w:val="Normal"/>
              <w:jc w:val="center"/>
              <w:rPr>
                <w:b/>
              </w:rPr>
            </w:pPr>
            <w:r>
              <w:rPr>
                <w:b/>
              </w:rPr>
            </w:r>
          </w:p>
          <w:p>
            <w:pPr>
              <w:pStyle w:val="Normal"/>
              <w:jc w:val="center"/>
              <w:rPr>
                <w:b/>
              </w:rPr>
            </w:pPr>
            <w:r>
              <w:rPr>
                <w:b/>
              </w:rPr>
            </w:r>
          </w:p>
          <w:p>
            <w:pPr>
              <w:pStyle w:val="Normal"/>
              <w:jc w:val="center"/>
              <w:rPr>
                <w:b/>
              </w:rPr>
            </w:pPr>
            <w:r>
              <w:rPr>
                <w:b/>
              </w:rPr>
            </w:r>
          </w:p>
          <w:p>
            <w:pPr>
              <w:pStyle w:val="Normal"/>
              <w:jc w:val="center"/>
              <w:rPr>
                <w:b/>
              </w:rPr>
            </w:pPr>
            <w:r>
              <w:rPr>
                <w:b/>
              </w:rPr>
              <w:t>Grefier,</w:t>
            </w:r>
          </w:p>
          <w:p>
            <w:pPr>
              <w:pStyle w:val="Normal"/>
              <w:jc w:val="center"/>
              <w:rPr>
                <w:b/>
              </w:rPr>
            </w:pPr>
            <w:r>
              <w:rPr>
                <w:b/>
              </w:rPr>
              <w:t>...</w:t>
            </w:r>
          </w:p>
        </w:tc>
      </w:tr>
    </w:tbl>
    <w:p>
      <w:pPr>
        <w:pStyle w:val="Normal"/>
        <w:rPr>
          <w:vanish/>
        </w:rPr>
      </w:pPr>
      <w:r>
        <w:rPr>
          <w:vanish/>
        </w:rPr>
      </w:r>
    </w:p>
    <w:tbl>
      <w:tblPr>
        <w:tblW w:w="4850" w:type="pct"/>
        <w:jc w:val="left"/>
        <w:tblInd w:w="-108" w:type="dxa"/>
        <w:tblLayout w:type="fixed"/>
        <w:tblCellMar>
          <w:top w:w="0" w:type="dxa"/>
          <w:left w:w="108" w:type="dxa"/>
          <w:bottom w:w="0" w:type="dxa"/>
          <w:right w:w="108" w:type="dxa"/>
        </w:tblCellMar>
      </w:tblPr>
      <w:tblGrid>
        <w:gridCol w:w="3604"/>
        <w:gridCol w:w="5195"/>
      </w:tblGrid>
      <w:tr>
        <w:trPr>
          <w:trHeight w:val="841" w:hRule="atLeast"/>
        </w:trPr>
        <w:tc>
          <w:tcPr>
            <w:tcW w:w="3604" w:type="dxa"/>
            <w:tcBorders/>
          </w:tcPr>
          <w:p>
            <w:pPr>
              <w:pStyle w:val="Normal"/>
              <w:jc w:val="center"/>
              <w:rPr>
                <w:b/>
                <w:i/>
                <w:i/>
              </w:rPr>
            </w:pPr>
            <w:r>
              <w:rPr/>
            </w:r>
          </w:p>
        </w:tc>
        <w:tc>
          <w:tcPr>
            <w:tcW w:w="5195" w:type="dxa"/>
            <w:tcBorders/>
          </w:tcPr>
          <w:p>
            <w:pPr>
              <w:pStyle w:val="Normal"/>
              <w:jc w:val="center"/>
              <w:rPr>
                <w:b/>
                <w:i/>
                <w:i/>
              </w:rPr>
            </w:pPr>
            <w:r>
              <w:rPr>
                <w:b/>
                <w:i/>
              </w:rPr>
            </w:r>
          </w:p>
        </w:tc>
      </w:tr>
    </w:tbl>
    <w:p>
      <w:pPr>
        <w:pStyle w:val="Normal"/>
        <w:rPr>
          <w:i/>
          <w:i/>
          <w:sz w:val="16"/>
        </w:rPr>
      </w:pPr>
      <w:r>
        <w:rPr>
          <w:i/>
          <w:sz w:val="16"/>
        </w:rPr>
      </w:r>
    </w:p>
    <w:p>
      <w:pPr>
        <w:pStyle w:val="Normal"/>
        <w:rPr>
          <w:i/>
          <w:i/>
          <w:sz w:val="16"/>
        </w:rPr>
      </w:pPr>
      <w:r>
        <w:rPr>
          <w:i/>
          <w:sz w:val="16"/>
        </w:rPr>
      </w:r>
    </w:p>
    <w:p>
      <w:pPr>
        <w:pStyle w:val="Normal"/>
        <w:rPr>
          <w:i/>
          <w:i/>
          <w:sz w:val="16"/>
        </w:rPr>
      </w:pPr>
      <w:r>
        <w:rPr>
          <w:i/>
          <w:sz w:val="16"/>
        </w:rPr>
      </w:r>
    </w:p>
    <w:p>
      <w:pPr>
        <w:pStyle w:val="Normal"/>
        <w:rPr>
          <w:i/>
          <w:i/>
          <w:sz w:val="16"/>
        </w:rPr>
      </w:pPr>
      <w:r>
        <w:rPr>
          <w:i/>
          <w:sz w:val="16"/>
        </w:rPr>
        <w:t>Red./Tehnored.  A0013</w:t>
      </w:r>
    </w:p>
    <w:p>
      <w:pPr>
        <w:pStyle w:val="Normal"/>
        <w:rPr>
          <w:i/>
          <w:i/>
          <w:sz w:val="16"/>
        </w:rPr>
      </w:pPr>
      <w:r>
        <w:rPr>
          <w:i/>
          <w:sz w:val="16"/>
        </w:rPr>
        <w:t>2EX./...</w:t>
      </w:r>
    </w:p>
    <w:p>
      <w:pPr>
        <w:pStyle w:val="Normal"/>
        <w:rPr>
          <w:i/>
          <w:i/>
          <w:sz w:val="16"/>
        </w:rPr>
      </w:pPr>
      <w:r>
        <w:rPr>
          <w:i/>
          <w:sz w:val="16"/>
        </w:rPr>
        <w:t>Tribunalul... – jud. ...</w:t>
      </w:r>
    </w:p>
    <w:p>
      <w:pPr>
        <w:pStyle w:val="Normal"/>
        <w:tabs>
          <w:tab w:val="clear" w:pos="720"/>
          <w:tab w:val="left" w:leader="none" w:pos="765"/>
        </w:tabs>
        <w:rPr>
          <w:b/>
        </w:rPr>
      </w:pPr>
      <w:r>
        <w:rPr>
          <w:b/>
        </w:rPr>
        <w:t xml:space="preserve"> </w:t>
      </w:r>
    </w:p>
    <w:p>
      <w:pPr>
        <w:pStyle w:val="Normal"/>
        <w:rPr/>
      </w:pPr>
      <w:r>
        <w:rPr/>
        <w:t xml:space="preserve">  </w:t>
      </w:r>
    </w:p>
    <w:p>
      <w:pPr>
        <w:pStyle w:val="Normal"/>
        <w:rPr/>
      </w:pPr>
      <w:r>
        <w:rPr/>
        <w:t xml:space="preserve"> </w:t>
      </w:r>
    </w:p>
    <w:p>
      <w:pPr>
        <w:pStyle w:val="Normal"/>
        <w:rPr/>
      </w:pPr>
      <w:r>
        <w:rPr/>
        <w:t xml:space="preserve"> </w:t>
      </w:r>
    </w:p>
    <w:p>
      <w:pPr>
        <w:pStyle w:val="Normal"/>
        <w:rPr/>
      </w:pPr>
      <w:r>
        <w:rPr/>
        <w:t xml:space="preserve">    </w:t>
      </w:r>
    </w:p>
    <w:p>
      <w:pPr>
        <w:pStyle w:val="Normal"/>
        <w:rPr/>
      </w:pPr>
      <w:r>
        <w:rPr/>
        <w:t xml:space="preserve"> </w:t>
      </w:r>
    </w:p>
    <w:p>
      <w:pPr>
        <w:pStyle w:val="Normal"/>
        <w:rPr>
          <w:sz w:val="16"/>
        </w:rPr>
      </w:pPr>
      <w:r>
        <w:rPr>
          <w:sz w:val="16"/>
        </w:rPr>
      </w:r>
    </w:p>
    <w:sectPr>
      <w:footerReference w:type="default" r:id="rId2"/>
      <w:type w:val="nextPage"/>
      <w:pgSz w:w="11906" w:h="16838"/>
      <w:pgMar w:top="1417" w:right="1417" w:bottom="1417" w:left="1417" w:header="0" w:footer="720" w:gutter="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Garamond">
    <w:charset w:val="00"/>
    <w:family w:val="roman"/>
    <w:pitch w:val="variable"/>
  </w:font>
  <w:font w:name="Liberation Sans">
    <w:altName w:val="Arial"/>
    <w:charset w:val="00"/>
    <w:family w:val="swiss"/>
    <w:pitch w:val="variable"/>
  </w:font>
  <w:font w:name="Times New Roman">
    <w:charset w:val="01"/>
    <w:family w:val="roman"/>
    <w:pitch w:val="default"/>
  </w:font>
  <w:font w:name="Courier New">
    <w:charset w:val="01"/>
    <w:family w:val="modern"/>
    <w:pitch w:val="fixed"/>
  </w:font>
  <w:font w:name="Wingdings">
    <w:charset w:val="02"/>
    <w:family w:val="auto"/>
    <w:pitch w:val="default"/>
  </w:font>
  <w:font w:name="Symbol">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pPr>
    <w:r>
      <w:rPr/>
      <w:fldChar w:fldCharType="begin"/>
    </w:r>
    <w:r>
      <w:rPr/>
      <w:instrText xml:space="preserve"> PAGE </w:instrText>
    </w:r>
    <w:r>
      <w:rPr/>
      <w:fldChar w:fldCharType="separate"/>
    </w:r>
    <w:r>
      <w:rPr/>
      <w:t>9</w:t>
    </w:r>
    <w:r>
      <w:rPr/>
      <w:fldChar w:fldCharType="end"/>
    </w:r>
  </w:p>
  <w:p>
    <w:pPr>
      <w:pStyle w:val="Footer"/>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1"/>
      <w:lvlJc w:val="left"/>
      <w:pPr>
        <w:tabs>
          <w:tab w:val="num" w:pos="0"/>
        </w:tabs>
        <w:ind w:left="0" w:hanging="0"/>
      </w:pPr>
    </w:lvl>
    <w:lvl w:ilvl="1">
      <w:start w:val="1"/>
      <w:numFmt w:val="none"/>
      <w:suff w:val="nothing"/>
      <w:lvlText w:val="%2"/>
      <w:lvlJc w:val="left"/>
      <w:pPr>
        <w:tabs>
          <w:tab w:val="num" w:pos="0"/>
        </w:tabs>
        <w:ind w:left="0" w:hanging="0"/>
      </w:pPr>
    </w:lvl>
    <w:lvl w:ilvl="2">
      <w:start w:val="1"/>
      <w:numFmt w:val="none"/>
      <w:suff w:val="nothing"/>
      <w:lvlText w:val="%3"/>
      <w:lvlJc w:val="left"/>
      <w:pPr>
        <w:tabs>
          <w:tab w:val="num" w:pos="0"/>
        </w:tabs>
        <w:ind w:left="0" w:hanging="0"/>
      </w:pPr>
    </w:lvl>
    <w:lvl w:ilvl="3">
      <w:start w:val="1"/>
      <w:numFmt w:val="none"/>
      <w:suff w:val="nothing"/>
      <w:lvlText w:val="%4"/>
      <w:lvlJc w:val="left"/>
      <w:pPr>
        <w:tabs>
          <w:tab w:val="num" w:pos="0"/>
        </w:tabs>
        <w:ind w:left="0" w:hanging="0"/>
      </w:pPr>
    </w:lvl>
    <w:lvl w:ilvl="4">
      <w:start w:val="1"/>
      <w:numFmt w:val="none"/>
      <w:suff w:val="nothing"/>
      <w:lvlText w:val="%5"/>
      <w:lvlJc w:val="left"/>
      <w:pPr>
        <w:tabs>
          <w:tab w:val="num" w:pos="0"/>
        </w:tabs>
        <w:ind w:left="0" w:hanging="0"/>
      </w:pPr>
    </w:lvl>
    <w:lvl w:ilvl="5">
      <w:start w:val="1"/>
      <w:numFmt w:val="none"/>
      <w:suff w:val="nothing"/>
      <w:lvlText w:val="%6"/>
      <w:lvlJc w:val="left"/>
      <w:pPr>
        <w:tabs>
          <w:tab w:val="num" w:pos="0"/>
        </w:tabs>
        <w:ind w:left="0" w:hanging="0"/>
      </w:pPr>
    </w:lvl>
    <w:lvl w:ilvl="6">
      <w:start w:val="1"/>
      <w:numFmt w:val="none"/>
      <w:suff w:val="nothing"/>
      <w:lvlText w:val="%7"/>
      <w:lvlJc w:val="left"/>
      <w:pPr>
        <w:tabs>
          <w:tab w:val="num" w:pos="0"/>
        </w:tabs>
        <w:ind w:left="0" w:hanging="0"/>
      </w:pPr>
    </w:lvl>
    <w:lvl w:ilvl="7">
      <w:start w:val="1"/>
      <w:numFmt w:val="none"/>
      <w:suff w:val="nothing"/>
      <w:lvlText w:val="%8"/>
      <w:lvlJc w:val="left"/>
      <w:pPr>
        <w:tabs>
          <w:tab w:val="num" w:pos="0"/>
        </w:tabs>
        <w:ind w:left="0" w:hanging="0"/>
      </w:pPr>
    </w:lvl>
    <w:lvl w:ilvl="8">
      <w:start w:val="1"/>
      <w:numFmt w:val="none"/>
      <w:suff w:val="nothing"/>
      <w:lvlText w:val="%9"/>
      <w:lvlJc w:val="left"/>
      <w:pPr>
        <w:tabs>
          <w:tab w:val="num" w:pos="0"/>
        </w:tabs>
        <w:ind w:left="0" w:hanging="0"/>
      </w:pPr>
    </w:lvl>
  </w:abstractNum>
  <w:abstractNum w:abstractNumId="2">
    <w:lvl w:ilvl="0">
      <w:start w:val="1"/>
      <w:numFmt w:val="bullet"/>
      <w:lvlText w:val="-"/>
      <w:lvlJc w:val="left"/>
      <w:pPr>
        <w:tabs>
          <w:tab w:val="num" w:pos="0"/>
        </w:tabs>
        <w:ind w:left="1080" w:hanging="360"/>
      </w:pPr>
      <w:rPr>
        <w:rFonts w:ascii="Times New Roman" w:hAnsi="Times New Roman" w:cs="Times New Roman"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num w:numId="1">
    <w:abstractNumId w:val="1"/>
  </w:num>
  <w:num w:numId="2">
    <w:abstractNumId w:val="2"/>
  </w:num>
</w:numbering>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2"/>
  </w:compat>
  <w:docVars>
    <w:docVar w:name="url" w:val="http://10.26.48.53:80/ecris_cdms/document_upload.aspx?id_document=4500000000720196&amp;id_departament=29&amp;id_sesiune=366892&amp;id_user=168&amp;id_institutie=45&amp;actiune=modifica"/>
  </w:docVars>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sz w:val="22"/>
        <w:lang w:val="ro-RO" w:eastAsia="ro-RO" w:bidi="ar-SA"/>
      </w:rPr>
    </w:rPrDefault>
    <w:pPrDefault>
      <w:pPr>
        <w:suppressAutoHyphens w:val="true"/>
      </w:pPr>
    </w:pPrDefault>
  </w:docDefaults>
  <w:style w:type="paragraph" w:styleId="Normal">
    <w:name w:val="Normal"/>
    <w:qFormat/>
    <w:pPr>
      <w:widowControl/>
      <w:kinsoku w:val="true"/>
      <w:overflowPunct w:val="true"/>
      <w:autoSpaceDE w:val="true"/>
      <w:bidi w:val="0"/>
      <w:spacing w:before="0" w:after="0"/>
      <w:jc w:val="left"/>
    </w:pPr>
    <w:rPr>
      <w:rFonts w:ascii="Times New Roman" w:hAnsi="Times New Roman" w:eastAsia="Times New Roman" w:cs="Times New Roman"/>
      <w:color w:val="auto"/>
      <w:kern w:val="0"/>
      <w:sz w:val="24"/>
      <w:szCs w:val="20"/>
      <w:lang w:val="ro-RO" w:eastAsia="ro-RO" w:bidi="ar-SA"/>
    </w:rPr>
  </w:style>
  <w:style w:type="paragraph" w:styleId="Heading1">
    <w:name w:val="Heading 1"/>
    <w:basedOn w:val="Normal"/>
    <w:next w:val="Normal"/>
    <w:qFormat/>
    <w:pPr>
      <w:keepNext w:val="true"/>
      <w:numPr>
        <w:ilvl w:val="0"/>
        <w:numId w:val="0"/>
      </w:numPr>
      <w:jc w:val="center"/>
      <w:outlineLvl w:val="0"/>
    </w:pPr>
    <w:rPr>
      <w:b/>
      <w:sz w:val="28"/>
      <w:lang w:val="en-US"/>
    </w:rPr>
  </w:style>
  <w:style w:type="paragraph" w:styleId="Heading2">
    <w:name w:val="Heading 2"/>
    <w:basedOn w:val="Normal"/>
    <w:next w:val="Normal"/>
    <w:qFormat/>
    <w:pPr>
      <w:keepNext w:val="true"/>
      <w:numPr>
        <w:ilvl w:val="0"/>
        <w:numId w:val="0"/>
      </w:numPr>
      <w:jc w:val="center"/>
      <w:outlineLvl w:val="1"/>
    </w:pPr>
    <w:rPr>
      <w:rFonts w:ascii="Garamond" w:hAnsi="Garamond"/>
      <w:b/>
    </w:rPr>
  </w:style>
  <w:style w:type="paragraph" w:styleId="Heading3">
    <w:name w:val="Heading 3"/>
    <w:basedOn w:val="Normal"/>
    <w:next w:val="Normal"/>
    <w:qFormat/>
    <w:pPr>
      <w:keepNext w:val="true"/>
      <w:numPr>
        <w:ilvl w:val="0"/>
        <w:numId w:val="0"/>
      </w:numPr>
      <w:jc w:val="center"/>
      <w:outlineLvl w:val="2"/>
    </w:pPr>
    <w:rPr>
      <w:rFonts w:ascii="Garamond" w:hAnsi="Garamond"/>
      <w:sz w:val="36"/>
    </w:rPr>
  </w:style>
  <w:style w:type="character" w:styleId="DefaultParagraphFont">
    <w:name w:val="Default Paragraph Font"/>
    <w:qFormat/>
    <w:rPr/>
  </w:style>
  <w:style w:type="character" w:styleId="LineNumber">
    <w:name w:val="Line Number"/>
    <w:basedOn w:val="DefaultParagraphFont"/>
    <w:rPr/>
  </w:style>
  <w:style w:type="character" w:styleId="Hyperlink">
    <w:name w:val="Hyperlink"/>
    <w:rPr>
      <w:color w:val="0000FF"/>
      <w:u w:val="single"/>
    </w:rPr>
  </w:style>
  <w:style w:type="character" w:styleId="SubsolCaracter">
    <w:name w:val="Subsol Caracter"/>
    <w:link w:val="Footer"/>
    <w:qFormat/>
    <w:rPr/>
  </w:style>
  <w:style w:type="paragraph" w:styleId="Heading">
    <w:name w:val="Heading"/>
    <w:basedOn w:val="Normal"/>
    <w:next w:val="BodyText"/>
    <w:qFormat/>
    <w:pPr>
      <w:keepNext w:val="true"/>
      <w:spacing w:before="240" w:after="120"/>
    </w:pPr>
    <w:rPr>
      <w:rFonts w:ascii="Liberation Sans" w:hAnsi="Liberation Sans" w:eastAsia="DejaVu Sans" w:cs="Free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FreeSans"/>
    </w:rPr>
  </w:style>
  <w:style w:type="paragraph" w:styleId="Caption">
    <w:name w:val="Caption"/>
    <w:basedOn w:val="Normal"/>
    <w:qFormat/>
    <w:pPr>
      <w:suppressLineNumbers/>
      <w:spacing w:before="120" w:after="120"/>
    </w:pPr>
    <w:rPr>
      <w:rFonts w:cs="FreeSans"/>
      <w:i/>
      <w:iCs/>
      <w:sz w:val="24"/>
      <w:szCs w:val="24"/>
    </w:rPr>
  </w:style>
  <w:style w:type="paragraph" w:styleId="Index">
    <w:name w:val="Index"/>
    <w:basedOn w:val="Normal"/>
    <w:qFormat/>
    <w:pPr>
      <w:suppressLineNumbers/>
    </w:pPr>
    <w:rPr>
      <w:rFonts w:cs="FreeSans"/>
    </w:rPr>
  </w:style>
  <w:style w:type="paragraph" w:styleId="HeaderandFooter">
    <w:name w:val="Header and Footer"/>
    <w:basedOn w:val="Normal"/>
    <w:qFormat/>
    <w:pPr/>
    <w:rPr/>
  </w:style>
  <w:style w:type="paragraph" w:styleId="Footer">
    <w:name w:val="Footer"/>
    <w:basedOn w:val="Normal"/>
    <w:link w:val="SubsolCaracter"/>
    <w:pPr>
      <w:tabs>
        <w:tab w:val="clear" w:pos="720"/>
        <w:tab w:val="center" w:pos="4536" w:leader="none"/>
        <w:tab w:val="right" w:pos="9072" w:leader="none"/>
      </w:tabs>
    </w:pPr>
    <w:rPr/>
  </w:style>
  <w:style w:type="paragraph" w:styleId="msonormalcxspmijlociu">
    <w:name w:val="msonormalcxspmijlociu"/>
    <w:basedOn w:val="Normal"/>
    <w:qFormat/>
    <w:pPr>
      <w:spacing w:before="280" w:after="280"/>
    </w:pPr>
    <w:rPr/>
  </w:style>
  <w:style w:type="paragraph" w:styleId="TableContents">
    <w:name w:val="Table Contents"/>
    <w:basedOn w:val="Normal"/>
    <w:qFormat/>
    <w:pPr>
      <w:widowControl w:val="false"/>
      <w:suppressLineNumbers/>
    </w:pPr>
    <w:rPr/>
  </w:style>
  <w:style w:type="numbering" w:styleId="NoList">
    <w:name w:val="No List"/>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20</ap:TotalTime>
  <ap:Application>LibreOffice/24.2.7.2$Linux_X86_64 LibreOffice_project/420$Build-2</ap:Application>
  <ap:AppVersion>15.0000</ap:AppVersion>
  <ap:Pages>8</ap:Pages>
  <ap:Words>4441</ap:Words>
  <ap:Characters>24725</ap:Characters>
  <ap:CharactersWithSpaces>29161</ap:CharactersWithSpaces>
  <ap:Paragraphs>115</ap:Paragraphs>
</ap:Properties>
</file>

<file path=docProps/core.xml><?xml version="1.0" encoding="utf-8"?>
<coreProperties xmlns:dc="http://purl.org/dc/elements/1.1/" xmlns:dcterms="http://purl.org/dc/terms/" xmlns:xsi="http://www.w3.org/2001/XMLSchema-instance" xmlns="http://schemas.openxmlformats.org/package/2006/metadata/core-properties">
  <dc:creator/>
  <dc:description/>
  <dc:language/>
  <lastModifiedBy/>
  <revision/>
  <dc:subject/>
  <dc:title/>
  <keywords/>
  <category/>
  <contentStatus/>
  <dc:identifier/>
  <version/>
</coreProperties>
</file>