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3D64B6" w14:paraId="6A5A0E6E" w14:textId="06CC5D63">
      <w:pPr>
        <w:rPr>
          <w:rStyle w:val="Fontdeparagrafimplicit"/>
          <w:rFonts w:ascii="Garamond" w:hAnsi="Garamond"/>
        </w:rPr>
      </w:pPr>
      <w:r>
        <w:rPr>
          <w:rStyle w:val="Fontdeparagrafimplicit"/>
          <w:rFonts w:ascii="Garamond" w:hAnsi="Garamond"/>
        </w:rPr>
        <w:t xml:space="preserve"> </w:t>
      </w:r>
    </w:p>
    <w:p w:rsidR="003D64B6" w14:paraId="1BE8879A" w14:textId="77777777">
      <w:pPr>
        <w:ind w:firstLine="709"/>
        <w:rPr>
          <w:rStyle w:val="Fontdeparagrafimplicit"/>
          <w:b/>
        </w:rPr>
      </w:pPr>
    </w:p>
    <w:p w:rsidR="003D64B6" w14:paraId="42A6D92A" w14:textId="77777777">
      <w:pPr>
        <w:ind w:firstLine="709"/>
        <w:rPr>
          <w:rStyle w:val="Fontdeparagrafimplicit"/>
          <w:b/>
        </w:rPr>
      </w:pPr>
    </w:p>
    <w:p w:rsidR="003D64B6" w14:paraId="15E5FF45" w14:textId="77777777">
      <w:pPr>
        <w:ind w:firstLine="709"/>
        <w:rPr>
          <w:rStyle w:val="Fontdeparagrafimplicit"/>
          <w:b/>
        </w:rPr>
      </w:pPr>
    </w:p>
    <w:p w:rsidR="003D64B6" w14:paraId="337EB9D5" w14:textId="2766EA22">
      <w:pPr>
        <w:ind w:firstLine="709"/>
        <w:rPr>
          <w:rStyle w:val="Fontdeparagrafimplicit"/>
          <w:b/>
        </w:rPr>
      </w:pPr>
      <w:r>
        <w:rPr>
          <w:rStyle w:val="Fontdeparagrafimplicit"/>
          <w:b/>
        </w:rPr>
        <w:t xml:space="preserve">Dosar nr. </w:t>
      </w:r>
      <w:r w:rsidR="003854F9">
        <w:rPr>
          <w:rStyle w:val="Fontdeparagrafimplicit"/>
          <w:b/>
        </w:rPr>
        <w:t>1</w:t>
      </w:r>
    </w:p>
    <w:p w:rsidR="003D64B6" w14:paraId="1FABE9F6" w14:textId="77777777">
      <w:pPr>
        <w:rPr>
          <w:rStyle w:val="Fontdeparagrafimplicit"/>
          <w:b/>
        </w:rPr>
      </w:pPr>
    </w:p>
    <w:p w:rsidR="003D64B6" w14:paraId="213B4415" w14:textId="77777777">
      <w:pPr>
        <w:ind w:firstLine="709"/>
        <w:jc w:val="center"/>
        <w:rPr>
          <w:rStyle w:val="Fontdeparagrafimplicit"/>
          <w:b/>
        </w:rPr>
      </w:pPr>
      <w:r>
        <w:rPr>
          <w:rStyle w:val="Fontdeparagrafimplicit"/>
          <w:b/>
        </w:rPr>
        <w:t>R O M Â N I A</w:t>
      </w:r>
    </w:p>
    <w:p w:rsidR="003D64B6" w14:paraId="79AF9891" w14:textId="4705FD64">
      <w:pPr>
        <w:ind w:firstLine="709"/>
        <w:jc w:val="center"/>
        <w:rPr>
          <w:rStyle w:val="Fontdeparagrafimplicit"/>
          <w:b/>
        </w:rPr>
      </w:pPr>
      <w:r>
        <w:rPr>
          <w:rStyle w:val="Fontdeparagrafimplicit"/>
          <w:b/>
        </w:rPr>
        <w:t xml:space="preserve">CURTEA DE APEL </w:t>
      </w:r>
      <w:r w:rsidR="004E2619">
        <w:rPr>
          <w:rStyle w:val="Fontdeparagrafimplicit"/>
          <w:b/>
        </w:rPr>
        <w:t xml:space="preserve">............. </w:t>
      </w:r>
    </w:p>
    <w:p w:rsidR="003D64B6" w14:paraId="607CE2B1" w14:textId="64065375">
      <w:pPr>
        <w:ind w:firstLine="709"/>
        <w:jc w:val="center"/>
        <w:rPr>
          <w:rStyle w:val="Fontdeparagrafimplicit"/>
          <w:b/>
        </w:rPr>
      </w:pPr>
      <w:r>
        <w:rPr>
          <w:rStyle w:val="Fontdeparagrafimplicit"/>
          <w:b/>
        </w:rPr>
        <w:t xml:space="preserve">SECŢIA </w:t>
      </w:r>
      <w:r w:rsidR="004E2619">
        <w:rPr>
          <w:rStyle w:val="Fontdeparagrafimplicit"/>
          <w:b/>
        </w:rPr>
        <w:t xml:space="preserve">............. </w:t>
      </w:r>
    </w:p>
    <w:p w:rsidR="003D64B6" w14:paraId="32118F6C" w14:textId="603189F3">
      <w:pPr>
        <w:ind w:firstLine="709"/>
        <w:jc w:val="center"/>
        <w:rPr>
          <w:rStyle w:val="Fontdeparagrafimplicit"/>
          <w:b/>
        </w:rPr>
      </w:pPr>
      <w:r>
        <w:rPr>
          <w:rStyle w:val="Fontdeparagrafimplicit"/>
          <w:b/>
        </w:rPr>
        <w:t xml:space="preserve">DECIZIA CIVILĂ NR. </w:t>
      </w:r>
      <w:r w:rsidR="004E2619">
        <w:rPr>
          <w:rStyle w:val="Fontdeparagrafimplicit"/>
          <w:b/>
        </w:rPr>
        <w:t>3</w:t>
      </w:r>
    </w:p>
    <w:p w:rsidR="003D64B6" w14:paraId="66B7E405" w14:textId="0E56F9A2">
      <w:pPr>
        <w:ind w:firstLine="709"/>
        <w:jc w:val="center"/>
        <w:rPr>
          <w:rStyle w:val="Fontdeparagrafimplicit"/>
          <w:b/>
        </w:rPr>
      </w:pPr>
      <w:r>
        <w:rPr>
          <w:rStyle w:val="Fontdeparagrafimplicit"/>
          <w:b/>
        </w:rPr>
        <w:t xml:space="preserve">Şedinţa publică de la </w:t>
      </w:r>
      <w:r w:rsidR="004E2619">
        <w:rPr>
          <w:rStyle w:val="Fontdeparagrafimplicit"/>
          <w:b/>
        </w:rPr>
        <w:t xml:space="preserve">............... </w:t>
      </w:r>
    </w:p>
    <w:p w:rsidR="003D64B6" w14:paraId="37B38017" w14:textId="77777777">
      <w:pPr>
        <w:ind w:firstLine="709"/>
        <w:jc w:val="center"/>
        <w:rPr>
          <w:rStyle w:val="Fontdeparagrafimplicit"/>
          <w:b/>
        </w:rPr>
      </w:pPr>
      <w:r>
        <w:rPr>
          <w:rStyle w:val="Fontdeparagrafimplicit"/>
          <w:b/>
        </w:rPr>
        <w:t>Curtea constituită din:</w:t>
      </w:r>
    </w:p>
    <w:p w:rsidR="003D64B6" w14:paraId="7C45B7E3" w14:textId="4B92BB57">
      <w:pPr>
        <w:tabs>
          <w:tab w:val="left" w:pos="0"/>
        </w:tabs>
        <w:ind w:firstLine="684"/>
        <w:jc w:val="center"/>
        <w:rPr>
          <w:rStyle w:val="Fontdeparagrafimplicit"/>
          <w:b/>
          <w:color w:val="000000"/>
        </w:rPr>
      </w:pPr>
      <w:r>
        <w:rPr>
          <w:rStyle w:val="Fontdeparagrafimplicit"/>
          <w:color w:val="000000"/>
        </w:rPr>
        <w:t>PREŞEDINTE</w:t>
      </w:r>
      <w:r>
        <w:rPr>
          <w:rStyle w:val="Fontdeparagrafimplicit"/>
          <w:b/>
          <w:color w:val="000000"/>
        </w:rPr>
        <w:t xml:space="preserve"> : </w:t>
      </w:r>
      <w:r w:rsidR="004E2619">
        <w:rPr>
          <w:rStyle w:val="Fontdeparagrafimplicit"/>
          <w:b/>
          <w:color w:val="000000"/>
        </w:rPr>
        <w:t>A0008</w:t>
      </w:r>
    </w:p>
    <w:p w:rsidR="003D64B6" w14:paraId="19AC6EE3" w14:textId="793E029C">
      <w:pPr>
        <w:tabs>
          <w:tab w:val="left" w:pos="0"/>
        </w:tabs>
        <w:ind w:firstLine="684"/>
        <w:jc w:val="center"/>
        <w:rPr>
          <w:rStyle w:val="Fontdeparagrafimplicit"/>
          <w:b/>
          <w:color w:val="000000"/>
        </w:rPr>
      </w:pPr>
      <w:r>
        <w:rPr>
          <w:rStyle w:val="Fontdeparagrafimplicit"/>
          <w:color w:val="000000"/>
        </w:rPr>
        <w:t xml:space="preserve">JUDECĂTOR </w:t>
      </w:r>
      <w:r>
        <w:rPr>
          <w:rStyle w:val="Fontdeparagrafimplicit"/>
          <w:b/>
          <w:color w:val="000000"/>
        </w:rPr>
        <w:t xml:space="preserve">:  </w:t>
      </w:r>
      <w:r w:rsidR="004E2619">
        <w:rPr>
          <w:rStyle w:val="Fontdeparagrafimplicit"/>
          <w:b/>
          <w:color w:val="000000"/>
        </w:rPr>
        <w:t xml:space="preserve">.............. </w:t>
      </w:r>
    </w:p>
    <w:p w:rsidR="003D64B6" w14:paraId="0726B1D7" w14:textId="1E14B443">
      <w:pPr>
        <w:tabs>
          <w:tab w:val="left" w:pos="0"/>
        </w:tabs>
        <w:ind w:firstLine="684"/>
        <w:jc w:val="center"/>
        <w:rPr>
          <w:rStyle w:val="Fontdeparagrafimplicit"/>
          <w:b/>
          <w:color w:val="000000"/>
        </w:rPr>
      </w:pPr>
      <w:r>
        <w:rPr>
          <w:rStyle w:val="Fontdeparagrafimplicit"/>
          <w:color w:val="000000"/>
        </w:rPr>
        <w:t>JUDECĂTOR</w:t>
      </w:r>
      <w:r>
        <w:rPr>
          <w:rStyle w:val="Fontdeparagrafimplicit"/>
          <w:b/>
          <w:color w:val="000000"/>
        </w:rPr>
        <w:t xml:space="preserve"> : </w:t>
      </w:r>
      <w:r w:rsidR="004E2619">
        <w:rPr>
          <w:rStyle w:val="Fontdeparagrafimplicit"/>
          <w:b/>
        </w:rPr>
        <w:t xml:space="preserve">.............. </w:t>
      </w:r>
    </w:p>
    <w:p w:rsidR="003D64B6" w14:paraId="7281417F" w14:textId="16B5D57B">
      <w:pPr>
        <w:tabs>
          <w:tab w:val="left" w:pos="0"/>
        </w:tabs>
        <w:ind w:firstLine="684"/>
        <w:jc w:val="center"/>
        <w:rPr>
          <w:rStyle w:val="Fontdeparagrafimplicit"/>
          <w:b/>
          <w:color w:val="000000"/>
        </w:rPr>
      </w:pPr>
      <w:r>
        <w:rPr>
          <w:rStyle w:val="Fontdeparagrafimplicit"/>
          <w:color w:val="000000"/>
        </w:rPr>
        <w:t>GREFIER</w:t>
      </w:r>
      <w:r>
        <w:rPr>
          <w:rStyle w:val="Fontdeparagrafimplicit"/>
          <w:b/>
          <w:color w:val="000000"/>
        </w:rPr>
        <w:t xml:space="preserve">: </w:t>
      </w:r>
      <w:r w:rsidR="004E2619">
        <w:rPr>
          <w:rStyle w:val="Fontdeparagrafimplicit"/>
          <w:b/>
          <w:color w:val="000000"/>
        </w:rPr>
        <w:t xml:space="preserve">.............. </w:t>
      </w:r>
    </w:p>
    <w:p w:rsidR="003D64B6" w14:paraId="63BA8E69" w14:textId="77777777">
      <w:pPr>
        <w:rPr>
          <w:rStyle w:val="Fontdeparagrafimplicit"/>
          <w:b/>
        </w:rPr>
      </w:pPr>
    </w:p>
    <w:p w:rsidR="003D64B6" w14:paraId="06F633EE" w14:textId="50EF8FDF">
      <w:pPr>
        <w:tabs>
          <w:tab w:val="left" w:pos="0"/>
          <w:tab w:val="left" w:pos="284"/>
          <w:tab w:val="left" w:pos="567"/>
          <w:tab w:val="left" w:pos="1134"/>
        </w:tabs>
        <w:ind w:firstLine="710"/>
        <w:jc w:val="both"/>
        <w:rPr>
          <w:rStyle w:val="Fontdeparagrafimplicit"/>
          <w:b/>
          <w:i/>
        </w:rPr>
      </w:pPr>
      <w:r>
        <w:t xml:space="preserve">Pe rol se află pronunțarea asupra recursului declarat de recurentul-reclamant </w:t>
      </w:r>
      <w:r w:rsidR="004E2619">
        <w:rPr>
          <w:rStyle w:val="Fontdeparagrafimplicit"/>
          <w:b/>
        </w:rPr>
        <w:t xml:space="preserve">1 </w:t>
      </w:r>
      <w:r>
        <w:t xml:space="preserve">împotriva sentinţei civile nr. </w:t>
      </w:r>
      <w:r w:rsidR="004E2619">
        <w:t>....../...........</w:t>
      </w:r>
      <w:r>
        <w:t xml:space="preserve">, pronunţate de Tribunalul </w:t>
      </w:r>
      <w:r w:rsidR="004E2619">
        <w:t xml:space="preserve">........... </w:t>
      </w:r>
      <w:r>
        <w:t xml:space="preserve">- Secţia </w:t>
      </w:r>
      <w:r w:rsidR="004E2619">
        <w:t xml:space="preserve">........... </w:t>
      </w:r>
      <w:r>
        <w:t xml:space="preserve">în dosarul nr. </w:t>
      </w:r>
      <w:r w:rsidR="004E2619">
        <w:t>3</w:t>
      </w:r>
      <w:r>
        <w:t xml:space="preserve">, în contradictoriu cu intimaţii-pârâţi </w:t>
      </w:r>
      <w:r>
        <w:rPr>
          <w:rStyle w:val="Fontdeparagrafimplicit"/>
          <w:b/>
        </w:rPr>
        <w:t xml:space="preserve">CONSILIUL LOCAL AL COMUNEI </w:t>
      </w:r>
      <w:r w:rsidR="004E2619">
        <w:rPr>
          <w:rStyle w:val="Fontdeparagrafimplicit"/>
          <w:b/>
        </w:rPr>
        <w:t>G.........</w:t>
      </w:r>
      <w:r>
        <w:rPr>
          <w:rStyle w:val="Fontdeparagrafimplicit"/>
          <w:b/>
        </w:rPr>
        <w:t xml:space="preserve">şi UNITATEA ADMINISTRATIV TERITORIALĂ COMUNA </w:t>
      </w:r>
      <w:r w:rsidR="004E2619">
        <w:rPr>
          <w:rStyle w:val="Fontdeparagrafimplicit"/>
          <w:b/>
        </w:rPr>
        <w:t xml:space="preserve">G............ </w:t>
      </w:r>
      <w:r>
        <w:rPr>
          <w:rStyle w:val="Fontdeparagrafimplicit"/>
          <w:b/>
        </w:rPr>
        <w:t>-PRIN PRIMAR</w:t>
      </w:r>
      <w:r>
        <w:t xml:space="preserve">, având ca obiect </w:t>
      </w:r>
      <w:r>
        <w:rPr>
          <w:rStyle w:val="Fontdeparagrafimplicit"/>
          <w:b/>
          <w:i/>
        </w:rPr>
        <w:t>obligaţia de a face.</w:t>
      </w:r>
    </w:p>
    <w:p w:rsidR="003D64B6" w14:paraId="2E32E683" w14:textId="0D0203D8">
      <w:pPr>
        <w:ind w:firstLine="709"/>
        <w:jc w:val="both"/>
      </w:pPr>
      <w:r>
        <w:t xml:space="preserve">Dezbaterile în cauză au avut loc în şedinţa publică din </w:t>
      </w:r>
      <w:r w:rsidR="004E2619">
        <w:t xml:space="preserve">............... </w:t>
      </w:r>
      <w:r>
        <w:t xml:space="preserve">, fiind consemnate în încheierea de şedinţă de la acea dată, care face parte integrantă din prezenta decizie când Curtea, având nevoie de timp pentru a delibera, a amânat pronunţarea pentru data de </w:t>
      </w:r>
      <w:r w:rsidR="004E2619">
        <w:t xml:space="preserve">............... </w:t>
      </w:r>
      <w:r>
        <w:t xml:space="preserve"> când, în aceeaşi compunere, a pronunţat următoarele:</w:t>
      </w:r>
    </w:p>
    <w:p w:rsidR="003D64B6" w14:paraId="71C1FA24" w14:textId="77777777">
      <w:pPr>
        <w:ind w:firstLine="709"/>
        <w:jc w:val="both"/>
      </w:pPr>
    </w:p>
    <w:p w:rsidR="003D64B6" w14:paraId="39A62D04" w14:textId="77777777">
      <w:pPr>
        <w:ind w:firstLine="709"/>
        <w:jc w:val="center"/>
        <w:rPr>
          <w:rStyle w:val="Fontdeparagrafimplicit"/>
          <w:b/>
        </w:rPr>
      </w:pPr>
      <w:r>
        <w:rPr>
          <w:rStyle w:val="Fontdeparagrafimplicit"/>
          <w:b/>
        </w:rPr>
        <w:t xml:space="preserve">CURTEA, </w:t>
      </w:r>
    </w:p>
    <w:p w:rsidR="003D64B6" w14:paraId="3719C8B2" w14:textId="77777777">
      <w:pPr>
        <w:ind w:firstLine="709"/>
        <w:jc w:val="center"/>
        <w:rPr>
          <w:rStyle w:val="Fontdeparagrafimplicit"/>
          <w:b/>
          <w:i/>
        </w:rPr>
      </w:pPr>
    </w:p>
    <w:p w:rsidR="003D64B6" w14:paraId="7335311F" w14:textId="77777777">
      <w:pPr>
        <w:numPr>
          <w:ilvl w:val="0"/>
          <w:numId w:val="1"/>
        </w:numPr>
        <w:spacing w:after="200" w:line="276" w:lineRule="auto"/>
        <w:ind w:right="-709"/>
        <w:contextualSpacing/>
        <w:jc w:val="both"/>
        <w:rPr>
          <w:rStyle w:val="Fontdeparagrafimplicit"/>
          <w:b/>
        </w:rPr>
      </w:pPr>
      <w:r>
        <w:rPr>
          <w:rStyle w:val="Fontdeparagrafimplicit"/>
          <w:b/>
        </w:rPr>
        <w:t>Circumstanţele cauzei</w:t>
      </w:r>
    </w:p>
    <w:p w:rsidR="003D64B6" w14:paraId="5AAA7802" w14:textId="77777777">
      <w:pPr>
        <w:numPr>
          <w:ilvl w:val="1"/>
          <w:numId w:val="1"/>
        </w:numPr>
        <w:spacing w:after="200" w:line="276" w:lineRule="auto"/>
        <w:ind w:right="-709"/>
        <w:contextualSpacing/>
        <w:jc w:val="both"/>
        <w:rPr>
          <w:rStyle w:val="Fontdeparagrafimplicit"/>
          <w:u w:val="single"/>
        </w:rPr>
      </w:pPr>
      <w:r>
        <w:rPr>
          <w:rStyle w:val="Fontdeparagrafimplicit"/>
          <w:u w:val="single"/>
        </w:rPr>
        <w:t>Acţiunea formulată</w:t>
      </w:r>
    </w:p>
    <w:p w:rsidR="003D64B6" w14:paraId="58CAC768" w14:textId="21C3ED07">
      <w:pPr>
        <w:ind w:firstLine="644"/>
        <w:jc w:val="both"/>
      </w:pPr>
      <w:r>
        <w:t xml:space="preserve">Prin cererea înregistrată pe rolul Tribunalului </w:t>
      </w:r>
      <w:r w:rsidR="004E2619">
        <w:t xml:space="preserve">........... </w:t>
      </w:r>
      <w:r>
        <w:t xml:space="preserve">sub nr. </w:t>
      </w:r>
      <w:r w:rsidR="001519B6">
        <w:t>2017</w:t>
      </w:r>
      <w:r w:rsidR="004E2619">
        <w:t xml:space="preserve"> </w:t>
      </w:r>
      <w:r>
        <w:t xml:space="preserve">, reclamantul </w:t>
      </w:r>
      <w:r w:rsidR="004E2619">
        <w:t xml:space="preserve">1 </w:t>
      </w:r>
      <w:r>
        <w:t xml:space="preserve">a chemat in judecată pe pârâţii Comuna </w:t>
      </w:r>
      <w:r w:rsidR="004E2619">
        <w:t>G.........</w:t>
      </w:r>
      <w:r>
        <w:t xml:space="preserve">prin Primar si Consiliul Local al Comunei </w:t>
      </w:r>
      <w:r w:rsidR="004E2619">
        <w:t xml:space="preserve">G............ </w:t>
      </w:r>
      <w:r>
        <w:t>, pentru ca,  prin hotărâre judecătorească,  să se dispună obligarea pârâţilor la prelungirea, în temeiul tacitei relocațiuni, a contractelor de închiriere pentru terenul arabil extravilan pe care îl are in exploatare agricola de peste 16 ani.</w:t>
      </w:r>
    </w:p>
    <w:p w:rsidR="003D64B6" w14:paraId="7650C316" w14:textId="77777777">
      <w:pPr>
        <w:ind w:firstLine="644"/>
        <w:jc w:val="both"/>
      </w:pPr>
    </w:p>
    <w:p w:rsidR="003D64B6" w14:paraId="135908D3" w14:textId="77777777">
      <w:pPr>
        <w:numPr>
          <w:ilvl w:val="1"/>
          <w:numId w:val="1"/>
        </w:numPr>
        <w:spacing w:after="200" w:line="276" w:lineRule="auto"/>
        <w:contextualSpacing/>
        <w:jc w:val="both"/>
        <w:rPr>
          <w:rStyle w:val="Fontdeparagrafimplicit"/>
          <w:u w:val="single"/>
        </w:rPr>
      </w:pPr>
      <w:r>
        <w:rPr>
          <w:rStyle w:val="Fontdeparagrafimplicit"/>
          <w:u w:val="single"/>
        </w:rPr>
        <w:t>Sentinţa civilă pronunţată în cauză</w:t>
      </w:r>
    </w:p>
    <w:p w:rsidR="003D64B6" w14:paraId="59B4346F" w14:textId="6DC72348">
      <w:pPr>
        <w:ind w:firstLine="644"/>
        <w:jc w:val="both"/>
      </w:pPr>
      <w:r>
        <w:t xml:space="preserve">Prin sentinţa civilă nr. </w:t>
      </w:r>
      <w:r w:rsidR="004E2619">
        <w:t>....../</w:t>
      </w:r>
      <w:r w:rsidR="001519B6">
        <w:t>2017</w:t>
      </w:r>
      <w:r>
        <w:t xml:space="preserve"> pronunţată de Tribunalul </w:t>
      </w:r>
      <w:r w:rsidR="004E2619">
        <w:t xml:space="preserve">........... </w:t>
      </w:r>
      <w:r>
        <w:t xml:space="preserve">- Secţia </w:t>
      </w:r>
      <w:r w:rsidR="004E2619">
        <w:t xml:space="preserve">........... </w:t>
      </w:r>
      <w:r>
        <w:t xml:space="preserve">în dosarul nr. </w:t>
      </w:r>
      <w:r w:rsidR="004E2619">
        <w:t>3</w:t>
      </w:r>
      <w:r>
        <w:t xml:space="preserve">, s-a respins ca neîntemeiată acţiunea reclamantului </w:t>
      </w:r>
      <w:r w:rsidR="004E2619">
        <w:t xml:space="preserve">1 </w:t>
      </w:r>
      <w:r>
        <w:t xml:space="preserve">împotriva pârâţilor Unitatea Administrativ Teritorială Comuna </w:t>
      </w:r>
      <w:r w:rsidR="004E2619">
        <w:t>G.........</w:t>
      </w:r>
      <w:r>
        <w:t xml:space="preserve">prin Primar şi Consiliul Local al Comunei </w:t>
      </w:r>
      <w:r w:rsidR="004E2619">
        <w:t xml:space="preserve">G............ </w:t>
      </w:r>
      <w:r>
        <w:t>.</w:t>
      </w:r>
    </w:p>
    <w:p w:rsidR="003D64B6" w14:paraId="714C5F7C" w14:textId="77777777">
      <w:pPr>
        <w:numPr>
          <w:ilvl w:val="0"/>
          <w:numId w:val="1"/>
        </w:numPr>
        <w:spacing w:after="200" w:line="276" w:lineRule="auto"/>
        <w:ind w:right="-709"/>
        <w:contextualSpacing/>
        <w:jc w:val="both"/>
        <w:rPr>
          <w:rStyle w:val="Fontdeparagrafimplicit"/>
          <w:b/>
        </w:rPr>
      </w:pPr>
      <w:r>
        <w:rPr>
          <w:rStyle w:val="Fontdeparagrafimplicit"/>
          <w:b/>
        </w:rPr>
        <w:t>Calea de atac formulată</w:t>
      </w:r>
    </w:p>
    <w:p w:rsidR="003D64B6" w14:paraId="19F81E19" w14:textId="0B777E68">
      <w:pPr>
        <w:ind w:firstLine="644"/>
        <w:jc w:val="both"/>
      </w:pPr>
      <w:r>
        <w:t xml:space="preserve">Împotriva acestei sentinţe a formulat recurs, la data de </w:t>
      </w:r>
      <w:r w:rsidR="003854F9">
        <w:t xml:space="preserve">        </w:t>
      </w:r>
      <w:r>
        <w:t xml:space="preserve">, recurentul-reclamant </w:t>
      </w:r>
      <w:r w:rsidR="004E2619">
        <w:t xml:space="preserve">1 </w:t>
      </w:r>
      <w:r>
        <w:t xml:space="preserve">. </w:t>
      </w:r>
    </w:p>
    <w:p w:rsidR="003D64B6" w14:paraId="5EA756E8" w14:textId="0455B65C">
      <w:pPr>
        <w:ind w:firstLine="644"/>
        <w:jc w:val="both"/>
      </w:pPr>
      <w:r>
        <w:t xml:space="preserve">În motivarea cererii de recurs s-a arătat că, instanţa, interpretând greşit actul juridic dedus judecăţii, a schimbat natura ori înţelesul lămurit şi vădit neîndoielnic al acestuia prin faptul că încă de la prima înfăţişare a recurentului-reclamant în faţa completului de judecată fiind întrebat de către doamna preşedinte, a specificat faptul că doreşte reînnoirea contractului de arendare pentru cele patru hectare de teren agricol pe care le avea închiriate de la Primăria </w:t>
      </w:r>
      <w:r w:rsidR="004E2619">
        <w:t xml:space="preserve">G............ </w:t>
      </w:r>
      <w:r>
        <w:t xml:space="preserve">, contract pentru care el nu a primit nicio notificare scrisă şi nici verbală prin care să i se aducă la cunoştinţă refuzul de a perfecta un nou contract de arendă din partea Primăriei </w:t>
      </w:r>
      <w:r w:rsidR="004E2619">
        <w:t>G.........</w:t>
      </w:r>
      <w:r>
        <w:t>cu un an înainte de expirarea contractului.</w:t>
      </w:r>
    </w:p>
    <w:p w:rsidR="003D64B6" w14:paraId="54BDFA77" w14:textId="77777777">
      <w:pPr>
        <w:ind w:firstLine="644"/>
        <w:jc w:val="both"/>
      </w:pPr>
      <w:r>
        <w:t xml:space="preserve">Potrivit art. 1848 alin. 1 din Noul Cod Civil, contractul de arendare se reînnoieşte de drept, pentru aceeaşi durată, dacă niciuna dintre părţi nu a comunicat cocontractantului, în </w:t>
      </w:r>
      <w:r>
        <w:t xml:space="preserve">scris, refuzul său cu cel puţin 6 luni înainte de expirarea termenului, iar în cazul terenurilor cu destinaţie agricolă, cu cel puţin un an. </w:t>
      </w:r>
    </w:p>
    <w:p w:rsidR="003D64B6" w14:paraId="173E8E8F" w14:textId="77777777">
      <w:pPr>
        <w:ind w:firstLine="644"/>
        <w:jc w:val="both"/>
      </w:pPr>
      <w:r>
        <w:t>Consideră recurentul-reclamant că, în cazul de faţă, procesul trebuia judecat sub incidenţa acestui articol 1848, ci nu sub incidenţa articolului 1810 din Noul Cod civil care prevede relocaţiunea tacită, chiar dacă avocatul a cerut asta, probabil, dintr-o eroare profesională.</w:t>
      </w:r>
    </w:p>
    <w:p w:rsidR="003D64B6" w14:paraId="55EFC9EE" w14:textId="77777777">
      <w:pPr>
        <w:ind w:firstLine="644"/>
        <w:jc w:val="both"/>
      </w:pPr>
      <w:r>
        <w:t>În continuare, recurentul menţionează aspecte privind situaţia de fapt din cauză.</w:t>
      </w:r>
    </w:p>
    <w:p w:rsidR="003D64B6" w14:paraId="6B22A253" w14:textId="77777777">
      <w:pPr>
        <w:ind w:firstLine="644"/>
        <w:jc w:val="both"/>
      </w:pPr>
      <w:r>
        <w:t>În drept, nu au fost invocate dispoziţii legale.</w:t>
      </w:r>
    </w:p>
    <w:p w:rsidR="003D64B6" w14:paraId="2ABA3574" w14:textId="77777777">
      <w:pPr>
        <w:ind w:firstLine="644"/>
        <w:jc w:val="both"/>
      </w:pPr>
      <w:r>
        <w:t>Nu a fost solicitată administrarea unor probatorii noi.</w:t>
      </w:r>
    </w:p>
    <w:p w:rsidR="003D64B6" w14:paraId="44A15AD0" w14:textId="77777777">
      <w:pPr>
        <w:ind w:firstLine="644"/>
      </w:pPr>
    </w:p>
    <w:p w:rsidR="003D64B6" w14:paraId="7D25B5D3" w14:textId="77777777">
      <w:pPr>
        <w:numPr>
          <w:ilvl w:val="0"/>
          <w:numId w:val="1"/>
        </w:numPr>
        <w:spacing w:after="200" w:line="276" w:lineRule="auto"/>
        <w:ind w:right="-709"/>
        <w:contextualSpacing/>
        <w:jc w:val="both"/>
        <w:rPr>
          <w:rStyle w:val="Fontdeparagrafimplicit"/>
          <w:b/>
        </w:rPr>
      </w:pPr>
      <w:r>
        <w:rPr>
          <w:rStyle w:val="Fontdeparagrafimplicit"/>
          <w:b/>
        </w:rPr>
        <w:t>Poziţia procesuală a părţii adverse</w:t>
      </w:r>
    </w:p>
    <w:p w:rsidR="003D64B6" w14:paraId="2ABD5ECF" w14:textId="6CA9048E">
      <w:pPr>
        <w:ind w:firstLine="284"/>
        <w:jc w:val="both"/>
      </w:pPr>
      <w:r>
        <w:t xml:space="preserve">La data de </w:t>
      </w:r>
      <w:r w:rsidR="003854F9">
        <w:t xml:space="preserve">       </w:t>
      </w:r>
      <w:r>
        <w:t xml:space="preserve">, intimatul-pârât Comuna </w:t>
      </w:r>
      <w:r w:rsidR="004E2619">
        <w:t xml:space="preserve">G............ </w:t>
      </w:r>
      <w:r>
        <w:t xml:space="preserve">, judeţul </w:t>
      </w:r>
      <w:r w:rsidR="004E2619">
        <w:t xml:space="preserve">................. </w:t>
      </w:r>
      <w:r>
        <w:t>, prin Primar, a depus întâmpinare, solicitând respingerea recursului şi menţinerea ca legală şi temeinică a hotărârii atacate.</w:t>
      </w:r>
    </w:p>
    <w:p w:rsidR="003D64B6" w14:paraId="3DEAE81E" w14:textId="7DD85AC1">
      <w:pPr>
        <w:ind w:firstLine="284"/>
        <w:jc w:val="both"/>
      </w:pPr>
      <w:r>
        <w:t xml:space="preserve">Așa cum s-a arătat şi în faţa tribunalului </w:t>
      </w:r>
      <w:r w:rsidR="004E2619">
        <w:t xml:space="preserve">................. </w:t>
      </w:r>
      <w:r>
        <w:t xml:space="preserve">, reclamantului i s-a adus la cunoştinţă că termenul de închiriere a expirat şi că urmează ca aceste terenuri sa fie scoase la licitaţie, fapt care s-a si realizat în prezent. Între conducerea Comunei </w:t>
      </w:r>
      <w:r w:rsidR="004E2619">
        <w:t>G.........</w:t>
      </w:r>
      <w:r>
        <w:t>si reclamant au avut loc mai multe discuţii prin care i s-a explicat ca intimatul-pârât nu poate face o prelungire a contractului exclusiv pentru dumnealui, întrucât s-ar încălca legea.</w:t>
      </w:r>
    </w:p>
    <w:p w:rsidR="003D64B6" w14:paraId="77D79439" w14:textId="77777777">
      <w:pPr>
        <w:ind w:firstLine="284"/>
        <w:jc w:val="both"/>
      </w:pPr>
      <w:r>
        <w:t>Potrivit art. 36 alin. 5, lit. b din Legea 2015/2001 a administraţiei publice locale, în exercitarea atribuţiilor prevăzute la alin. (2) lit. c), consiliul local:</w:t>
      </w:r>
    </w:p>
    <w:p w:rsidR="003D64B6" w14:paraId="245E39EE" w14:textId="77777777">
      <w:pPr>
        <w:ind w:firstLine="284"/>
        <w:jc w:val="both"/>
      </w:pPr>
      <w:r>
        <w:t>b) hotărăşte vânzarea, concesionarea sau închirierea bunurilor proprietate privată a comunei, oraşului sau municipiului, după caz, în condiţiile legii.</w:t>
      </w:r>
    </w:p>
    <w:p w:rsidR="003D64B6" w14:paraId="4DE1369A" w14:textId="77777777">
      <w:pPr>
        <w:ind w:firstLine="284"/>
        <w:jc w:val="both"/>
      </w:pPr>
      <w:r>
        <w:t>Potrivit art. ART. 123 din aceeaşi lege</w:t>
      </w:r>
    </w:p>
    <w:p w:rsidR="003D64B6" w14:paraId="53F8954D" w14:textId="77777777">
      <w:pPr>
        <w:ind w:firstLine="284"/>
        <w:jc w:val="both"/>
      </w:pPr>
      <w:r>
        <w:t>(1)</w:t>
      </w:r>
      <w:r>
        <w:tab/>
        <w:t>Consiliile locale şi consiliile judeţene hotărăsc ca bunurile ce aparţin domeniului public sau privat, de interes local sau judeţean, după caz, să fie date în administrarea regiilor autonome şi instituţiilor publice, să fie concesionate ori să fie închiriate. Acestea hotărăsc cu privire la cumpărarea unor bunuri ori la vânzarea bunurilor ce fac parte din domeniul privat, de interes local sau judeţean, în condiţiile legii.</w:t>
      </w:r>
    </w:p>
    <w:p w:rsidR="003D64B6" w14:paraId="02847F45" w14:textId="77777777">
      <w:pPr>
        <w:ind w:firstLine="284"/>
        <w:jc w:val="both"/>
      </w:pPr>
      <w:r>
        <w:t>(2)</w:t>
      </w:r>
      <w:r>
        <w:tab/>
        <w:t>Vânzarea, concesionarea şi închirierea se fac prin licitaţie publică, organizată în condiţiile legii.</w:t>
      </w:r>
    </w:p>
    <w:p w:rsidR="003D64B6" w14:paraId="30133ACE" w14:textId="77777777">
      <w:pPr>
        <w:ind w:firstLine="284"/>
        <w:jc w:val="both"/>
      </w:pPr>
      <w:r>
        <w:t>A arătat intimatul-pârât că până în prezent a fost nevoie sa se facă o inventariere a terenurilor in aceasta situație, să se adopte hotărârea consiliului local cu privire la terenuri si la preţul chiriei, după care sa se demareze procedurile de licitaţie, licitaţie care deja a avut loc.</w:t>
      </w:r>
    </w:p>
    <w:p w:rsidR="003D64B6" w14:paraId="6CC3C847" w14:textId="77777777">
      <w:pPr>
        <w:ind w:firstLine="284"/>
        <w:jc w:val="both"/>
      </w:pPr>
      <w:r>
        <w:t>În ceea ce priveşte acţiunea reclamantului cat si recursul promovat de către acesta, apreciază intimatul-pârât că nu sunt întrunite condiţiile tacitei relocațiuni, întrucât el a fost explicit în sensul ca nu doreşte prelungirea contractului in afara procedurilor legale indicate mai sus si, in acest sens, s-ar împotrivi prin neîncasarea chiriei.</w:t>
      </w:r>
    </w:p>
    <w:p w:rsidR="003D64B6" w14:paraId="2DE73BAA" w14:textId="77777777">
      <w:pPr>
        <w:ind w:firstLine="284"/>
        <w:jc w:val="both"/>
      </w:pPr>
      <w:r>
        <w:t>Potrivit art. 1.810 din Codul civil, dacă după împlinirea termenului, locatarul continuă să deţină bunul şi să îşi îndeplinească obligaţiile fără vreo împotrivire din partea locatorului, se consideră încheiată o nouă locaţiune, în condiţiile celei vechi, inclusiv în privinţa garanţiilor.</w:t>
      </w:r>
    </w:p>
    <w:p w:rsidR="003D64B6" w14:paraId="1AE8A394" w14:textId="77777777">
      <w:pPr>
        <w:ind w:firstLine="284"/>
        <w:jc w:val="both"/>
      </w:pPr>
      <w:r>
        <w:t>Fata de motivele de recurs, apreciază intimatul-pârât ca acestea sunt nefondate, raportat la cele invocate mai sus, iar hotărârea instanţei de fond este temeinică si legală.</w:t>
      </w:r>
    </w:p>
    <w:p w:rsidR="003D64B6" w14:paraId="69D82ECB" w14:textId="77777777">
      <w:pPr>
        <w:ind w:firstLine="284"/>
        <w:jc w:val="both"/>
      </w:pPr>
      <w:r>
        <w:t>Faţă de cele expuse a solicitat intimatul-pârât respingerea recursului.</w:t>
      </w:r>
    </w:p>
    <w:p w:rsidR="003D64B6" w14:paraId="25880D45" w14:textId="77777777">
      <w:pPr>
        <w:ind w:firstLine="284"/>
        <w:jc w:val="both"/>
      </w:pPr>
      <w:r>
        <w:t>În drept, intimatul-pârât a invocat dispoziţiile art. 20 din Legea 554/2004, art. 205b si următoarele din NCPC.</w:t>
      </w:r>
    </w:p>
    <w:p w:rsidR="003D64B6" w14:paraId="6F71DCA4" w14:textId="77777777">
      <w:pPr>
        <w:ind w:firstLine="284"/>
        <w:jc w:val="both"/>
        <w:rPr>
          <w:rStyle w:val="Fontdeparagrafimplicit"/>
          <w:rFonts w:ascii="Calibri" w:hAnsi="Calibri"/>
          <w:b/>
          <w:sz w:val="22"/>
        </w:rPr>
      </w:pPr>
    </w:p>
    <w:p w:rsidR="003D64B6" w14:paraId="7E2A71D7" w14:textId="77777777">
      <w:pPr>
        <w:numPr>
          <w:ilvl w:val="0"/>
          <w:numId w:val="1"/>
        </w:numPr>
        <w:spacing w:after="200" w:line="276" w:lineRule="auto"/>
        <w:ind w:right="-709"/>
        <w:contextualSpacing/>
        <w:jc w:val="both"/>
        <w:rPr>
          <w:rStyle w:val="Fontdeparagrafimplicit"/>
          <w:b/>
        </w:rPr>
      </w:pPr>
      <w:r>
        <w:rPr>
          <w:rStyle w:val="Fontdeparagrafimplicit"/>
          <w:b/>
        </w:rPr>
        <w:t>Alte aspecte procesuale</w:t>
      </w:r>
    </w:p>
    <w:p w:rsidR="003D64B6" w14:paraId="3D5E4575" w14:textId="77777777">
      <w:pPr>
        <w:ind w:firstLine="284"/>
        <w:jc w:val="both"/>
      </w:pPr>
      <w:r>
        <w:t>În soluţionarea căii de atac în privinţa căreia a fost legal învestită, Curtea nu a administrat probe noi.</w:t>
      </w:r>
    </w:p>
    <w:p w:rsidR="003D64B6" w14:paraId="649B792F" w14:textId="77777777">
      <w:pPr>
        <w:numPr>
          <w:ilvl w:val="0"/>
          <w:numId w:val="1"/>
        </w:numPr>
        <w:spacing w:after="200" w:line="276" w:lineRule="auto"/>
        <w:ind w:right="-709"/>
        <w:contextualSpacing/>
        <w:jc w:val="both"/>
        <w:rPr>
          <w:rStyle w:val="Fontdeparagrafimplicit"/>
          <w:b/>
        </w:rPr>
      </w:pPr>
      <w:r>
        <w:rPr>
          <w:rStyle w:val="Fontdeparagrafimplicit"/>
          <w:b/>
        </w:rPr>
        <w:t>Analiza instanţei de recurs</w:t>
      </w:r>
    </w:p>
    <w:p w:rsidR="003D64B6" w14:paraId="3B84FE8E" w14:textId="77777777">
      <w:pPr>
        <w:ind w:firstLine="708"/>
        <w:jc w:val="both"/>
      </w:pPr>
      <w:r>
        <w:t>În conformitate cu dispoziţiile art. 488 alin. (1) din Codul de procedură civilă, „[c]asarea unor hotărâri se poate cere numai pentru următoarele motive de nelegalitate: (…) 8. când hotărârea a fost dată cu încălcarea sau aplicarea greşită a normelor de drept material.”</w:t>
      </w:r>
    </w:p>
    <w:p w:rsidR="003D64B6" w14:paraId="78265870" w14:textId="77777777">
      <w:pPr>
        <w:ind w:firstLine="708"/>
        <w:jc w:val="both"/>
      </w:pPr>
      <w:r>
        <w:t xml:space="preserve">În dosarul care face obiectul cauzei, din perspectiva controlului judiciar care verifică hotărârea instanţei de drept pentru a decide dacă aceasta respectă principiile de drept aplicabile, Curtea arată, cu titlu preliminar, faptul că recurentul poate critica o hotărâre judecătorească exclusiv pentru motive de nelegalitate, iar nu şi de netemeinicie. </w:t>
      </w:r>
    </w:p>
    <w:p w:rsidR="003D64B6" w14:paraId="721BAC22" w14:textId="77777777">
      <w:pPr>
        <w:ind w:firstLine="708"/>
        <w:jc w:val="both"/>
      </w:pPr>
      <w:r>
        <w:t>Observând criticile dezvoltate de partea recurentă – reclamantă în conţinutul cererii de recurs, Curtea constată că doar o parte dintre acestea se încadrează în motivele de casare prevăzute de art. 488 alin. (1) pct. 8 din Codul de procedură civilă. Restul alegaţiilor recurentului-reclamant privesc situaţia de fapt, care a fost stabilită cu putere de lucru judecat de prima instanţă.</w:t>
      </w:r>
    </w:p>
    <w:p w:rsidR="003D64B6" w14:paraId="2AA7807A" w14:textId="77777777">
      <w:pPr>
        <w:ind w:firstLine="708"/>
        <w:jc w:val="both"/>
      </w:pPr>
      <w:r>
        <w:t>Prin urmare, Curtea va examina numai acele aspecte care aduc în discuţie pretinsa încălcare sau aplicare greşită a normelor de drept material, mai precis faptul că reclamantul ar fi invocat aplicarea dispoziţiilor art. 1848 din Codul civil, însă instanţa de fond s-ar fi pronunţat pe aplicarea prevederilor art. 1810 din acelaşi act normativ.</w:t>
      </w:r>
    </w:p>
    <w:p w:rsidR="003D64B6" w14:paraId="76F87FFD" w14:textId="77777777">
      <w:pPr>
        <w:ind w:firstLine="708"/>
        <w:jc w:val="both"/>
      </w:pPr>
      <w:r>
        <w:t>Conform dispoziţiilor art. 1848 alin. (1) din Codul civil, cu denumirea marginală „Reînnoirea arendării”, [c]ontractul de arendare se reînnoieşte de drept, pentru aceeaşi durată, dacă niciuna dintre părţi nu a comunicat cocontractantului, în scris, refuzul său cu cel puţin 6 luni înainte de expirarea termenului, iar în cazul terenurilor cu destinaţie agricolă, cu cel puţin un an”.</w:t>
      </w:r>
    </w:p>
    <w:p w:rsidR="003D64B6" w14:paraId="36530B8A" w14:textId="77777777">
      <w:pPr>
        <w:ind w:firstLine="708"/>
        <w:jc w:val="both"/>
      </w:pPr>
      <w:r>
        <w:t>Art. 1810 alin. (1) din Codul civil face parte din Capitolul V, Secţiunea 1 din acest act normativ, are denumirea marginală „Tacita relocaţiune” şi prevede că, „[d]acă, după împlinirea termenului, locatarul continuă să deţină bunul şi să îşi îndeplinească obligaţiile fără vreo împotrivire din partea locatorului, se consideră încheiată o nouă locaţiune, în condiţiile celei vechi, inclusiv în privinţa garanţiilor”.</w:t>
      </w:r>
    </w:p>
    <w:p w:rsidR="003D64B6" w14:paraId="2AEE8613" w14:textId="77777777">
      <w:pPr>
        <w:ind w:firstLine="708"/>
        <w:jc w:val="both"/>
      </w:pPr>
      <w:r>
        <w:t>Curtea observă că cererea de chemare în judecată este întemeiată pe dispoziţiile art. 1810 din Codul civil, iar instanţa de fond a analizat în mod corect situaţia de fapt prin raportare la tacita relocaţiune.</w:t>
      </w:r>
    </w:p>
    <w:p w:rsidR="003D64B6" w14:paraId="1B9A51AF" w14:textId="77777777">
      <w:pPr>
        <w:ind w:firstLine="708"/>
        <w:jc w:val="both"/>
      </w:pPr>
      <w:r>
        <w:t>Cât priveşte greşeala apărătorului de a indica un alt temei juridic decât cel indicat de către reclamant, trebuie să se arate, pe de o parte, că legalitatea sentinţei pronunţate în aceste condiţii nu este afectată de a o atare împrejurare. Art. 22 alin. (6) din Codul de procedură civilă prevede că judecătorul trebuie să se pronunţe asupra a tot ceea ce s-a cerut, fără însă a depăşi limitele învestirii, în afară de cazurile în care legea ar dispune altfel. Or, judecătoria fusese învestită cu cererea având ca obiect constatarea tacitei relocaţiuni a contractului de arendă. În schimb, dacă ar fi considerat că nu a fost reprezentat cu diligenţă de către apărător, recurentul-reclamant ar fi avut la îndemână posibilitatea de a atrage răspunderea contractuală a apărătorului în temeiul art. 39 alin. (1) din Legea nr. 51/1995 pentru organizarea şi exercitarea profesiei de avocat, art. 134 alin. (1) şi (2) din Statutul profesiei de avocat, conform prevederilor contractuale.</w:t>
      </w:r>
    </w:p>
    <w:p w:rsidR="003D64B6" w14:paraId="0A3C64B2" w14:textId="77777777">
      <w:pPr>
        <w:ind w:firstLine="708"/>
        <w:jc w:val="both"/>
      </w:pPr>
      <w:r>
        <w:t>Pe de altă parte, conform art. 478 alin. (3) din Codul de procedură civilă, „[î]n apel nu se poate schimba calitatea părţilor, cauza sau obiectul cererii de chemare în judecată şi nici nu se pot formula pretenţii noi”.   Potrivit art. 494 din Codul de procedură civilă, „[d]ispoziţiile de procedură privind judecata în primă instanţă şi în apel se aplică şi în instanţa de recurs, în măsura în care nu sunt potrivnice celor cuprinse în prezenta secţiune”. În consecinţă, nu se poate schimba cauza cererii de chemare în judecată direct în recurs, indiferent de motivul invocat.</w:t>
      </w:r>
    </w:p>
    <w:p w:rsidR="003D64B6" w14:paraId="49EFA408" w14:textId="77777777">
      <w:pPr>
        <w:ind w:right="-11" w:firstLine="708"/>
        <w:jc w:val="both"/>
      </w:pPr>
      <w:r>
        <w:t>În consecinţă, faţă de ansamblul considerentelor expuse anterior, ţinând seama de criticile aduse sentinţei recurate şi în limitele acestora, de dispoziţiile art. 488 alin. (1) pct. 8 Codul de procedură civilă, de dispoziţiile art. 489 alin. (3) din Codul de procedură civilă şi de faptul că nu există niciun motiv de ordine publică care să poată fi invocat din oficiu, se va respinge recursul ca nefondat, în conformitate cu dispoziţiile art. 496 din Codul de procedură civilă.</w:t>
      </w:r>
    </w:p>
    <w:p w:rsidR="003D64B6" w14:paraId="0974968F" w14:textId="77777777">
      <w:pPr>
        <w:ind w:firstLine="709"/>
        <w:jc w:val="both"/>
      </w:pPr>
    </w:p>
    <w:p w:rsidR="003D64B6" w14:paraId="58C0A2A5" w14:textId="77777777">
      <w:pPr>
        <w:ind w:firstLine="709"/>
        <w:jc w:val="both"/>
      </w:pPr>
    </w:p>
    <w:p w:rsidR="003D64B6" w14:paraId="712C84B5" w14:textId="77777777">
      <w:pPr>
        <w:ind w:firstLine="709"/>
        <w:jc w:val="center"/>
        <w:rPr>
          <w:rStyle w:val="Fontdeparagrafimplicit"/>
          <w:b/>
        </w:rPr>
      </w:pPr>
      <w:r>
        <w:rPr>
          <w:rStyle w:val="Fontdeparagrafimplicit"/>
          <w:b/>
        </w:rPr>
        <w:t>PENTRU ACESTE MOTIVE,</w:t>
      </w:r>
    </w:p>
    <w:p w:rsidR="003D64B6" w14:paraId="53EBFBC1" w14:textId="77777777">
      <w:pPr>
        <w:ind w:firstLine="709"/>
        <w:jc w:val="center"/>
        <w:rPr>
          <w:rStyle w:val="Fontdeparagrafimplicit"/>
          <w:b/>
        </w:rPr>
      </w:pPr>
      <w:r>
        <w:rPr>
          <w:rStyle w:val="Fontdeparagrafimplicit"/>
          <w:b/>
        </w:rPr>
        <w:t>ÎN NUMELE LEGII</w:t>
      </w:r>
    </w:p>
    <w:p w:rsidR="003D64B6" w14:paraId="1F25F973" w14:textId="77777777">
      <w:pPr>
        <w:ind w:firstLine="709"/>
        <w:jc w:val="center"/>
      </w:pPr>
      <w:r>
        <w:rPr>
          <w:rStyle w:val="Fontdeparagrafimplicit"/>
          <w:b/>
        </w:rPr>
        <w:t>DECIDE</w:t>
      </w:r>
      <w:r>
        <w:t>:</w:t>
      </w:r>
    </w:p>
    <w:p w:rsidR="003D64B6" w14:paraId="0EDF7E8E" w14:textId="77777777"/>
    <w:p w:rsidR="003D64B6" w14:paraId="2F06D5E5" w14:textId="4D59C790">
      <w:pPr>
        <w:ind w:firstLine="708"/>
        <w:jc w:val="both"/>
      </w:pPr>
      <w:r>
        <w:t xml:space="preserve">Respinge recursul declarat de recurentul-reclamant </w:t>
      </w:r>
      <w:r w:rsidR="004E2619">
        <w:rPr>
          <w:rStyle w:val="Fontdeparagrafimplicit"/>
          <w:b/>
        </w:rPr>
        <w:t xml:space="preserve">1 </w:t>
      </w:r>
      <w:r>
        <w:rPr>
          <w:rStyle w:val="Fontdeparagrafimplicit"/>
          <w:b/>
        </w:rPr>
        <w:t xml:space="preserve">, </w:t>
      </w:r>
      <w:r>
        <w:t xml:space="preserve">cu domiciliul în loc. </w:t>
      </w:r>
      <w:r w:rsidR="004E2619">
        <w:t xml:space="preserve">G............ </w:t>
      </w:r>
      <w:r>
        <w:t xml:space="preserve">, str. </w:t>
      </w:r>
      <w:r w:rsidR="004E2619">
        <w:t>........</w:t>
      </w:r>
      <w:r>
        <w:t xml:space="preserve">, nr. </w:t>
      </w:r>
      <w:r w:rsidR="004E2619">
        <w:t>........</w:t>
      </w:r>
      <w:r>
        <w:t xml:space="preserve">, Judeţ </w:t>
      </w:r>
      <w:r w:rsidR="004E2619">
        <w:t xml:space="preserve">................. </w:t>
      </w:r>
      <w:r>
        <w:t xml:space="preserve">, împotriva sentinţei civile nr. </w:t>
      </w:r>
      <w:r w:rsidR="004E2619">
        <w:t>....../...........</w:t>
      </w:r>
      <w:r>
        <w:t xml:space="preserve">, pronunţate de Tribunalul </w:t>
      </w:r>
      <w:r w:rsidR="004E2619">
        <w:t xml:space="preserve">........... </w:t>
      </w:r>
      <w:r>
        <w:t xml:space="preserve">- Secţia </w:t>
      </w:r>
      <w:r w:rsidR="004E2619">
        <w:t xml:space="preserve">........... </w:t>
      </w:r>
      <w:r>
        <w:t xml:space="preserve">în dosarul nr. </w:t>
      </w:r>
      <w:r w:rsidR="004E2619">
        <w:t>3</w:t>
      </w:r>
      <w:r>
        <w:t xml:space="preserve">, în contradictoriu cu intimaţii-pârâţi </w:t>
      </w:r>
      <w:r>
        <w:rPr>
          <w:rStyle w:val="Fontdeparagrafimplicit"/>
          <w:b/>
        </w:rPr>
        <w:t xml:space="preserve">CONSILIUL LOCAL AL COMUNEI </w:t>
      </w:r>
      <w:r w:rsidR="004E2619">
        <w:rPr>
          <w:rStyle w:val="Fontdeparagrafimplicit"/>
          <w:b/>
        </w:rPr>
        <w:t>G.........</w:t>
      </w:r>
      <w:r>
        <w:rPr>
          <w:rStyle w:val="Fontdeparagrafimplicit"/>
          <w:b/>
        </w:rPr>
        <w:t xml:space="preserve">şi UNITATEA ADMINISTRATIV TERITORIALĂ COMUNA </w:t>
      </w:r>
      <w:r w:rsidR="004E2619">
        <w:rPr>
          <w:rStyle w:val="Fontdeparagrafimplicit"/>
          <w:b/>
        </w:rPr>
        <w:t xml:space="preserve">G............ </w:t>
      </w:r>
      <w:r>
        <w:rPr>
          <w:rStyle w:val="Fontdeparagrafimplicit"/>
          <w:b/>
        </w:rPr>
        <w:t xml:space="preserve">-PRIN PRIMAR, </w:t>
      </w:r>
      <w:r>
        <w:t xml:space="preserve">ambii cu sediul în loc. </w:t>
      </w:r>
      <w:r w:rsidR="004E2619">
        <w:t xml:space="preserve">G............ </w:t>
      </w:r>
      <w:r>
        <w:t xml:space="preserve">, str. </w:t>
      </w:r>
      <w:r w:rsidR="004E2619">
        <w:t>.........</w:t>
      </w:r>
      <w:r>
        <w:t xml:space="preserve">, nr. </w:t>
      </w:r>
      <w:r w:rsidR="004E2619">
        <w:t>......</w:t>
      </w:r>
      <w:r>
        <w:t xml:space="preserve">, Judeţ </w:t>
      </w:r>
      <w:r w:rsidR="004E2619">
        <w:t xml:space="preserve">................. </w:t>
      </w:r>
      <w:r>
        <w:t>,</w:t>
      </w:r>
      <w:r>
        <w:rPr>
          <w:rStyle w:val="Fontdeparagrafimplicit"/>
          <w:b/>
        </w:rPr>
        <w:t xml:space="preserve"> </w:t>
      </w:r>
      <w:r>
        <w:t>ca nefondat.</w:t>
      </w:r>
    </w:p>
    <w:p w:rsidR="003D64B6" w14:paraId="34487088" w14:textId="77777777">
      <w:pPr>
        <w:ind w:firstLine="708"/>
        <w:jc w:val="both"/>
      </w:pPr>
      <w:r>
        <w:t>Definitivă.</w:t>
      </w:r>
    </w:p>
    <w:p w:rsidR="003D64B6" w14:paraId="5A11F00A" w14:textId="7B8B428F">
      <w:pPr>
        <w:ind w:firstLine="684"/>
        <w:jc w:val="both"/>
      </w:pPr>
      <w:r>
        <w:t xml:space="preserve">Pronunţată astăzi, </w:t>
      </w:r>
      <w:r w:rsidR="004E2619">
        <w:t xml:space="preserve">............... </w:t>
      </w:r>
      <w:r>
        <w:t>, prin punerea soluţiei la dispoziţia părţilor prin mijlocirea grefei.</w:t>
      </w:r>
    </w:p>
    <w:p w:rsidR="003D64B6" w14:paraId="7D329947" w14:textId="77777777">
      <w:pPr>
        <w:jc w:val="both"/>
      </w:pPr>
    </w:p>
    <w:p w:rsidR="003D64B6" w14:paraId="192F3D58" w14:textId="77777777">
      <w:pPr>
        <w:tabs>
          <w:tab w:val="left" w:pos="0"/>
        </w:tabs>
        <w:ind w:firstLine="684"/>
      </w:pPr>
      <w:r>
        <w:rPr>
          <w:rStyle w:val="Fontdeparagrafimplicit"/>
          <w:b/>
        </w:rPr>
        <w:t>PREŞEDINTE,                             JUDECĂTOR,                           JUDECĂTOR</w:t>
      </w:r>
      <w:r>
        <w:t>,</w:t>
      </w:r>
    </w:p>
    <w:p w:rsidR="003D64B6" w14:paraId="445118E2" w14:textId="08170007">
      <w:pPr>
        <w:tabs>
          <w:tab w:val="left" w:pos="0"/>
        </w:tabs>
      </w:pPr>
      <w:r>
        <w:t xml:space="preserve">        </w:t>
      </w:r>
      <w:r>
        <w:tab/>
      </w:r>
      <w:r w:rsidR="004E2619">
        <w:t>A0008</w:t>
      </w:r>
      <w:r>
        <w:t xml:space="preserve">    </w:t>
      </w:r>
      <w:r>
        <w:tab/>
        <w:t xml:space="preserve">       </w:t>
      </w:r>
      <w:r w:rsidR="004E2619">
        <w:tab/>
      </w:r>
      <w:r w:rsidR="004E2619">
        <w:tab/>
      </w:r>
      <w:r w:rsidR="004E2619">
        <w:tab/>
      </w:r>
      <w:r>
        <w:t xml:space="preserve"> </w:t>
      </w:r>
      <w:r w:rsidR="004E2619">
        <w:t xml:space="preserve">.............. </w:t>
      </w:r>
      <w:r>
        <w:t xml:space="preserve">     </w:t>
      </w:r>
      <w:r>
        <w:tab/>
        <w:t xml:space="preserve">          </w:t>
      </w:r>
      <w:r w:rsidR="004E2619">
        <w:tab/>
      </w:r>
      <w:r w:rsidR="004E2619">
        <w:tab/>
        <w:t xml:space="preserve">      ............ </w:t>
      </w:r>
    </w:p>
    <w:p w:rsidR="003D64B6" w14:paraId="76346D9D" w14:textId="77777777">
      <w:pPr>
        <w:tabs>
          <w:tab w:val="left" w:pos="0"/>
        </w:tabs>
        <w:ind w:firstLine="684"/>
        <w:jc w:val="center"/>
      </w:pPr>
    </w:p>
    <w:p w:rsidR="003D64B6" w14:paraId="545E263B" w14:textId="77777777">
      <w:pPr>
        <w:tabs>
          <w:tab w:val="left" w:pos="0"/>
        </w:tabs>
        <w:ind w:firstLine="684"/>
        <w:jc w:val="center"/>
      </w:pPr>
    </w:p>
    <w:p w:rsidR="003D64B6" w14:paraId="3AED8B90" w14:textId="77777777">
      <w:pPr>
        <w:tabs>
          <w:tab w:val="left" w:pos="0"/>
        </w:tabs>
        <w:ind w:firstLine="684"/>
        <w:jc w:val="center"/>
      </w:pPr>
    </w:p>
    <w:p w:rsidR="003D64B6" w14:paraId="460FDCE4" w14:textId="77777777">
      <w:pPr>
        <w:tabs>
          <w:tab w:val="left" w:pos="0"/>
        </w:tabs>
        <w:ind w:firstLine="684"/>
        <w:rPr>
          <w:rStyle w:val="Fontdeparagrafimplicit"/>
          <w:b/>
        </w:rPr>
      </w:pPr>
      <w:r>
        <w:t xml:space="preserve">  </w:t>
      </w:r>
      <w:r>
        <w:tab/>
      </w:r>
      <w:r>
        <w:tab/>
      </w:r>
      <w:r>
        <w:tab/>
      </w:r>
      <w:r>
        <w:tab/>
        <w:t xml:space="preserve">           </w:t>
      </w:r>
      <w:r>
        <w:tab/>
      </w:r>
      <w:r>
        <w:tab/>
      </w:r>
      <w:r>
        <w:tab/>
      </w:r>
      <w:r>
        <w:tab/>
      </w:r>
      <w:r>
        <w:tab/>
      </w:r>
      <w:r>
        <w:rPr>
          <w:rStyle w:val="Fontdeparagrafimplicit"/>
          <w:b/>
        </w:rPr>
        <w:t>GREFIER,</w:t>
      </w:r>
    </w:p>
    <w:p w:rsidR="003D64B6" w14:paraId="6999FEE7" w14:textId="0F7DA144">
      <w:pPr>
        <w:tabs>
          <w:tab w:val="left" w:pos="0"/>
        </w:tabs>
        <w:ind w:firstLine="684"/>
      </w:pPr>
      <w:r>
        <w:tab/>
      </w:r>
      <w:r>
        <w:tab/>
      </w:r>
      <w:r>
        <w:tab/>
      </w:r>
      <w:r>
        <w:tab/>
      </w:r>
      <w:r>
        <w:tab/>
        <w:t xml:space="preserve">       </w:t>
      </w:r>
      <w:r>
        <w:tab/>
      </w:r>
      <w:r>
        <w:tab/>
      </w:r>
      <w:r>
        <w:tab/>
      </w:r>
      <w:r>
        <w:tab/>
        <w:t xml:space="preserve">     </w:t>
      </w:r>
      <w:r w:rsidR="004E2619">
        <w:t xml:space="preserve">     </w:t>
      </w:r>
      <w:r>
        <w:t xml:space="preserve">    </w:t>
      </w:r>
      <w:r w:rsidR="004E2619">
        <w:t xml:space="preserve">.............. </w:t>
      </w:r>
    </w:p>
    <w:p w:rsidR="003D64B6" w14:paraId="53D4C938" w14:textId="77777777">
      <w:pPr>
        <w:ind w:firstLine="709"/>
        <w:jc w:val="both"/>
      </w:pPr>
    </w:p>
    <w:p w:rsidR="003D64B6" w14:paraId="2538595D" w14:textId="77777777">
      <w:pPr>
        <w:ind w:firstLine="709"/>
        <w:jc w:val="both"/>
      </w:pPr>
    </w:p>
    <w:p w:rsidR="003D64B6" w14:paraId="7DC90D76" w14:textId="77777777">
      <w:pPr>
        <w:ind w:firstLine="709"/>
        <w:jc w:val="both"/>
      </w:pPr>
    </w:p>
    <w:p w:rsidR="003D64B6" w14:paraId="25166F6A" w14:textId="77777777">
      <w:pPr>
        <w:ind w:firstLine="709"/>
        <w:jc w:val="both"/>
      </w:pPr>
    </w:p>
    <w:p w:rsidR="003D64B6" w14:paraId="68BCFF9C" w14:textId="77777777">
      <w:pPr>
        <w:ind w:firstLine="709"/>
        <w:jc w:val="both"/>
      </w:pPr>
    </w:p>
    <w:p w:rsidR="003D64B6" w14:paraId="35A6F62A" w14:textId="77777777">
      <w:pPr>
        <w:ind w:firstLine="709"/>
        <w:jc w:val="both"/>
      </w:pPr>
    </w:p>
    <w:p w:rsidR="003D64B6" w14:paraId="613E71B6" w14:textId="77777777">
      <w:pPr>
        <w:jc w:val="both"/>
      </w:pPr>
    </w:p>
    <w:p w:rsidR="003D64B6" w14:paraId="339D45C2" w14:textId="41081B7C">
      <w:pPr>
        <w:ind w:firstLine="709"/>
        <w:jc w:val="both"/>
        <w:rPr>
          <w:rStyle w:val="Fontdeparagrafimplicit"/>
          <w:sz w:val="16"/>
        </w:rPr>
      </w:pPr>
      <w:r>
        <w:rPr>
          <w:rStyle w:val="Fontdeparagrafimplicit"/>
          <w:sz w:val="16"/>
        </w:rPr>
        <w:t xml:space="preserve">Tribunalul </w:t>
      </w:r>
      <w:r w:rsidR="004E2619">
        <w:rPr>
          <w:rStyle w:val="Fontdeparagrafimplicit"/>
          <w:sz w:val="16"/>
        </w:rPr>
        <w:t xml:space="preserve">........... </w:t>
      </w:r>
      <w:r>
        <w:rPr>
          <w:rStyle w:val="Fontdeparagrafimplicit"/>
          <w:sz w:val="16"/>
        </w:rPr>
        <w:t xml:space="preserve">- Secţia </w:t>
      </w:r>
      <w:r w:rsidR="004E2619">
        <w:rPr>
          <w:rStyle w:val="Fontdeparagrafimplicit"/>
          <w:sz w:val="16"/>
        </w:rPr>
        <w:t xml:space="preserve">........... </w:t>
      </w:r>
    </w:p>
    <w:p w:rsidR="003D64B6" w14:paraId="3389F9DF" w14:textId="3299E186">
      <w:pPr>
        <w:ind w:firstLine="709"/>
        <w:jc w:val="both"/>
        <w:rPr>
          <w:rStyle w:val="Fontdeparagrafimplicit"/>
          <w:sz w:val="16"/>
        </w:rPr>
      </w:pPr>
      <w:r>
        <w:rPr>
          <w:rStyle w:val="Fontdeparagrafimplicit"/>
          <w:sz w:val="16"/>
        </w:rPr>
        <w:t xml:space="preserve">Jud. fond – </w:t>
      </w:r>
      <w:r w:rsidR="004E2619">
        <w:rPr>
          <w:rStyle w:val="Fontdeparagrafimplicit"/>
          <w:sz w:val="16"/>
        </w:rPr>
        <w:t>................</w:t>
      </w:r>
    </w:p>
    <w:p w:rsidR="003D64B6" w14:paraId="4F43A40C" w14:textId="0493EA7F">
      <w:pPr>
        <w:ind w:firstLine="709"/>
        <w:jc w:val="both"/>
        <w:rPr>
          <w:rStyle w:val="Fontdeparagrafimplicit"/>
          <w:sz w:val="16"/>
        </w:rPr>
      </w:pPr>
      <w:r>
        <w:rPr>
          <w:rStyle w:val="Fontdeparagrafimplicit"/>
          <w:sz w:val="16"/>
        </w:rPr>
        <w:t xml:space="preserve">Red. </w:t>
      </w:r>
      <w:r w:rsidR="003854F9">
        <w:rPr>
          <w:rStyle w:val="Fontdeparagrafimplicit"/>
          <w:sz w:val="16"/>
        </w:rPr>
        <w:t>A0008</w:t>
      </w:r>
      <w:r>
        <w:rPr>
          <w:rStyle w:val="Fontdeparagrafimplicit"/>
          <w:sz w:val="16"/>
        </w:rPr>
        <w:t>/ ex.4/</w:t>
      </w:r>
      <w:r w:rsidR="004E2619">
        <w:rPr>
          <w:rStyle w:val="Fontdeparagrafimplicit"/>
          <w:sz w:val="16"/>
        </w:rPr>
        <w:t>...............</w:t>
      </w:r>
    </w:p>
    <w:p w:rsidR="003D64B6" w14:paraId="70F93780" w14:textId="77777777">
      <w:pPr>
        <w:ind w:firstLine="709"/>
        <w:jc w:val="both"/>
        <w:rPr>
          <w:rStyle w:val="Fontdeparagrafimplicit"/>
          <w:sz w:val="16"/>
        </w:rPr>
      </w:pPr>
    </w:p>
    <w:p w:rsidR="003D64B6" w14:paraId="23D30CDB" w14:textId="77777777">
      <w:pPr>
        <w:ind w:firstLine="709"/>
        <w:jc w:val="both"/>
        <w:rPr>
          <w:rStyle w:val="Fontdeparagrafimplicit"/>
        </w:rPr>
      </w:pPr>
    </w:p>
    <w:p w:rsidR="003D64B6" w14:paraId="72A10200" w14:textId="77777777">
      <w:pPr>
        <w:ind w:firstLine="709"/>
        <w:jc w:val="both"/>
        <w:rPr>
          <w:rStyle w:val="Fontdeparagrafimplicit"/>
        </w:rPr>
      </w:pPr>
    </w:p>
    <w:p w:rsidR="003D64B6" w14:paraId="25D6AF0A" w14:textId="77777777">
      <w:pPr>
        <w:ind w:firstLine="709"/>
        <w:jc w:val="both"/>
        <w:rPr>
          <w:rStyle w:val="Fontdeparagrafimplicit"/>
        </w:rPr>
      </w:pPr>
    </w:p>
    <w:p w:rsidR="003D64B6" w14:paraId="3805E1FC" w14:textId="77777777">
      <w:pPr>
        <w:spacing w:after="200" w:line="276" w:lineRule="auto"/>
        <w:rPr>
          <w:rStyle w:val="Fontdeparagrafimplicit"/>
          <w:rFonts w:ascii="Calibri" w:hAnsi="Calibri"/>
          <w:sz w:val="22"/>
        </w:rPr>
      </w:pPr>
    </w:p>
    <w:p w:rsidR="003D64B6" w14:paraId="54BB41BC" w14:textId="77777777">
      <w:pPr>
        <w:rPr>
          <w:rStyle w:val="Fontdeparagrafimplicit"/>
          <w:rFonts w:ascii="Garamond" w:hAnsi="Garamond"/>
          <w:sz w:val="16"/>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9A65FFC"/>
    <w:multiLevelType w:val="multilevel"/>
    <w:tmpl w:val="19D0C4D6"/>
    <w:lvl w:ilvl="0">
      <w:start w:val="1"/>
      <w:numFmt w:val="decimal"/>
      <w:lvlText w:val="%1."/>
      <w:lvlJc w:val="left"/>
      <w:pPr>
        <w:ind w:left="644" w:hanging="360"/>
      </w:pPr>
    </w:lvl>
    <w:lvl w:ilvl="1">
      <w:start w:val="1"/>
      <w:numFmt w:val="decimal"/>
      <w:isLgl/>
      <w:lvlText w:val="%1.%2."/>
      <w:lvlJc w:val="left"/>
      <w:pPr>
        <w:ind w:left="1004" w:hanging="360"/>
      </w:p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num w:numId="1" w16cid:durableId="1936282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4B6"/>
    <w:rsid w:val="001519B6"/>
    <w:rsid w:val="001F63D7"/>
    <w:rsid w:val="003854F9"/>
    <w:rsid w:val="003D64B6"/>
    <w:rsid w:val="004E2619"/>
    <w:rsid w:val="00DE0627"/>
    <w:rsid w:val="00EB7E22"/>
    <w:rsid w:val="00FB2DBC"/>
  </w:rsids>
  <w:docVars>
    <w:docVar w:name="url" w:val="http://10.1.48.53:80/ecris_cdms/document_upload.aspx?id_document=200000002954327&amp;id_departament=5&amp;id_sesiune=2633967&amp;id_user=658&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6FD2261F"/>
  <w15:docId w15:val="{F15976AA-0E9C-4CB9-95BB-539297AEB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16</ap:TotalTime>
  <ap:Pages>1</ap:Pages>
  <ap:Words>1786</ap:Words>
  <ap:Characters>10183</ap:Characters>
  <ap:Application>Microsoft Office Word</ap:Application>
  <ap:DocSecurity>0</ap:DocSecurity>
  <ap:Lines>84</ap:Lines>
  <ap:Paragraphs>23</ap:Paragraphs>
  <ap:ScaleCrop>false</ap:ScaleCrop>
  <ap:CharactersWithSpaces>11946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