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687A6" w14:textId="77777777" w:rsidR="001629A6" w:rsidRDefault="00230318">
      <w:pPr>
        <w:jc w:val="center"/>
        <w:rPr>
          <w:rStyle w:val="Fontdeparagrafimplicit1"/>
          <w:b/>
          <w:sz w:val="28"/>
        </w:rPr>
      </w:pPr>
      <w:r>
        <w:rPr>
          <w:rStyle w:val="Fontdeparagrafimplicit1"/>
          <w:b/>
          <w:sz w:val="28"/>
        </w:rPr>
        <w:t>R O M A N I A</w:t>
      </w:r>
    </w:p>
    <w:p w14:paraId="44BEB350" w14:textId="2A32E061" w:rsidR="001629A6" w:rsidRDefault="00230318">
      <w:pPr>
        <w:rPr>
          <w:rStyle w:val="Fontdeparagrafimplicit1"/>
          <w:b/>
          <w:sz w:val="28"/>
        </w:rPr>
      </w:pPr>
      <w:r>
        <w:rPr>
          <w:rStyle w:val="Fontdeparagrafimplicit1"/>
          <w:b/>
          <w:sz w:val="28"/>
        </w:rPr>
        <w:t>DOSAR NR. ....</w:t>
      </w:r>
      <w:r w:rsidR="0097315D">
        <w:rPr>
          <w:rStyle w:val="Fontdeparagrafimplicit1"/>
          <w:b/>
          <w:sz w:val="28"/>
        </w:rPr>
        <w:t>18</w:t>
      </w:r>
    </w:p>
    <w:p w14:paraId="62F1CCE4" w14:textId="77777777" w:rsidR="001629A6" w:rsidRDefault="001629A6">
      <w:pPr>
        <w:rPr>
          <w:rStyle w:val="Fontdeparagrafimplicit1"/>
          <w:sz w:val="28"/>
        </w:rPr>
      </w:pPr>
    </w:p>
    <w:p w14:paraId="714E35F2" w14:textId="3D64580C" w:rsidR="001629A6" w:rsidRDefault="00230318">
      <w:pPr>
        <w:jc w:val="center"/>
        <w:rPr>
          <w:rStyle w:val="Fontdeparagrafimplicit1"/>
          <w:sz w:val="28"/>
        </w:rPr>
      </w:pPr>
      <w:r>
        <w:rPr>
          <w:rStyle w:val="Fontdeparagrafimplicit1"/>
          <w:sz w:val="28"/>
        </w:rPr>
        <w:t xml:space="preserve">CURTEA DE APEL </w:t>
      </w:r>
      <w:r w:rsidR="00682F43">
        <w:rPr>
          <w:rStyle w:val="Fontdeparagrafimplicit1"/>
          <w:sz w:val="28"/>
        </w:rPr>
        <w:t>X</w:t>
      </w:r>
    </w:p>
    <w:p w14:paraId="60786D10" w14:textId="4B77D943" w:rsidR="001629A6" w:rsidRDefault="00230318">
      <w:pPr>
        <w:jc w:val="center"/>
        <w:rPr>
          <w:rStyle w:val="Fontdeparagrafimplicit1"/>
          <w:sz w:val="28"/>
        </w:rPr>
      </w:pPr>
      <w:r>
        <w:rPr>
          <w:rStyle w:val="Fontdeparagrafimplicit1"/>
          <w:sz w:val="28"/>
        </w:rPr>
        <w:t xml:space="preserve">SECŢIA </w:t>
      </w:r>
      <w:r w:rsidR="00682F43">
        <w:rPr>
          <w:rStyle w:val="Fontdeparagrafimplicit1"/>
          <w:sz w:val="28"/>
        </w:rPr>
        <w:t>....</w:t>
      </w:r>
      <w:r>
        <w:rPr>
          <w:rStyle w:val="Fontdeparagrafimplicit1"/>
          <w:sz w:val="28"/>
        </w:rPr>
        <w:t xml:space="preserve"> CONTENCIOS ADMINISTRATIV ŞI FISCAL</w:t>
      </w:r>
    </w:p>
    <w:p w14:paraId="06FCEB3D" w14:textId="77777777" w:rsidR="001629A6" w:rsidRDefault="001629A6">
      <w:pPr>
        <w:jc w:val="center"/>
        <w:rPr>
          <w:rStyle w:val="Fontdeparagrafimplicit1"/>
          <w:sz w:val="28"/>
        </w:rPr>
      </w:pPr>
    </w:p>
    <w:p w14:paraId="2FD93045" w14:textId="7F06F472" w:rsidR="001629A6" w:rsidRDefault="00230318">
      <w:pPr>
        <w:jc w:val="center"/>
        <w:rPr>
          <w:rStyle w:val="Fontdeparagrafimplicit1"/>
          <w:b/>
          <w:sz w:val="28"/>
        </w:rPr>
      </w:pPr>
      <w:r>
        <w:rPr>
          <w:rStyle w:val="Fontdeparagrafimplicit1"/>
          <w:b/>
          <w:sz w:val="28"/>
        </w:rPr>
        <w:t>DECIZIA CIVILĂ NR.</w:t>
      </w:r>
      <w:r w:rsidR="00682F43">
        <w:rPr>
          <w:rStyle w:val="Fontdeparagrafimplicit1"/>
          <w:b/>
          <w:sz w:val="28"/>
        </w:rPr>
        <w:t>....</w:t>
      </w:r>
    </w:p>
    <w:p w14:paraId="3A1D87E1" w14:textId="6E3F5D72" w:rsidR="001629A6" w:rsidRDefault="00230318">
      <w:pPr>
        <w:jc w:val="center"/>
        <w:rPr>
          <w:rStyle w:val="Fontdeparagrafimplicit1"/>
          <w:sz w:val="28"/>
        </w:rPr>
      </w:pPr>
      <w:r>
        <w:rPr>
          <w:rStyle w:val="Fontdeparagrafimplicit1"/>
          <w:sz w:val="28"/>
        </w:rPr>
        <w:t xml:space="preserve">Şedinţa publică din data de  </w:t>
      </w:r>
      <w:r w:rsidR="00682F43">
        <w:rPr>
          <w:rStyle w:val="Fontdeparagrafimplicit1"/>
          <w:sz w:val="28"/>
        </w:rPr>
        <w:t>....</w:t>
      </w:r>
    </w:p>
    <w:p w14:paraId="19F2A127" w14:textId="77777777" w:rsidR="001629A6" w:rsidRDefault="00230318">
      <w:pPr>
        <w:jc w:val="center"/>
        <w:rPr>
          <w:rStyle w:val="Fontdeparagrafimplicit1"/>
          <w:sz w:val="28"/>
        </w:rPr>
      </w:pPr>
      <w:r>
        <w:rPr>
          <w:rStyle w:val="Fontdeparagrafimplicit1"/>
          <w:sz w:val="28"/>
        </w:rPr>
        <w:t>Curtea constituită din:</w:t>
      </w:r>
    </w:p>
    <w:p w14:paraId="0C1D038D" w14:textId="718CD60D" w:rsidR="001629A6" w:rsidRDefault="00230318">
      <w:pPr>
        <w:ind w:left="708" w:firstLine="708"/>
        <w:rPr>
          <w:rStyle w:val="Fontdeparagrafimplicit1"/>
          <w:sz w:val="28"/>
        </w:rPr>
      </w:pPr>
      <w:r>
        <w:rPr>
          <w:rStyle w:val="Fontdeparagrafimplicit1"/>
          <w:sz w:val="28"/>
        </w:rPr>
        <w:t xml:space="preserve">  PREŞEDINTE          </w:t>
      </w:r>
      <w:r w:rsidR="00682F43">
        <w:rPr>
          <w:rStyle w:val="Fontdeparagrafimplicit1"/>
          <w:sz w:val="28"/>
        </w:rPr>
        <w:t>....</w:t>
      </w:r>
    </w:p>
    <w:p w14:paraId="501DFC68" w14:textId="44E7594A" w:rsidR="001629A6" w:rsidRDefault="00230318">
      <w:pPr>
        <w:ind w:left="1416"/>
        <w:rPr>
          <w:rStyle w:val="Fontdeparagrafimplicit1"/>
          <w:sz w:val="28"/>
        </w:rPr>
      </w:pPr>
      <w:r>
        <w:rPr>
          <w:rStyle w:val="Fontdeparagrafimplicit1"/>
          <w:sz w:val="28"/>
        </w:rPr>
        <w:t xml:space="preserve">   JUDECĂTOR        </w:t>
      </w:r>
      <w:r w:rsidR="00AC2C11">
        <w:rPr>
          <w:rStyle w:val="Fontdeparagrafimplicit1"/>
          <w:sz w:val="28"/>
        </w:rPr>
        <w:t>A0017</w:t>
      </w:r>
    </w:p>
    <w:p w14:paraId="296906DC" w14:textId="46E3384C" w:rsidR="001629A6" w:rsidRDefault="00230318">
      <w:pPr>
        <w:ind w:left="708" w:firstLine="708"/>
        <w:rPr>
          <w:rStyle w:val="Fontdeparagrafimplicit1"/>
          <w:sz w:val="28"/>
        </w:rPr>
      </w:pPr>
      <w:r>
        <w:rPr>
          <w:rStyle w:val="Fontdeparagrafimplicit1"/>
          <w:sz w:val="28"/>
        </w:rPr>
        <w:t xml:space="preserve">  JUDECĂTOR          </w:t>
      </w:r>
      <w:r w:rsidR="00682F43">
        <w:rPr>
          <w:rStyle w:val="Fontdeparagrafimplicit1"/>
          <w:sz w:val="28"/>
        </w:rPr>
        <w:t>.....</w:t>
      </w:r>
      <w:r>
        <w:rPr>
          <w:rStyle w:val="Fontdeparagrafimplicit1"/>
          <w:sz w:val="28"/>
        </w:rPr>
        <w:t xml:space="preserve">        </w:t>
      </w:r>
    </w:p>
    <w:p w14:paraId="3D390109" w14:textId="04CB2D06" w:rsidR="001629A6" w:rsidRDefault="00230318">
      <w:pPr>
        <w:rPr>
          <w:rStyle w:val="Fontdeparagrafimplicit1"/>
          <w:sz w:val="28"/>
        </w:rPr>
      </w:pPr>
      <w:r>
        <w:rPr>
          <w:rStyle w:val="Fontdeparagrafimplicit1"/>
          <w:sz w:val="28"/>
        </w:rPr>
        <w:t xml:space="preserve">                            GREFIER           </w:t>
      </w:r>
      <w:r w:rsidR="00682F43">
        <w:rPr>
          <w:rStyle w:val="Fontdeparagrafimplicit1"/>
          <w:sz w:val="28"/>
        </w:rPr>
        <w:t>.....</w:t>
      </w:r>
    </w:p>
    <w:p w14:paraId="4EE98B50" w14:textId="77777777" w:rsidR="001629A6" w:rsidRDefault="00230318">
      <w:pPr>
        <w:jc w:val="center"/>
        <w:rPr>
          <w:rStyle w:val="Fontdeparagrafimplicit1"/>
          <w:sz w:val="28"/>
        </w:rPr>
      </w:pPr>
      <w:r>
        <w:rPr>
          <w:rStyle w:val="Fontdeparagrafimplicit1"/>
          <w:sz w:val="28"/>
        </w:rPr>
        <w:t xml:space="preserve">           </w:t>
      </w:r>
    </w:p>
    <w:p w14:paraId="70925C1E" w14:textId="7F3DCCEB" w:rsidR="001629A6" w:rsidRDefault="00230318">
      <w:pPr>
        <w:jc w:val="both"/>
        <w:rPr>
          <w:rStyle w:val="Fontdeparagrafimplicit1"/>
          <w:b/>
          <w:color w:val="0B3857"/>
          <w:sz w:val="28"/>
        </w:rPr>
      </w:pPr>
      <w:r>
        <w:rPr>
          <w:rStyle w:val="Fontdeparagrafimplicit1"/>
          <w:sz w:val="28"/>
        </w:rPr>
        <w:tab/>
        <w:t xml:space="preserve">Pe rol soluţionarea cererii de revizuire formulată de revizuenţii </w:t>
      </w:r>
      <w:r w:rsidR="00682F43">
        <w:rPr>
          <w:rStyle w:val="Fontdeparagrafimplicit1"/>
          <w:b/>
          <w:sz w:val="28"/>
        </w:rPr>
        <w:t>NC</w:t>
      </w:r>
      <w:r>
        <w:rPr>
          <w:rStyle w:val="Fontdeparagrafimplicit1"/>
          <w:b/>
          <w:sz w:val="28"/>
        </w:rPr>
        <w:t xml:space="preserve"> şi </w:t>
      </w:r>
      <w:r w:rsidR="00682F43">
        <w:rPr>
          <w:rStyle w:val="Fontdeparagrafimplicit1"/>
          <w:b/>
          <w:sz w:val="28"/>
        </w:rPr>
        <w:t>DM</w:t>
      </w:r>
      <w:r>
        <w:rPr>
          <w:rStyle w:val="Fontdeparagrafimplicit1"/>
          <w:sz w:val="28"/>
        </w:rPr>
        <w:t xml:space="preserve"> împotriva deciziei civile nr. </w:t>
      </w:r>
      <w:r w:rsidR="00682F43">
        <w:rPr>
          <w:rStyle w:val="Fontdeparagrafimplicit1"/>
          <w:sz w:val="28"/>
        </w:rPr>
        <w:t>....</w:t>
      </w:r>
      <w:r>
        <w:rPr>
          <w:rStyle w:val="Fontdeparagrafimplicit1"/>
          <w:sz w:val="28"/>
        </w:rPr>
        <w:t xml:space="preserve">2013 pronunţată de Curtea de Apel </w:t>
      </w:r>
      <w:r w:rsidR="00682F43">
        <w:rPr>
          <w:rStyle w:val="Fontdeparagrafimplicit1"/>
          <w:sz w:val="28"/>
        </w:rPr>
        <w:t>X</w:t>
      </w:r>
      <w:r>
        <w:rPr>
          <w:rStyle w:val="Fontdeparagrafimplicit1"/>
          <w:sz w:val="28"/>
        </w:rPr>
        <w:t xml:space="preserve"> – Secţia </w:t>
      </w:r>
      <w:r w:rsidR="00682F43">
        <w:rPr>
          <w:rStyle w:val="Fontdeparagrafimplicit1"/>
          <w:sz w:val="28"/>
        </w:rPr>
        <w:t>....</w:t>
      </w:r>
      <w:r>
        <w:rPr>
          <w:rStyle w:val="Fontdeparagrafimplicit1"/>
          <w:sz w:val="28"/>
        </w:rPr>
        <w:t xml:space="preserve"> Contencios Administrativ şi Fiscal, în dosarul nr. </w:t>
      </w:r>
      <w:r w:rsidR="00682F43">
        <w:rPr>
          <w:rStyle w:val="Fontdeparagrafimplicit1"/>
          <w:sz w:val="28"/>
        </w:rPr>
        <w:t>....</w:t>
      </w:r>
      <w:r>
        <w:rPr>
          <w:rStyle w:val="Fontdeparagrafimplicit1"/>
          <w:sz w:val="28"/>
        </w:rPr>
        <w:t xml:space="preserve">, în contradictoriu cu intimatul </w:t>
      </w:r>
      <w:r>
        <w:rPr>
          <w:rStyle w:val="Fontdeparagrafimplicit1"/>
          <w:b/>
          <w:sz w:val="28"/>
        </w:rPr>
        <w:t>COMISIA NATIONALA PENTRU COMPENSAREA IMOBILELOR.</w:t>
      </w:r>
    </w:p>
    <w:p w14:paraId="39E4E5DB" w14:textId="10679B44" w:rsidR="001629A6" w:rsidRDefault="00230318">
      <w:pPr>
        <w:ind w:firstLine="708"/>
        <w:jc w:val="both"/>
        <w:rPr>
          <w:rStyle w:val="Fontdeparagrafimplicit1"/>
          <w:sz w:val="28"/>
        </w:rPr>
      </w:pPr>
      <w:r>
        <w:rPr>
          <w:rStyle w:val="Fontdeparagrafimplicit1"/>
          <w:sz w:val="28"/>
        </w:rPr>
        <w:t xml:space="preserve">La apelul nominal făcut în şedinţă publică au răspuns revizuenţii </w:t>
      </w:r>
      <w:r w:rsidR="00682F43">
        <w:rPr>
          <w:rStyle w:val="Fontdeparagrafimplicit1"/>
          <w:sz w:val="28"/>
        </w:rPr>
        <w:t>NC</w:t>
      </w:r>
      <w:r>
        <w:rPr>
          <w:rStyle w:val="Fontdeparagrafimplicit1"/>
          <w:sz w:val="28"/>
        </w:rPr>
        <w:t xml:space="preserve">, personal şi asistată de avocat </w:t>
      </w:r>
      <w:r w:rsidR="00682F43">
        <w:rPr>
          <w:rStyle w:val="Fontdeparagrafimplicit1"/>
          <w:sz w:val="28"/>
        </w:rPr>
        <w:t>...</w:t>
      </w:r>
      <w:r>
        <w:rPr>
          <w:rStyle w:val="Fontdeparagrafimplicit1"/>
          <w:sz w:val="28"/>
        </w:rPr>
        <w:t xml:space="preserve"> ce depune la dosar delegaţia de substituire dată de avocatul titular </w:t>
      </w:r>
      <w:r w:rsidR="00682F43">
        <w:rPr>
          <w:rStyle w:val="Fontdeparagrafimplicit1"/>
          <w:sz w:val="28"/>
        </w:rPr>
        <w:t>.....</w:t>
      </w:r>
      <w:r>
        <w:rPr>
          <w:rStyle w:val="Fontdeparagrafimplicit1"/>
          <w:sz w:val="28"/>
        </w:rPr>
        <w:t xml:space="preserve">, cu împuternicire avocaţială la fila 10 dosar şi </w:t>
      </w:r>
      <w:r w:rsidR="00682F43">
        <w:rPr>
          <w:rStyle w:val="Fontdeparagrafimplicit1"/>
          <w:sz w:val="28"/>
        </w:rPr>
        <w:t>DM</w:t>
      </w:r>
      <w:r>
        <w:rPr>
          <w:rStyle w:val="Fontdeparagrafimplicit1"/>
          <w:sz w:val="28"/>
        </w:rPr>
        <w:t xml:space="preserve">, </w:t>
      </w:r>
      <w:r w:rsidR="00682F43">
        <w:rPr>
          <w:rStyle w:val="Fontdeparagrafimplicit1"/>
          <w:sz w:val="28"/>
        </w:rPr>
        <w:t>.....</w:t>
      </w:r>
      <w:r>
        <w:rPr>
          <w:rStyle w:val="Fontdeparagrafimplicit1"/>
          <w:sz w:val="28"/>
        </w:rPr>
        <w:t xml:space="preserve"> ce depune la dosar delegaţia de substituire dată de avocatul titular </w:t>
      </w:r>
      <w:r w:rsidR="00682F43">
        <w:rPr>
          <w:rStyle w:val="Fontdeparagrafimplicit1"/>
          <w:sz w:val="28"/>
        </w:rPr>
        <w:t>.....</w:t>
      </w:r>
      <w:r>
        <w:rPr>
          <w:rStyle w:val="Fontdeparagrafimplicit1"/>
          <w:sz w:val="28"/>
        </w:rPr>
        <w:t>, cu împuternicire avocaţială la fila 10 dosar, lipsind intimata Comisia Naţională pentru Compensarea Imobilelor.</w:t>
      </w:r>
    </w:p>
    <w:p w14:paraId="1D52DF3F" w14:textId="77777777" w:rsidR="001629A6" w:rsidRDefault="00230318">
      <w:pPr>
        <w:ind w:firstLine="708"/>
        <w:jc w:val="both"/>
        <w:rPr>
          <w:rStyle w:val="Fontdeparagrafimplicit1"/>
          <w:sz w:val="28"/>
        </w:rPr>
      </w:pPr>
      <w:r>
        <w:rPr>
          <w:rStyle w:val="Fontdeparagrafimplicit1"/>
          <w:sz w:val="28"/>
        </w:rPr>
        <w:t xml:space="preserve">Procedura de citare este legal îndeplinită. </w:t>
      </w:r>
    </w:p>
    <w:p w14:paraId="0F4B41D1" w14:textId="77777777" w:rsidR="001629A6" w:rsidRDefault="00230318">
      <w:pPr>
        <w:ind w:firstLine="708"/>
        <w:jc w:val="both"/>
        <w:rPr>
          <w:rStyle w:val="Fontdeparagrafimplicit1"/>
          <w:sz w:val="28"/>
        </w:rPr>
      </w:pPr>
      <w:r>
        <w:rPr>
          <w:rStyle w:val="Fontdeparagrafimplicit1"/>
          <w:sz w:val="28"/>
        </w:rPr>
        <w:t>S-a făcut referatul cauzei de către grefierul de şedinţă, care învederează că prin serviciul „registratură” la data de 06.11.2014 revizuentele au depus concluzii scrise  iar la data de 07.11.2014 intimata Comisia Naţională pentru Compensarea Imobilelor a depus note de şedinţă.</w:t>
      </w:r>
    </w:p>
    <w:p w14:paraId="55289ECE" w14:textId="09941558" w:rsidR="001629A6" w:rsidRDefault="00230318">
      <w:pPr>
        <w:ind w:firstLine="708"/>
        <w:jc w:val="both"/>
        <w:rPr>
          <w:rStyle w:val="Fontdeparagrafimplicit1"/>
          <w:sz w:val="28"/>
        </w:rPr>
      </w:pPr>
      <w:r>
        <w:rPr>
          <w:rStyle w:val="Fontdeparagrafimplicit1"/>
          <w:sz w:val="28"/>
        </w:rPr>
        <w:t>Curtea acordă cuvântul pe cererea de conexare a cauzei de faţă cu cauza ce face obiectul dosarului nr.</w:t>
      </w:r>
      <w:r w:rsidR="00682F43">
        <w:rPr>
          <w:rStyle w:val="Fontdeparagrafimplicit1"/>
          <w:sz w:val="28"/>
        </w:rPr>
        <w:t>....</w:t>
      </w:r>
      <w:r>
        <w:rPr>
          <w:rStyle w:val="Fontdeparagrafimplicit1"/>
          <w:sz w:val="28"/>
        </w:rPr>
        <w:t xml:space="preserve">aflat pe rolul acestei instanţe. </w:t>
      </w:r>
    </w:p>
    <w:p w14:paraId="1261214D" w14:textId="77777777" w:rsidR="001629A6" w:rsidRDefault="00230318">
      <w:pPr>
        <w:ind w:firstLine="708"/>
        <w:jc w:val="both"/>
        <w:rPr>
          <w:rStyle w:val="Fontdeparagrafimplicit1"/>
          <w:sz w:val="28"/>
        </w:rPr>
      </w:pPr>
      <w:r>
        <w:rPr>
          <w:rStyle w:val="Fontdeparagrafimplicit1"/>
          <w:sz w:val="28"/>
        </w:rPr>
        <w:t xml:space="preserve">Revizuentele, prin avocat, solicită admiterea cererii de conexare astfel cum a fost formulată  şi motivată  întrucât în opinia lor, între cele două cauze există o strânsă legătură şi pentru o judecată unitară trebuie  soluţionate împreună. </w:t>
      </w:r>
    </w:p>
    <w:p w14:paraId="33473FFF" w14:textId="3E45B8A4" w:rsidR="001629A6" w:rsidRDefault="00230318">
      <w:pPr>
        <w:ind w:firstLine="708"/>
        <w:jc w:val="both"/>
        <w:rPr>
          <w:rStyle w:val="Fontdeparagrafimplicit1"/>
          <w:sz w:val="28"/>
        </w:rPr>
      </w:pPr>
      <w:r>
        <w:rPr>
          <w:rStyle w:val="Fontdeparagrafimplicit1"/>
          <w:sz w:val="28"/>
        </w:rPr>
        <w:t xml:space="preserve">Curtea, având în vedere că există o strânsă legătură între cele două cereri de revizuire, pentru o mai bună înfăptuire a justiţiei  dispune conexarea dosarului nr. </w:t>
      </w:r>
      <w:r w:rsidR="00682F43">
        <w:rPr>
          <w:rStyle w:val="Fontdeparagrafimplicit1"/>
          <w:sz w:val="28"/>
        </w:rPr>
        <w:t>....</w:t>
      </w:r>
      <w:r>
        <w:rPr>
          <w:rStyle w:val="Fontdeparagrafimplicit1"/>
          <w:sz w:val="28"/>
        </w:rPr>
        <w:t xml:space="preserve">al acestei secţii la dosarul nr. </w:t>
      </w:r>
      <w:r w:rsidR="00682F43">
        <w:rPr>
          <w:rStyle w:val="Fontdeparagrafimplicit1"/>
          <w:sz w:val="28"/>
        </w:rPr>
        <w:t>....</w:t>
      </w:r>
      <w:r>
        <w:rPr>
          <w:rStyle w:val="Fontdeparagrafimplicit1"/>
          <w:sz w:val="28"/>
        </w:rPr>
        <w:t>/2014.</w:t>
      </w:r>
    </w:p>
    <w:p w14:paraId="4F6ED5E1" w14:textId="77777777" w:rsidR="001629A6" w:rsidRDefault="00230318">
      <w:pPr>
        <w:ind w:firstLine="708"/>
        <w:jc w:val="both"/>
        <w:rPr>
          <w:rStyle w:val="Fontdeparagrafimplicit1"/>
          <w:sz w:val="28"/>
        </w:rPr>
      </w:pPr>
      <w:r>
        <w:rPr>
          <w:rStyle w:val="Fontdeparagrafimplicit1"/>
          <w:sz w:val="28"/>
        </w:rPr>
        <w:t xml:space="preserve">Revizuentele, prin avocat,  învederează instanţei că nu mai au alte cereri de formulat sau probe de administrat şi solicită cuvântul pe cererea de revizuire. </w:t>
      </w:r>
    </w:p>
    <w:p w14:paraId="6A0FF413" w14:textId="77777777" w:rsidR="001629A6" w:rsidRDefault="00230318">
      <w:pPr>
        <w:ind w:firstLine="708"/>
        <w:jc w:val="both"/>
        <w:rPr>
          <w:rStyle w:val="Fontdeparagrafimplicit1"/>
          <w:sz w:val="28"/>
        </w:rPr>
      </w:pPr>
      <w:r>
        <w:rPr>
          <w:rStyle w:val="Fontdeparagrafimplicit1"/>
          <w:sz w:val="28"/>
        </w:rPr>
        <w:t xml:space="preserve">Curtea, având în vedere că nu mai sunt alte cereri de formulat sau probe de administrat, acordă cuvântul pe cererea de  revizuire. </w:t>
      </w:r>
    </w:p>
    <w:p w14:paraId="011366DB" w14:textId="77777777" w:rsidR="001629A6" w:rsidRDefault="00230318">
      <w:pPr>
        <w:ind w:firstLine="708"/>
        <w:jc w:val="both"/>
        <w:rPr>
          <w:rStyle w:val="Fontdeparagrafimplicit1"/>
          <w:sz w:val="28"/>
        </w:rPr>
      </w:pPr>
      <w:r>
        <w:rPr>
          <w:rStyle w:val="Fontdeparagrafimplicit1"/>
          <w:sz w:val="28"/>
        </w:rPr>
        <w:lastRenderedPageBreak/>
        <w:t xml:space="preserve">Revizuentele, prin avocat,  solicită admiterea cererii de revizuire astfel cum a fost formulată şi motivată, cerere întemeiată pe dispoziţiilor art. 322 pct.10  C.pr.civ. </w:t>
      </w:r>
    </w:p>
    <w:p w14:paraId="605D8CE3" w14:textId="77777777" w:rsidR="001629A6" w:rsidRDefault="00230318">
      <w:pPr>
        <w:ind w:firstLine="708"/>
        <w:jc w:val="both"/>
        <w:rPr>
          <w:rStyle w:val="Fontdeparagrafimplicit1"/>
          <w:sz w:val="28"/>
        </w:rPr>
      </w:pPr>
      <w:r>
        <w:rPr>
          <w:rStyle w:val="Fontdeparagrafimplicit1"/>
          <w:sz w:val="28"/>
        </w:rPr>
        <w:t xml:space="preserve">Curtea reţine cererea de revizuire în pronunţare. </w:t>
      </w:r>
    </w:p>
    <w:p w14:paraId="7FF2DC8B" w14:textId="77777777" w:rsidR="001629A6" w:rsidRDefault="001629A6">
      <w:pPr>
        <w:ind w:firstLine="708"/>
        <w:jc w:val="both"/>
        <w:rPr>
          <w:rStyle w:val="Fontdeparagrafimplicit1"/>
          <w:sz w:val="28"/>
        </w:rPr>
      </w:pPr>
    </w:p>
    <w:p w14:paraId="2303C45F" w14:textId="77777777" w:rsidR="001629A6" w:rsidRDefault="00230318">
      <w:pPr>
        <w:ind w:firstLine="708"/>
        <w:jc w:val="both"/>
        <w:rPr>
          <w:rStyle w:val="Fontdeparagrafimplicit1"/>
          <w:b/>
          <w:sz w:val="28"/>
        </w:rPr>
      </w:pPr>
      <w:r>
        <w:rPr>
          <w:rStyle w:val="Fontdeparagrafimplicit1"/>
          <w:sz w:val="28"/>
        </w:rPr>
        <w:t xml:space="preserve">                                        </w:t>
      </w:r>
      <w:r>
        <w:rPr>
          <w:rStyle w:val="Fontdeparagrafimplicit1"/>
          <w:b/>
          <w:sz w:val="28"/>
        </w:rPr>
        <w:t>C U R T E A</w:t>
      </w:r>
    </w:p>
    <w:p w14:paraId="62913E5C" w14:textId="77777777" w:rsidR="001629A6" w:rsidRDefault="00230318">
      <w:pPr>
        <w:ind w:firstLine="708"/>
        <w:jc w:val="both"/>
        <w:rPr>
          <w:rStyle w:val="Fontdeparagrafimplicit1"/>
          <w:b/>
          <w:sz w:val="28"/>
        </w:rPr>
      </w:pPr>
      <w:r>
        <w:rPr>
          <w:rStyle w:val="Fontdeparagrafimplicit1"/>
          <w:b/>
          <w:sz w:val="28"/>
        </w:rPr>
        <w:t>Deliberând, constată:</w:t>
      </w:r>
    </w:p>
    <w:p w14:paraId="7912450E" w14:textId="77777777" w:rsidR="001629A6" w:rsidRDefault="00230318">
      <w:pPr>
        <w:numPr>
          <w:ilvl w:val="0"/>
          <w:numId w:val="1"/>
        </w:numPr>
        <w:contextualSpacing/>
        <w:jc w:val="both"/>
        <w:rPr>
          <w:rStyle w:val="Fontdeparagrafimplicit1"/>
          <w:b/>
          <w:i/>
          <w:sz w:val="28"/>
        </w:rPr>
      </w:pPr>
      <w:r>
        <w:rPr>
          <w:rStyle w:val="Fontdeparagrafimplicit1"/>
          <w:b/>
          <w:i/>
          <w:sz w:val="28"/>
        </w:rPr>
        <w:t>Decizia instantei de recurs şi sesizarea Curtii Constituţionale</w:t>
      </w:r>
    </w:p>
    <w:p w14:paraId="4CF03108" w14:textId="5CD2B8AA" w:rsidR="001629A6" w:rsidRDefault="00230318">
      <w:pPr>
        <w:ind w:firstLine="708"/>
        <w:jc w:val="both"/>
        <w:rPr>
          <w:rStyle w:val="Fontdeparagrafimplicit1"/>
          <w:sz w:val="28"/>
        </w:rPr>
      </w:pPr>
      <w:r>
        <w:rPr>
          <w:rStyle w:val="Fontdeparagrafimplicit1"/>
          <w:sz w:val="28"/>
        </w:rPr>
        <w:t xml:space="preserve">Prin decizia civila nr. </w:t>
      </w:r>
      <w:r w:rsidR="00682F43">
        <w:rPr>
          <w:rStyle w:val="Fontdeparagrafimplicit1"/>
          <w:sz w:val="28"/>
        </w:rPr>
        <w:t>....</w:t>
      </w:r>
      <w:r>
        <w:rPr>
          <w:rStyle w:val="Fontdeparagrafimplicit1"/>
          <w:sz w:val="28"/>
        </w:rPr>
        <w:t xml:space="preserve">2013 pronunţată de Curtea de Apel </w:t>
      </w:r>
      <w:r w:rsidR="00682F43">
        <w:rPr>
          <w:rStyle w:val="Fontdeparagrafimplicit1"/>
          <w:sz w:val="28"/>
        </w:rPr>
        <w:t>X</w:t>
      </w:r>
      <w:r>
        <w:rPr>
          <w:rStyle w:val="Fontdeparagrafimplicit1"/>
          <w:sz w:val="28"/>
        </w:rPr>
        <w:t xml:space="preserve"> – Secţia </w:t>
      </w:r>
      <w:r w:rsidR="00682F43">
        <w:rPr>
          <w:rStyle w:val="Fontdeparagrafimplicit1"/>
          <w:sz w:val="28"/>
        </w:rPr>
        <w:t>....</w:t>
      </w:r>
      <w:r>
        <w:rPr>
          <w:rStyle w:val="Fontdeparagrafimplicit1"/>
          <w:sz w:val="28"/>
        </w:rPr>
        <w:t xml:space="preserve"> Contencios Administrativ şi Fiscal, în dosarul nr. </w:t>
      </w:r>
      <w:r w:rsidR="00682F43">
        <w:rPr>
          <w:rStyle w:val="Fontdeparagrafimplicit1"/>
          <w:sz w:val="28"/>
        </w:rPr>
        <w:t>....</w:t>
      </w:r>
      <w:r>
        <w:rPr>
          <w:rStyle w:val="Fontdeparagrafimplicit1"/>
          <w:sz w:val="28"/>
        </w:rPr>
        <w:t xml:space="preserve"> s-au retinut si dispus urmatoarele:</w:t>
      </w:r>
    </w:p>
    <w:p w14:paraId="3595DEFE" w14:textId="77777777" w:rsidR="001629A6" w:rsidRDefault="00230318">
      <w:pPr>
        <w:ind w:firstLine="708"/>
        <w:jc w:val="both"/>
        <w:rPr>
          <w:rStyle w:val="Fontdeparagrafimplicit1"/>
          <w:sz w:val="28"/>
        </w:rPr>
      </w:pPr>
      <w:r>
        <w:rPr>
          <w:rStyle w:val="Fontdeparagrafimplicit1"/>
          <w:sz w:val="28"/>
        </w:rPr>
        <w:t xml:space="preserve">In raport de disp. 29 din Legea nr. 47/1992, Curtea de apel a constatat invocarea în faţa sa a unei </w:t>
      </w:r>
      <w:r>
        <w:rPr>
          <w:rStyle w:val="Fontdeparagrafimplicit1"/>
          <w:b/>
          <w:i/>
          <w:sz w:val="28"/>
        </w:rPr>
        <w:t>excepţii de neconstituţionalitate</w:t>
      </w:r>
      <w:r>
        <w:rPr>
          <w:rStyle w:val="Fontdeparagrafimplicit1"/>
          <w:sz w:val="28"/>
        </w:rPr>
        <w:t xml:space="preserve"> a disp. art. 4 </w:t>
      </w:r>
      <w:r>
        <w:rPr>
          <w:rStyle w:val="Fontdeparagrafimplicit1"/>
          <w:rFonts w:ascii="Cambria Math" w:hAnsi="Cambria Math"/>
          <w:sz w:val="28"/>
        </w:rPr>
        <w:t>ș</w:t>
      </w:r>
      <w:r>
        <w:rPr>
          <w:rStyle w:val="Fontdeparagrafimplicit1"/>
          <w:sz w:val="28"/>
        </w:rPr>
        <w:t xml:space="preserve">i art. 33-35 din Legea nr. 165/2013, faţă de prevederile art. 15 alin. 2, art. 16, art.21 alin.1, 2 şi 3 şi art. 53 alin.2 din Constituţia României. </w:t>
      </w:r>
    </w:p>
    <w:p w14:paraId="51987D01" w14:textId="77777777" w:rsidR="001629A6" w:rsidRDefault="00230318">
      <w:pPr>
        <w:ind w:firstLine="708"/>
        <w:jc w:val="both"/>
        <w:rPr>
          <w:rStyle w:val="Fontdeparagrafimplicit1"/>
          <w:sz w:val="28"/>
        </w:rPr>
      </w:pPr>
      <w:r>
        <w:rPr>
          <w:rStyle w:val="Fontdeparagrafimplicit1"/>
          <w:sz w:val="28"/>
        </w:rPr>
        <w:t xml:space="preserve">În drept, potrivit art. 29 din Legea nr. 47/1992 rep., „(1) </w:t>
      </w:r>
      <w:r>
        <w:rPr>
          <w:rStyle w:val="Fontdeparagrafimplicit1"/>
          <w:i/>
          <w:sz w:val="28"/>
        </w:rPr>
        <w:t>Curtea Constituţională decide asupra excepţiilor ridicate în faţa instanţelor judecătoreşti sau de arbitraj comercial privind neconstituţionalitatea unei legi sau ordonanţe ori a unei dispoziţii dintr-o lege sau dintr-o ordonanţă în vigoare, care are legătură cu soluţionarea cauzei în orice fază a litigiului şi oricare ar fi obiectul acestuia</w:t>
      </w:r>
      <w:r>
        <w:rPr>
          <w:rStyle w:val="Fontdeparagrafimplicit1"/>
          <w:sz w:val="28"/>
        </w:rPr>
        <w:t xml:space="preserve">. (2) </w:t>
      </w:r>
      <w:r>
        <w:rPr>
          <w:rStyle w:val="Fontdeparagrafimplicit1"/>
          <w:i/>
          <w:sz w:val="28"/>
        </w:rPr>
        <w:t xml:space="preserve">Excepţia poate fi ridicată la cererea uneia dintre părţi sau, din oficiu, de către instanţa de judecată ori de arbitraj comercial. De asemenea, excepţia poate fi </w:t>
      </w:r>
      <w:r>
        <w:rPr>
          <w:rStyle w:val="Fontdeparagrafimplicit1"/>
          <w:i/>
          <w:sz w:val="28"/>
        </w:rPr>
        <w:t>ridicată de procuror în faţa instanţei de judecată, în cauzele la care participă</w:t>
      </w:r>
      <w:r>
        <w:rPr>
          <w:rStyle w:val="Fontdeparagrafimplicit1"/>
          <w:sz w:val="28"/>
        </w:rPr>
        <w:t xml:space="preserve">. (3) </w:t>
      </w:r>
      <w:r>
        <w:rPr>
          <w:rStyle w:val="Fontdeparagrafimplicit1"/>
          <w:i/>
          <w:sz w:val="28"/>
        </w:rPr>
        <w:t>Nu pot face obiectul excepţiei prevederile constatate ca fiind neconstituţionale printr-o decizie anterioară a Curţii Constituţionale (…)</w:t>
      </w:r>
      <w:r>
        <w:rPr>
          <w:rStyle w:val="Fontdeparagrafimplicit1"/>
          <w:sz w:val="28"/>
        </w:rPr>
        <w:t>”.</w:t>
      </w:r>
    </w:p>
    <w:p w14:paraId="62007B2F" w14:textId="5A0C4A66" w:rsidR="001629A6" w:rsidRDefault="00230318">
      <w:pPr>
        <w:ind w:firstLine="708"/>
        <w:jc w:val="both"/>
        <w:rPr>
          <w:rStyle w:val="Fontdeparagrafimplicit1"/>
          <w:sz w:val="28"/>
        </w:rPr>
      </w:pPr>
      <w:r>
        <w:rPr>
          <w:rStyle w:val="Fontdeparagrafimplicit1"/>
          <w:sz w:val="28"/>
        </w:rPr>
        <w:t>Astfel, în cauză Curtea de apel apreciază ca fiind îndeplinite condiţiile de admisibilitate a sesizării Cur</w:t>
      </w:r>
      <w:r>
        <w:rPr>
          <w:rStyle w:val="Fontdeparagrafimplicit1"/>
          <w:rFonts w:ascii="Cambria Math" w:hAnsi="Cambria Math"/>
          <w:sz w:val="28"/>
        </w:rPr>
        <w:t>ț</w:t>
      </w:r>
      <w:r>
        <w:rPr>
          <w:rStyle w:val="Fontdeparagrafimplicit1"/>
          <w:sz w:val="28"/>
        </w:rPr>
        <w:t>ii Constitu</w:t>
      </w:r>
      <w:r>
        <w:rPr>
          <w:rStyle w:val="Fontdeparagrafimplicit1"/>
          <w:rFonts w:ascii="Cambria Math" w:hAnsi="Cambria Math"/>
          <w:sz w:val="28"/>
        </w:rPr>
        <w:t>ț</w:t>
      </w:r>
      <w:r>
        <w:rPr>
          <w:rStyle w:val="Fontdeparagrafimplicit1"/>
          <w:sz w:val="28"/>
        </w:rPr>
        <w:t xml:space="preserve">ionale cu excepţia de neconstituţionalitate:          1) excepţia este ridicată în faţa unei instanţe de judecată, respectiv Curtea de Apel </w:t>
      </w:r>
      <w:r w:rsidR="00682F43">
        <w:rPr>
          <w:rStyle w:val="Fontdeparagrafimplicit1"/>
          <w:sz w:val="28"/>
        </w:rPr>
        <w:t>X</w:t>
      </w:r>
      <w:r>
        <w:rPr>
          <w:rStyle w:val="Fontdeparagrafimplicit1"/>
          <w:sz w:val="28"/>
        </w:rPr>
        <w:t>; 2) excepţia de neconstituţionalitate are legătură cu soluţionarea cauzei, disp. Legii nr. 165/2013 fiind reţinute de instanţa de recurs în scopul judecării cauzei de faţă;   3) excepţia este invocată de o parte, respectiv intimatele reclamante; 4) excepţia de neconstituţionalitate priveşte o lege în vigoare; 5) nu rezultă că prevederile contestate de par</w:t>
      </w:r>
      <w:r>
        <w:rPr>
          <w:rStyle w:val="Fontdeparagrafimplicit1"/>
          <w:sz w:val="28"/>
        </w:rPr>
        <w:t xml:space="preserve">tea recurentă-reclamantă ar fi fost declarate neconstituţionale de Curtea Constituţională printr-o decizie anterioară. </w:t>
      </w:r>
    </w:p>
    <w:p w14:paraId="4782A286" w14:textId="77777777" w:rsidR="001629A6" w:rsidRDefault="00230318">
      <w:pPr>
        <w:ind w:firstLine="708"/>
        <w:jc w:val="both"/>
        <w:rPr>
          <w:rStyle w:val="Fontdeparagrafimplicit1"/>
          <w:sz w:val="28"/>
        </w:rPr>
      </w:pPr>
      <w:r>
        <w:rPr>
          <w:rStyle w:val="Fontdeparagrafimplicit1"/>
          <w:sz w:val="28"/>
        </w:rPr>
        <w:t>În ce priveşte punctul de vedere al instanţei asupra excep</w:t>
      </w:r>
      <w:r>
        <w:rPr>
          <w:rStyle w:val="Fontdeparagrafimplicit1"/>
          <w:rFonts w:ascii="Cambria Math" w:hAnsi="Cambria Math"/>
          <w:sz w:val="28"/>
        </w:rPr>
        <w:t>ț</w:t>
      </w:r>
      <w:r>
        <w:rPr>
          <w:rStyle w:val="Fontdeparagrafimplicit1"/>
          <w:sz w:val="28"/>
        </w:rPr>
        <w:t>iei, Curtea de Apel a apreciat că acesta este obligatoriu fa</w:t>
      </w:r>
      <w:r>
        <w:rPr>
          <w:rStyle w:val="Fontdeparagrafimplicit1"/>
          <w:rFonts w:ascii="Cambria Math" w:hAnsi="Cambria Math"/>
          <w:sz w:val="28"/>
        </w:rPr>
        <w:t>ț</w:t>
      </w:r>
      <w:r>
        <w:rPr>
          <w:rStyle w:val="Fontdeparagrafimplicit1"/>
          <w:sz w:val="28"/>
        </w:rPr>
        <w:t>ă de disp. art. 29 alin. 4 din Legea nr. 47/1992 rep. doar în măsura în care excep</w:t>
      </w:r>
      <w:r>
        <w:rPr>
          <w:rStyle w:val="Fontdeparagrafimplicit1"/>
          <w:rFonts w:ascii="Cambria Math" w:hAnsi="Cambria Math"/>
          <w:sz w:val="28"/>
        </w:rPr>
        <w:t>ț</w:t>
      </w:r>
      <w:r>
        <w:rPr>
          <w:rStyle w:val="Fontdeparagrafimplicit1"/>
          <w:sz w:val="28"/>
        </w:rPr>
        <w:t>ia de neconstitu</w:t>
      </w:r>
      <w:r>
        <w:rPr>
          <w:rStyle w:val="Fontdeparagrafimplicit1"/>
          <w:rFonts w:ascii="Cambria Math" w:hAnsi="Cambria Math"/>
          <w:sz w:val="28"/>
        </w:rPr>
        <w:t>ț</w:t>
      </w:r>
      <w:r>
        <w:rPr>
          <w:rStyle w:val="Fontdeparagrafimplicit1"/>
          <w:sz w:val="28"/>
        </w:rPr>
        <w:t>ionalitate ar fi fost invocată de oficiu, pentru motivarea încheierii de învestire, iar în celelalte ipoteze, anume atunci când titularul excep</w:t>
      </w:r>
      <w:r>
        <w:rPr>
          <w:rStyle w:val="Fontdeparagrafimplicit1"/>
          <w:rFonts w:ascii="Cambria Math" w:hAnsi="Cambria Math"/>
          <w:sz w:val="28"/>
        </w:rPr>
        <w:t>ț</w:t>
      </w:r>
      <w:r>
        <w:rPr>
          <w:rStyle w:val="Fontdeparagrafimplicit1"/>
          <w:sz w:val="28"/>
        </w:rPr>
        <w:t>iei este una dintre păr</w:t>
      </w:r>
      <w:r>
        <w:rPr>
          <w:rStyle w:val="Fontdeparagrafimplicit1"/>
          <w:rFonts w:ascii="Cambria Math" w:hAnsi="Cambria Math"/>
          <w:sz w:val="28"/>
        </w:rPr>
        <w:t>ț</w:t>
      </w:r>
      <w:r>
        <w:rPr>
          <w:rStyle w:val="Fontdeparagrafimplicit1"/>
          <w:sz w:val="28"/>
        </w:rPr>
        <w:t>ile litigante, instan</w:t>
      </w:r>
      <w:r>
        <w:rPr>
          <w:rStyle w:val="Fontdeparagrafimplicit1"/>
          <w:rFonts w:ascii="Cambria Math" w:hAnsi="Cambria Math"/>
          <w:sz w:val="28"/>
        </w:rPr>
        <w:t>ț</w:t>
      </w:r>
      <w:r>
        <w:rPr>
          <w:rStyle w:val="Fontdeparagrafimplicit1"/>
          <w:sz w:val="28"/>
        </w:rPr>
        <w:t>a de judecată are facultatea de a prezenta o opinie.</w:t>
      </w:r>
    </w:p>
    <w:p w14:paraId="79A1D075" w14:textId="77777777" w:rsidR="001629A6" w:rsidRDefault="00230318">
      <w:pPr>
        <w:ind w:firstLine="708"/>
        <w:jc w:val="both"/>
        <w:rPr>
          <w:rStyle w:val="Fontdeparagrafimplicit1"/>
          <w:i/>
          <w:sz w:val="28"/>
        </w:rPr>
      </w:pPr>
      <w:r>
        <w:rPr>
          <w:rStyle w:val="Fontdeparagrafimplicit1"/>
          <w:sz w:val="28"/>
        </w:rPr>
        <w:lastRenderedPageBreak/>
        <w:t>În cauza de fa</w:t>
      </w:r>
      <w:r>
        <w:rPr>
          <w:rStyle w:val="Fontdeparagrafimplicit1"/>
          <w:rFonts w:ascii="Cambria Math" w:hAnsi="Cambria Math"/>
          <w:sz w:val="28"/>
        </w:rPr>
        <w:t>ț</w:t>
      </w:r>
      <w:r>
        <w:rPr>
          <w:rStyle w:val="Fontdeparagrafimplicit1"/>
          <w:sz w:val="28"/>
        </w:rPr>
        <w:t>ă, Curtea a apreciat că excepţia este întemeiată în parte, reţinând că prin prevederea că ele se aplică şi  în cadrul unui proces în curs, normele criticate impun aplicarea retroactivă a termenelor procedurale prevăzute de art. 33-35 din Legea nr. 165/2013, fiind de natură să aducă atingere principiului consacrat de art. 15 alin. 2 din Constituţia României.</w:t>
      </w:r>
    </w:p>
    <w:p w14:paraId="4FC71A47" w14:textId="77777777" w:rsidR="001629A6" w:rsidRDefault="00230318">
      <w:pPr>
        <w:ind w:firstLine="708"/>
        <w:jc w:val="both"/>
        <w:rPr>
          <w:rStyle w:val="Fontdeparagrafimplicit1"/>
          <w:sz w:val="28"/>
        </w:rPr>
      </w:pPr>
      <w:r>
        <w:rPr>
          <w:rStyle w:val="Fontdeparagrafimplicit1"/>
          <w:sz w:val="28"/>
        </w:rPr>
        <w:t>Faţă de cele expuse, Curtea a sesizat Curtea Constituţională cu soluţionarea excepţiei de neconstituţionalitate a dispoziţiilor art. 4 şi art. 33-35 din Legea nr. 165/2013.</w:t>
      </w:r>
    </w:p>
    <w:p w14:paraId="244806B6" w14:textId="77777777" w:rsidR="001629A6" w:rsidRDefault="00230318">
      <w:pPr>
        <w:ind w:firstLine="708"/>
        <w:jc w:val="both"/>
        <w:rPr>
          <w:rStyle w:val="Fontdeparagrafimplicit1"/>
          <w:sz w:val="28"/>
        </w:rPr>
      </w:pPr>
      <w:r>
        <w:rPr>
          <w:rStyle w:val="Fontdeparagrafimplicit1"/>
          <w:sz w:val="28"/>
        </w:rPr>
        <w:t xml:space="preserve">În ceea ce priveşte </w:t>
      </w:r>
      <w:r>
        <w:rPr>
          <w:rStyle w:val="Fontdeparagrafimplicit1"/>
          <w:b/>
          <w:i/>
          <w:sz w:val="28"/>
        </w:rPr>
        <w:t>cererea intimatelor reclamante de suspendare a judecării cauzei</w:t>
      </w:r>
      <w:r>
        <w:rPr>
          <w:rStyle w:val="Fontdeparagrafimplicit1"/>
          <w:sz w:val="28"/>
        </w:rPr>
        <w:t xml:space="preserve"> în temeiul art. 244 alin. 1 pct. 1 C.pr.civ.(1865), până la soluţionarea excepţiei, Curtea a respins-o, având în vedere că nu sunt îndeplinite condiţiile reglementate de acest text de lege.</w:t>
      </w:r>
    </w:p>
    <w:p w14:paraId="7A3643B0" w14:textId="77777777" w:rsidR="001629A6" w:rsidRDefault="00230318">
      <w:pPr>
        <w:ind w:firstLine="708"/>
        <w:jc w:val="both"/>
        <w:rPr>
          <w:rStyle w:val="Fontdeparagrafimplicit1"/>
          <w:sz w:val="28"/>
        </w:rPr>
      </w:pPr>
      <w:r>
        <w:rPr>
          <w:rStyle w:val="Fontdeparagrafimplicit1"/>
          <w:sz w:val="28"/>
        </w:rPr>
        <w:t>Mai mult, dispoziţiile art. 29 alin. 5 din Legea 47/1992, care stabileau că pe perioada soluţionării excepţiei de neconstituţionalitate judecarea cauzei se suspendă, au fost abrogate, în prezent instanţa nefiind obligată să dispună suspendarea judecării cauzei până la soluţionarea excepţiei.</w:t>
      </w:r>
    </w:p>
    <w:p w14:paraId="0ECFB366" w14:textId="77777777" w:rsidR="001629A6" w:rsidRDefault="00230318">
      <w:pPr>
        <w:ind w:firstLine="708"/>
        <w:jc w:val="both"/>
        <w:rPr>
          <w:rStyle w:val="Fontdeparagrafimplicit1"/>
          <w:sz w:val="28"/>
        </w:rPr>
      </w:pPr>
      <w:r>
        <w:rPr>
          <w:rStyle w:val="Fontdeparagrafimplicit1"/>
          <w:sz w:val="28"/>
        </w:rPr>
        <w:t>Un alt argument pentru respingerea cererii de suspendare a judecării cauzei îl reprezintă şi disp. art. 322 pct. 10 C.pr.civ.(1865) potrivit cărora, revizuirea unei hotărâri dată de o instanţă de recurs atunci când evocă fondul se poate cere dacă, după ce hotărârea a devenit definitivă, Curtea Constituţională s-a pronunţat asupra excepţiei invocate în acea cauză, declarând neconstituţională legea, ordonanţa ori o dispoziţie dintr-o lege sau dintr-o ordonanţă care a făcut obiectul acelei excepţii ori alte di</w:t>
      </w:r>
      <w:r>
        <w:rPr>
          <w:rStyle w:val="Fontdeparagrafimplicit1"/>
          <w:sz w:val="28"/>
        </w:rPr>
        <w:t>spoziţii din actul atacat, care, în mod necesar şi evident, nu pot fi disociate de prevederile menţionate în sesizare.</w:t>
      </w:r>
    </w:p>
    <w:p w14:paraId="5121F84A" w14:textId="77777777" w:rsidR="001629A6" w:rsidRDefault="00230318">
      <w:pPr>
        <w:ind w:firstLine="708"/>
        <w:jc w:val="both"/>
        <w:rPr>
          <w:rStyle w:val="Fontdeparagrafimplicit1"/>
          <w:sz w:val="28"/>
        </w:rPr>
      </w:pPr>
      <w:r>
        <w:rPr>
          <w:rStyle w:val="Fontdeparagrafimplicit1"/>
          <w:sz w:val="28"/>
        </w:rPr>
        <w:t>În al doilea rând, trebuie precizat că în ceea ce priveşte critica vizând excepţia prematurităţii cererii de chemare în judecată, raportat la disp. OUG nr.4/2011 şi disp. Legii nr. 165/2013, Curtea reţine că aceasta este neîntemeiată.</w:t>
      </w:r>
    </w:p>
    <w:p w14:paraId="1F3F1D7B" w14:textId="77777777" w:rsidR="001629A6" w:rsidRDefault="00230318">
      <w:pPr>
        <w:ind w:firstLine="708"/>
        <w:jc w:val="both"/>
        <w:rPr>
          <w:rStyle w:val="Fontdeparagrafimplicit1"/>
          <w:sz w:val="28"/>
        </w:rPr>
      </w:pPr>
      <w:r>
        <w:rPr>
          <w:rStyle w:val="Fontdeparagrafimplicit1"/>
          <w:sz w:val="28"/>
        </w:rPr>
        <w:t>Referitor la prematuritatea cererii faţă de disp. OUG nr.4/2012, Curtea a reţinut că potrivit prevederilor acestui act normativ de la</w:t>
      </w:r>
      <w:r>
        <w:rPr>
          <w:rStyle w:val="Fontdeparagrafimplicit1"/>
          <w:i/>
          <w:sz w:val="28"/>
        </w:rPr>
        <w:t xml:space="preserve"> </w:t>
      </w:r>
      <w:r>
        <w:rPr>
          <w:rStyle w:val="Fontdeparagrafimplicit1"/>
          <w:sz w:val="28"/>
        </w:rPr>
        <w:t>intrării sale  în vigoare şi</w:t>
      </w:r>
      <w:r>
        <w:rPr>
          <w:rStyle w:val="Fontdeparagrafimplicit1"/>
          <w:i/>
          <w:sz w:val="28"/>
        </w:rPr>
        <w:t xml:space="preserve"> </w:t>
      </w:r>
      <w:r>
        <w:rPr>
          <w:rStyle w:val="Fontdeparagrafimplicit1"/>
          <w:sz w:val="28"/>
        </w:rPr>
        <w:t>până la data de 15 mai 2013 a intervenit o suspendare a procedurilor de evaluare, respectiv de emitere a titlurilor de despăgubire, prev de Titlul VII al Legii nr. 247/2005. Cu toate acestea, obligaţia autorităţii pârâte de a urma întocmai etapele instituite de art. 16 din Titlul VII al Legii nr. 247/2005 s-a născut anterior adoptării şi intrării în vigoare a OUG nr. 4/2012. Din acest motiv, analiza incidenţei actului normativ invocat poate prezenta relevanţă cât priveşte fondu</w:t>
      </w:r>
      <w:r>
        <w:rPr>
          <w:rStyle w:val="Fontdeparagrafimplicit1"/>
          <w:sz w:val="28"/>
        </w:rPr>
        <w:t>l cauzei, nefiind un aspect care să afecteze caracterul actual al dreptului invocat.</w:t>
      </w:r>
    </w:p>
    <w:p w14:paraId="535AAF0E" w14:textId="77777777" w:rsidR="001629A6" w:rsidRDefault="00230318">
      <w:pPr>
        <w:ind w:firstLine="708"/>
        <w:jc w:val="both"/>
        <w:rPr>
          <w:rStyle w:val="Fontdeparagrafimplicit1"/>
          <w:sz w:val="28"/>
        </w:rPr>
      </w:pPr>
      <w:r>
        <w:rPr>
          <w:rStyle w:val="Fontdeparagrafimplicit1"/>
          <w:sz w:val="28"/>
        </w:rPr>
        <w:t xml:space="preserve">În mod similar, în ceea ce priveşte prematuritatea cererii faţă de dispoziţiile Legii nr.165/2013, care a instituit un termen de 60 de luni de la data intrării în vigoare a legii pentru soluţionarea dosarelor de despăgubire înregistrate la Secretariatul Comisiei Centrale, Curtea a reţinut că actualitatea dreptului material la acţiune se apreciază, aşa cum în mod constant s-a stabilit în doctrină şi în practică, prin raportare la momentul formulării cererii de chemare </w:t>
      </w:r>
      <w:r>
        <w:rPr>
          <w:rStyle w:val="Fontdeparagrafimplicit1"/>
          <w:sz w:val="28"/>
        </w:rPr>
        <w:lastRenderedPageBreak/>
        <w:t>în judecată şi nu la momente ulterioare acestuia. Atât timp cât cererea de chemare în judecată a fost formulată anterior intrării în vigoare a Legii nr. 165/2013, rezultă că cererea nu este prematur formulată, urmând a se analiza relevanţa noului act normativ în privinţa fondului cauzei.</w:t>
      </w:r>
    </w:p>
    <w:p w14:paraId="58FA8ED7" w14:textId="77777777" w:rsidR="001629A6" w:rsidRDefault="00230318">
      <w:pPr>
        <w:ind w:firstLine="708"/>
        <w:jc w:val="both"/>
        <w:rPr>
          <w:rStyle w:val="Fontdeparagrafimplicit1"/>
          <w:sz w:val="28"/>
        </w:rPr>
      </w:pPr>
      <w:r>
        <w:rPr>
          <w:rStyle w:val="Fontdeparagrafimplicit1"/>
          <w:sz w:val="28"/>
        </w:rPr>
        <w:t>Cu privire la fondul cauzei, reţine Curtea publicarea în Monitorul Oficial nr.278/17.05.2013 a Legii nr. 165/2013, intrată în vigoare la data de 20.05.2013, act normativ în raport de ale cărui dispoziţii măsurile de remediere solicitate de intimaţii-reclamanţi nu mai pot fi validate în conformitate cu vechea lege.</w:t>
      </w:r>
    </w:p>
    <w:p w14:paraId="1F46B762" w14:textId="77777777" w:rsidR="001629A6" w:rsidRDefault="00230318">
      <w:pPr>
        <w:ind w:firstLine="708"/>
        <w:jc w:val="both"/>
        <w:rPr>
          <w:rStyle w:val="Fontdeparagrafimplicit1"/>
          <w:sz w:val="28"/>
        </w:rPr>
      </w:pPr>
      <w:r>
        <w:rPr>
          <w:rStyle w:val="Fontdeparagrafimplicit1"/>
          <w:sz w:val="28"/>
        </w:rPr>
        <w:t>Astfel, în esenţă, sub aspectul incidenţei actului normativ menţionat asupra cauzei de faţă, se vor avea în vedere disp. art. 4 din Legea nr. 165/2013, conform cărora  „</w:t>
      </w:r>
      <w:r>
        <w:rPr>
          <w:rStyle w:val="Fontdeparagrafimplicit1"/>
          <w:b/>
          <w:i/>
          <w:sz w:val="28"/>
        </w:rPr>
        <w:t>Dispoziţiile prezentei legi se aplică cererilor formulate şi depuse, în termen legal, la entităţile învestite de lege, nesoluţionate până la data intrării în vigoare a prezentei legi, cauzelor în materia restituirii imobilelor preluate abuziv, aflate pe rolul instanţelor,</w:t>
      </w:r>
      <w:r>
        <w:rPr>
          <w:rStyle w:val="Fontdeparagrafimplicit1"/>
          <w:i/>
          <w:sz w:val="28"/>
        </w:rPr>
        <w:t xml:space="preserve"> precum şi cauzelor aflate pe rolul Curţii Europene a Drepturilor Omului suspendate în temeiul Hotărârii-pilot din 12 octombrie 2010, pronunţată în Cauza Maria Atanasiu şi alţii împotriva României, </w:t>
      </w:r>
      <w:r>
        <w:rPr>
          <w:rStyle w:val="Fontdeparagrafimplicit1"/>
          <w:b/>
          <w:i/>
          <w:sz w:val="28"/>
        </w:rPr>
        <w:t>la data intrării în vigoare a prezentei le</w:t>
      </w:r>
      <w:r>
        <w:rPr>
          <w:rStyle w:val="Fontdeparagrafimplicit1"/>
          <w:b/>
          <w:i/>
          <w:sz w:val="28"/>
        </w:rPr>
        <w:t>gi</w:t>
      </w:r>
      <w:r>
        <w:rPr>
          <w:rStyle w:val="Fontdeparagrafimplicit1"/>
          <w:sz w:val="28"/>
        </w:rPr>
        <w:t>.”</w:t>
      </w:r>
    </w:p>
    <w:p w14:paraId="76F5E5F1" w14:textId="77777777" w:rsidR="001629A6" w:rsidRDefault="00230318">
      <w:pPr>
        <w:ind w:firstLine="708"/>
        <w:jc w:val="both"/>
        <w:rPr>
          <w:rStyle w:val="Fontdeparagrafimplicit1"/>
          <w:sz w:val="28"/>
        </w:rPr>
      </w:pPr>
      <w:r>
        <w:rPr>
          <w:rStyle w:val="Fontdeparagrafimplicit1"/>
          <w:sz w:val="28"/>
        </w:rPr>
        <w:t>În consecinţă, se constată că aceste dispoziţii legale au devenit aplicabile inclusiv  situaţiei intimatelor-reclamante, cărora li se impune respectarea unei alte proceduri administrative de soluţionare.</w:t>
      </w:r>
    </w:p>
    <w:p w14:paraId="5283495C" w14:textId="77777777" w:rsidR="001629A6" w:rsidRDefault="00230318">
      <w:pPr>
        <w:ind w:firstLine="708"/>
        <w:jc w:val="both"/>
        <w:rPr>
          <w:rStyle w:val="Fontdeparagrafimplicit1"/>
          <w:sz w:val="28"/>
        </w:rPr>
      </w:pPr>
      <w:r>
        <w:rPr>
          <w:rStyle w:val="Fontdeparagrafimplicit1"/>
          <w:sz w:val="28"/>
        </w:rPr>
        <w:t>De asemenea, urmează a fi avute în vedere şi dispoziţiile art. 41 din legea menţionată, care prevăd că „</w:t>
      </w:r>
      <w:r>
        <w:rPr>
          <w:rStyle w:val="Fontdeparagrafimplicit1"/>
          <w:i/>
          <w:sz w:val="28"/>
        </w:rPr>
        <w:t xml:space="preserve">plata sumelor de bani reprezentând despăgubiri </w:t>
      </w:r>
      <w:r>
        <w:rPr>
          <w:rStyle w:val="Fontdeparagrafimplicit1"/>
          <w:b/>
          <w:i/>
          <w:sz w:val="28"/>
        </w:rPr>
        <w:t>în dosarele aprobate de către Comisia Centrală</w:t>
      </w:r>
      <w:r>
        <w:rPr>
          <w:rStyle w:val="Fontdeparagrafimplicit1"/>
          <w:i/>
          <w:sz w:val="28"/>
        </w:rPr>
        <w:t xml:space="preserve"> pentru Stabilirea Despăgubirilor </w:t>
      </w:r>
      <w:r>
        <w:rPr>
          <w:rStyle w:val="Fontdeparagrafimplicit1"/>
          <w:b/>
          <w:i/>
          <w:sz w:val="28"/>
        </w:rPr>
        <w:t>înainte de intrarea în vigoare a prezentei legi</w:t>
      </w:r>
      <w:r>
        <w:rPr>
          <w:rStyle w:val="Fontdeparagrafimplicit1"/>
          <w:i/>
          <w:sz w:val="28"/>
        </w:rPr>
        <w:t xml:space="preserve">, </w:t>
      </w:r>
      <w:r>
        <w:rPr>
          <w:rStyle w:val="Fontdeparagrafimplicit1"/>
          <w:b/>
          <w:i/>
          <w:sz w:val="28"/>
        </w:rPr>
        <w:t>precum şi</w:t>
      </w:r>
      <w:r>
        <w:rPr>
          <w:rStyle w:val="Fontdeparagrafimplicit1"/>
          <w:i/>
          <w:sz w:val="28"/>
        </w:rPr>
        <w:t xml:space="preserve"> a sumelor stabilite </w:t>
      </w:r>
      <w:r>
        <w:rPr>
          <w:rStyle w:val="Fontdeparagrafimplicit1"/>
          <w:b/>
          <w:i/>
          <w:sz w:val="28"/>
        </w:rPr>
        <w:t>prin hotărâri judecătoreşti, rămase definitive şi irevocabile la data intrării în vigoare a prezentei legi</w:t>
      </w:r>
      <w:r>
        <w:rPr>
          <w:rStyle w:val="Fontdeparagrafimplicit1"/>
          <w:i/>
          <w:sz w:val="28"/>
        </w:rPr>
        <w:t>, se face în termen de 5 ani, în tranşe anuale egale, începând cu 1 ianuarie 2014. (…) (5) Obligaţiile privind emiterea titlurilor de despăgubire stabilite prin hotărâri judecătoreşti definitive şi ir</w:t>
      </w:r>
      <w:r>
        <w:rPr>
          <w:rStyle w:val="Fontdeparagrafimplicit1"/>
          <w:i/>
          <w:sz w:val="28"/>
        </w:rPr>
        <w:t>evocabile la data intrării în vigoare a prezentei legi se vor executa potrivit art. 21</w:t>
      </w:r>
      <w:r>
        <w:rPr>
          <w:rStyle w:val="Fontdeparagrafimplicit1"/>
          <w:sz w:val="28"/>
        </w:rPr>
        <w:t>.”. Analizând textul de lege, Curtea reţine că, şi în cazul existenţei unei hotărâri judecătoreşti definitive şi irevocabile prin care s-a dispus deja obligarea CCSD la emiterea titlului de despăgubire, executarea acesteia are loc tot în condiţiile art.21 deci, cu atât mai mult, în cazul în care nu există o hotărâre irevocabilă procedura din art.21 se impune cu necesitate.</w:t>
      </w:r>
    </w:p>
    <w:p w14:paraId="11A21D2D" w14:textId="77777777" w:rsidR="001629A6" w:rsidRDefault="00230318">
      <w:pPr>
        <w:ind w:firstLine="708"/>
        <w:jc w:val="both"/>
        <w:rPr>
          <w:rStyle w:val="Fontdeparagrafimplicit1"/>
          <w:sz w:val="28"/>
        </w:rPr>
      </w:pPr>
      <w:r>
        <w:rPr>
          <w:rStyle w:val="Fontdeparagrafimplicit1"/>
          <w:sz w:val="28"/>
        </w:rPr>
        <w:t xml:space="preserve">Or, art. 21 alin. 5 – 9 din Legea nr. 165/2013 prevede că „(5) </w:t>
      </w:r>
      <w:r>
        <w:rPr>
          <w:rStyle w:val="Fontdeparagrafimplicit1"/>
          <w:i/>
          <w:sz w:val="28"/>
        </w:rPr>
        <w:t>Secretariatul Comisiei Naţionale, în baza documentelor transmise, procedează la verificarea dosarelor din punctul de vedere al existenţei dreptului persoanei care se consideră îndreptăţită la măsuri reparatorii. Pentru clarificarea aspectelor din dosar, Secretariatul Comisiei Naţionale poate solicita documente în completare entităţilor învestite de lege, titularilor dosarelor şi oricăror altor instituţii care ar putea deţine documente relevante.</w:t>
      </w:r>
      <w:r>
        <w:rPr>
          <w:rStyle w:val="Fontdeparagrafimplicit1"/>
          <w:sz w:val="28"/>
        </w:rPr>
        <w:t xml:space="preserve"> (6) </w:t>
      </w:r>
      <w:r>
        <w:rPr>
          <w:rStyle w:val="Fontdeparagrafimplicit1"/>
          <w:i/>
          <w:sz w:val="28"/>
        </w:rPr>
        <w:t>Evaluarea imobilului ce face obiectul deciziei se face pri</w:t>
      </w:r>
      <w:r>
        <w:rPr>
          <w:rStyle w:val="Fontdeparagrafimplicit1"/>
          <w:i/>
          <w:sz w:val="28"/>
        </w:rPr>
        <w:t xml:space="preserve">n aplicarea grilei notariale valabile la data intrării în vigoare a prezentei legi de către Secretariatul Comisiei Naţionale şi se exprimă în </w:t>
      </w:r>
      <w:r>
        <w:rPr>
          <w:rStyle w:val="Fontdeparagrafimplicit1"/>
          <w:i/>
          <w:sz w:val="28"/>
        </w:rPr>
        <w:lastRenderedPageBreak/>
        <w:t>puncte. Un punct are valoarea de un leu</w:t>
      </w:r>
      <w:r>
        <w:rPr>
          <w:rStyle w:val="Fontdeparagrafimplicit1"/>
          <w:sz w:val="28"/>
        </w:rPr>
        <w:t xml:space="preserve">. (7) </w:t>
      </w:r>
      <w:r>
        <w:rPr>
          <w:rStyle w:val="Fontdeparagrafimplicit1"/>
          <w:i/>
          <w:sz w:val="28"/>
        </w:rPr>
        <w:t>Numărul de puncte se stabileşte după scăderea valorii actualizate a despăgubirilor încasate pentru imobilul evaluat conform alin. (6).</w:t>
      </w:r>
      <w:r>
        <w:rPr>
          <w:rStyle w:val="Fontdeparagrafimplicit1"/>
          <w:sz w:val="28"/>
        </w:rPr>
        <w:t xml:space="preserve"> (8) </w:t>
      </w:r>
      <w:r>
        <w:rPr>
          <w:rStyle w:val="Fontdeparagrafimplicit1"/>
          <w:i/>
          <w:sz w:val="28"/>
        </w:rPr>
        <w:t xml:space="preserve">Ulterior verificării şi evaluării, la propunerea Secretariatului Comisiei Naţionale, Comisia Naţională validează sau invalidează decizia entităţii învestite de lege şi, după caz, aprobă </w:t>
      </w:r>
      <w:r>
        <w:rPr>
          <w:rStyle w:val="Fontdeparagrafimplicit1"/>
          <w:i/>
          <w:sz w:val="28"/>
        </w:rPr>
        <w:t>punctajul stabilit potrivit alin. (7).</w:t>
      </w:r>
      <w:r>
        <w:rPr>
          <w:rStyle w:val="Fontdeparagrafimplicit1"/>
          <w:sz w:val="28"/>
        </w:rPr>
        <w:t xml:space="preserve"> (9) </w:t>
      </w:r>
      <w:r>
        <w:rPr>
          <w:rStyle w:val="Fontdeparagrafimplicit1"/>
          <w:i/>
          <w:sz w:val="28"/>
        </w:rPr>
        <w:t>În cazul validării deciziei entităţii învestite de lege, Comisia Naţională emite decizia de compensare prin puncte a imobilului preluat în mod abuziv</w:t>
      </w:r>
      <w:r>
        <w:rPr>
          <w:rStyle w:val="Fontdeparagrafimplicit1"/>
          <w:sz w:val="28"/>
        </w:rPr>
        <w:t>”.</w:t>
      </w:r>
    </w:p>
    <w:p w14:paraId="1345F728" w14:textId="77777777" w:rsidR="001629A6" w:rsidRDefault="00230318">
      <w:pPr>
        <w:ind w:firstLine="708"/>
        <w:jc w:val="both"/>
        <w:rPr>
          <w:rStyle w:val="Fontdeparagrafimplicit1"/>
          <w:sz w:val="28"/>
        </w:rPr>
      </w:pPr>
      <w:r>
        <w:rPr>
          <w:rStyle w:val="Fontdeparagrafimplicit1"/>
          <w:sz w:val="28"/>
        </w:rPr>
        <w:t>Se observă, deci, că a fost introdusă o nouă etapă - a verificării dosarelor din punctul de vedere al existenţei dreptului, iar etapa evaluării se realizează într-o procedură diferită de cea anterioară şi s-a introdus obligativitatea validării şi a stabilirii punctajului şi, tot cu titlu de noutate, se emite decizie de compensare prin puncte.</w:t>
      </w:r>
    </w:p>
    <w:p w14:paraId="7E2768A8" w14:textId="77777777" w:rsidR="001629A6" w:rsidRDefault="00230318">
      <w:pPr>
        <w:ind w:firstLine="708"/>
        <w:jc w:val="both"/>
        <w:rPr>
          <w:rStyle w:val="Fontdeparagrafimplicit1"/>
          <w:sz w:val="28"/>
        </w:rPr>
      </w:pPr>
      <w:r>
        <w:rPr>
          <w:rStyle w:val="Fontdeparagrafimplicit1"/>
          <w:sz w:val="28"/>
        </w:rPr>
        <w:t>Prin urmare, în speţă, chiar dacă instanţa de fond a constatat existenţa dreptului intimatelor reclamante, cel puţin parţial, Curtea a constatat in recurs că nu se mai poate reţine refuzul nejustificat de soluţionare a dosarului administrativ din partea recurentei pârâte, având în vedere noile etape ce trebuie parcurse în viitor şi în privinţa cărora nu se poate considera că a fost depăşit un termen rezonabil.</w:t>
      </w:r>
    </w:p>
    <w:p w14:paraId="48E6FEE6" w14:textId="77777777" w:rsidR="001629A6" w:rsidRDefault="00230318">
      <w:pPr>
        <w:ind w:firstLine="708"/>
        <w:jc w:val="both"/>
        <w:rPr>
          <w:rStyle w:val="Fontdeparagrafimplicit1"/>
          <w:sz w:val="28"/>
        </w:rPr>
      </w:pPr>
      <w:r>
        <w:rPr>
          <w:rStyle w:val="Fontdeparagrafimplicit1"/>
          <w:sz w:val="28"/>
        </w:rPr>
        <w:t>Pe calea contenciosului administrativ (</w:t>
      </w:r>
      <w:r>
        <w:rPr>
          <w:rStyle w:val="Fontdeparagrafimplicit1"/>
          <w:b/>
          <w:sz w:val="28"/>
        </w:rPr>
        <w:t>intimatele reclamante s-au adresat instanţei de contencios administrativ, întemeindu-şi, deci, acţiunea pe Legea nr. 554/2004 a contenciosului administrativ</w:t>
      </w:r>
      <w:r>
        <w:rPr>
          <w:rStyle w:val="Fontdeparagrafimplicit1"/>
          <w:sz w:val="28"/>
        </w:rPr>
        <w:t>, iar nu pe Codul civil), spre deosebire de dreptul comun, pot fi soluţionate doar trei categorii de litigii: cele prin care se atacă un act administrativ propriu-zis; cele care  privesc nesoluţionarea în termen a unei cereri; cele care  privesc un refuz nejustificat de soluţionare a unei cereri sau de  efectuare a unei anumite operaţiuni administrative.</w:t>
      </w:r>
    </w:p>
    <w:p w14:paraId="60CD9FC9" w14:textId="77777777" w:rsidR="001629A6" w:rsidRDefault="00230318">
      <w:pPr>
        <w:ind w:firstLine="708"/>
        <w:jc w:val="both"/>
        <w:rPr>
          <w:rStyle w:val="Fontdeparagrafimplicit1"/>
          <w:sz w:val="28"/>
        </w:rPr>
      </w:pPr>
      <w:r>
        <w:rPr>
          <w:rStyle w:val="Fontdeparagrafimplicit1"/>
          <w:sz w:val="28"/>
        </w:rPr>
        <w:t>Cauza prezentă se încadrează , indubitabil, în ultima categorie de litigii, invocându-se prin cererea introductivă, refuzul recurentei pârâte de a realiza pretenţiile intimatelor reclamante privind soluţionarea dosarului administrativ în discuţie.</w:t>
      </w:r>
    </w:p>
    <w:p w14:paraId="4B77C0E1" w14:textId="77777777" w:rsidR="001629A6" w:rsidRDefault="00230318">
      <w:pPr>
        <w:ind w:firstLine="708"/>
        <w:jc w:val="both"/>
        <w:rPr>
          <w:rStyle w:val="Fontdeparagrafimplicit1"/>
          <w:sz w:val="28"/>
        </w:rPr>
      </w:pPr>
      <w:r>
        <w:rPr>
          <w:rStyle w:val="Fontdeparagrafimplicit1"/>
          <w:sz w:val="28"/>
        </w:rPr>
        <w:t xml:space="preserve">Or, în raport de noile etape administrative ce trebuie parcurse în viitor şi în privinţa cărora nu se poate considera că a fost depăşit un termen rezonabil, Curtea constată că refuzul manifestat de recurenta pârâtă în realizarea pretenţiilor intimatelor reclamante  nu mai poate fi considerat unul nejustificat. </w:t>
      </w:r>
    </w:p>
    <w:p w14:paraId="4C2F4FEE" w14:textId="77777777" w:rsidR="001629A6" w:rsidRDefault="00230318">
      <w:pPr>
        <w:ind w:firstLine="708"/>
        <w:jc w:val="both"/>
        <w:rPr>
          <w:rStyle w:val="Fontdeparagrafimplicit1"/>
          <w:sz w:val="28"/>
        </w:rPr>
      </w:pPr>
      <w:r>
        <w:rPr>
          <w:rStyle w:val="Fontdeparagrafimplicit1"/>
          <w:sz w:val="28"/>
        </w:rPr>
        <w:t xml:space="preserve">Totodată, Curtea a mai reţinut că Legea nr. 165/2013 nu este abrogată la data pronunţării şi nici declarată neconstituţională, producând astfel efecte juridice obligatorii, după cum nu incumbă Curţii de apel atribuţia de a cenzura constituţionalitatea legii menţionate, competenţă ce revine exclusiv Curţii Constituţionale în acord cu disp. art. 146 lit. d) din Constituţia României revizuită.    </w:t>
      </w:r>
    </w:p>
    <w:p w14:paraId="4E1A2F48" w14:textId="77777777" w:rsidR="001629A6" w:rsidRDefault="00230318">
      <w:pPr>
        <w:ind w:firstLine="708"/>
        <w:jc w:val="both"/>
        <w:rPr>
          <w:rStyle w:val="Fontdeparagrafimplicit1"/>
          <w:sz w:val="28"/>
        </w:rPr>
      </w:pPr>
      <w:r>
        <w:rPr>
          <w:rStyle w:val="Fontdeparagrafimplicit1"/>
          <w:sz w:val="28"/>
        </w:rPr>
        <w:lastRenderedPageBreak/>
        <w:t xml:space="preserve">Nici raportarea la jurisprudenţa Curţii Europene a Drepturilor Omului </w:t>
      </w:r>
      <w:r>
        <w:rPr>
          <w:rStyle w:val="Fontdeparagrafimplicit1"/>
          <w:b/>
          <w:sz w:val="28"/>
        </w:rPr>
        <w:t>nu</w:t>
      </w:r>
      <w:r>
        <w:rPr>
          <w:rStyle w:val="Fontdeparagrafimplicit1"/>
          <w:sz w:val="28"/>
        </w:rPr>
        <w:t xml:space="preserve"> conduce la concluzia înlăturării efectului Legii nr. 165/2013 prin intermediul art. 20 alin. 2 din Constituţia României.</w:t>
      </w:r>
    </w:p>
    <w:p w14:paraId="5D94C47B" w14:textId="77777777" w:rsidR="001629A6" w:rsidRDefault="00230318">
      <w:pPr>
        <w:ind w:firstLine="708"/>
        <w:jc w:val="both"/>
        <w:rPr>
          <w:rStyle w:val="Fontdeparagrafimplicit1"/>
          <w:sz w:val="28"/>
        </w:rPr>
      </w:pPr>
      <w:r>
        <w:rPr>
          <w:rStyle w:val="Fontdeparagrafimplicit1"/>
          <w:sz w:val="28"/>
        </w:rPr>
        <w:t xml:space="preserve">În acest din urmă sens Curtea de apel a reţinut considerentele din paragrafele 235 – 236 ale hotărârii CEDO </w:t>
      </w:r>
      <w:r>
        <w:rPr>
          <w:rStyle w:val="Fontdeparagrafimplicit1"/>
          <w:i/>
          <w:sz w:val="28"/>
        </w:rPr>
        <w:t>Maria Atanasiu şi alţii c. România</w:t>
      </w:r>
      <w:r>
        <w:rPr>
          <w:rStyle w:val="Fontdeparagrafimplicit1"/>
          <w:sz w:val="28"/>
        </w:rPr>
        <w:t xml:space="preserve"> din 12 octombrie 2010 (cererile nr. 30.767/05 şi 33.800/06), în care se arată: « (235)  </w:t>
      </w:r>
      <w:r>
        <w:rPr>
          <w:rStyle w:val="Fontdeparagrafimplicit1"/>
          <w:i/>
          <w:sz w:val="28"/>
        </w:rPr>
        <w:t>În acelaşi timp, Curtea apreciază că alte exemple de bune practici şi de măsuri de modificare legislativă, ce respectă principiile impuse de Convenţie şi de protocoalele sale, oferite de alte state semnatare ale Convenţiei, ar putea constitui o sursă de inspiraţie pentru guvernul pârât (a se vedea în special cauzele </w:t>
      </w:r>
      <w:r>
        <w:rPr>
          <w:rStyle w:val="Fontdeparagrafimplicit1"/>
          <w:sz w:val="28"/>
        </w:rPr>
        <w:t>Broniowski </w:t>
      </w:r>
      <w:r>
        <w:rPr>
          <w:rStyle w:val="Fontdeparagrafimplicit1"/>
          <w:i/>
          <w:sz w:val="28"/>
        </w:rPr>
        <w:t>şi </w:t>
      </w:r>
      <w:r>
        <w:rPr>
          <w:rStyle w:val="Fontdeparagrafimplicit1"/>
          <w:sz w:val="28"/>
        </w:rPr>
        <w:t>Wolkenberg</w:t>
      </w:r>
      <w:r>
        <w:rPr>
          <w:rStyle w:val="Fontdeparagrafimplicit1"/>
          <w:i/>
          <w:sz w:val="28"/>
        </w:rPr>
        <w:t xml:space="preserve">, …). </w:t>
      </w:r>
      <w:r>
        <w:rPr>
          <w:rStyle w:val="Fontdeparagrafimplicit1"/>
          <w:b/>
          <w:i/>
          <w:sz w:val="28"/>
        </w:rPr>
        <w:t>Astfel, refacerea totală a legislaţiei, c</w:t>
      </w:r>
      <w:r>
        <w:rPr>
          <w:rStyle w:val="Fontdeparagrafimplicit1"/>
          <w:b/>
          <w:i/>
          <w:sz w:val="28"/>
        </w:rPr>
        <w:t>are să conducă la reguli de procedură clare şi simplificate, ar face sistemul de despăgubire mai previzibil în aplicarea sa,</w:t>
      </w:r>
      <w:r>
        <w:rPr>
          <w:rStyle w:val="Fontdeparagrafimplicit1"/>
          <w:i/>
          <w:sz w:val="28"/>
        </w:rPr>
        <w:t xml:space="preserve"> spre deosebire de sistemul actual, ale cărui prevederi sunt dispersate în mai multe legi, ordonanţe şi hotărâri. </w:t>
      </w:r>
      <w:r>
        <w:rPr>
          <w:rStyle w:val="Fontdeparagrafimplicit1"/>
          <w:b/>
          <w:i/>
          <w:sz w:val="28"/>
        </w:rPr>
        <w:t>Plafonarea despăgubirilor şi eşalonarea lor pe o perioadă mai lungă ar putea să reprezinte, de asemenea, măsuri capabile să păstreze un just echilibru între interesele foştilor proprietari şi interesul general al colectivităţii</w:t>
      </w:r>
      <w:r>
        <w:rPr>
          <w:rStyle w:val="Fontdeparagrafimplicit1"/>
          <w:sz w:val="28"/>
        </w:rPr>
        <w:t xml:space="preserve">.  (236) </w:t>
      </w:r>
      <w:r>
        <w:rPr>
          <w:rStyle w:val="Fontdeparagrafimplicit1"/>
          <w:i/>
          <w:sz w:val="28"/>
        </w:rPr>
        <w:t>Ţinând cont de numărul mare de persoan</w:t>
      </w:r>
      <w:r>
        <w:rPr>
          <w:rStyle w:val="Fontdeparagrafimplicit1"/>
          <w:i/>
          <w:sz w:val="28"/>
        </w:rPr>
        <w:t>e vizate şi de consecinţele importante ale unui astfel de dispozitiv, al cărui impact asupra întregii ţări este considerabil</w:t>
      </w:r>
      <w:r>
        <w:rPr>
          <w:rStyle w:val="Fontdeparagrafimplicit1"/>
          <w:b/>
          <w:i/>
          <w:sz w:val="28"/>
        </w:rPr>
        <w:t>, autorităţile naţionale rămân suverane pentru a alege, sub controlul Comitetului Miniştrilor, măsurile generale</w:t>
      </w:r>
      <w:r>
        <w:rPr>
          <w:rStyle w:val="Fontdeparagrafimplicit1"/>
          <w:i/>
          <w:sz w:val="28"/>
        </w:rPr>
        <w:t xml:space="preserve"> ce trebuie integrate în ordinea juridică internă pentru a pune capăt încălcărilor constatate de Curte </w:t>
      </w:r>
      <w:r>
        <w:rPr>
          <w:rStyle w:val="Fontdeparagrafimplicit1"/>
          <w:sz w:val="28"/>
        </w:rPr>
        <w:t>».</w:t>
      </w:r>
    </w:p>
    <w:p w14:paraId="2F428F08" w14:textId="77777777" w:rsidR="001629A6" w:rsidRDefault="00230318">
      <w:pPr>
        <w:ind w:firstLine="708"/>
        <w:jc w:val="both"/>
        <w:rPr>
          <w:rStyle w:val="Fontdeparagrafimplicit1"/>
          <w:sz w:val="28"/>
        </w:rPr>
      </w:pPr>
      <w:r>
        <w:rPr>
          <w:rStyle w:val="Fontdeparagrafimplicit1"/>
          <w:sz w:val="28"/>
        </w:rPr>
        <w:t xml:space="preserve">De asemenea, la punctele 6 şi 7 din dispozitivul hotărârii CEDO din cauza </w:t>
      </w:r>
      <w:r>
        <w:rPr>
          <w:rStyle w:val="Fontdeparagrafimplicit1"/>
          <w:i/>
          <w:sz w:val="28"/>
        </w:rPr>
        <w:t>Maria Atanasiu şi alţii c. România</w:t>
      </w:r>
      <w:r>
        <w:rPr>
          <w:rStyle w:val="Fontdeparagrafimplicit1"/>
          <w:sz w:val="28"/>
        </w:rPr>
        <w:t xml:space="preserve"> se prevede :  „ 6. hotărăşte ca statul pârât să ia măsurile care să garanteze protecţia efectivă a drepturilor enunţate de art. 6 § 1 din Convenţie şi art. 1 din Protocolul nr. 1, în contextul tuturor cauzelor similare cu cauza de faţă, conform principiilor consacrate de Convenţie (paragrafele 229-236 de mai sus). Aceste măsuri vor trebui să fie puse în practică în termen de 18 luni de la data la care prezenta hotărâre va rămâne definitivă; </w:t>
      </w:r>
    </w:p>
    <w:p w14:paraId="2775F269" w14:textId="77777777" w:rsidR="001629A6" w:rsidRDefault="00230318">
      <w:pPr>
        <w:ind w:firstLine="708"/>
        <w:jc w:val="both"/>
        <w:rPr>
          <w:rStyle w:val="Fontdeparagrafimplicit1"/>
          <w:sz w:val="28"/>
        </w:rPr>
      </w:pPr>
      <w:r>
        <w:rPr>
          <w:rStyle w:val="Fontdeparagrafimplicit1"/>
          <w:sz w:val="28"/>
        </w:rPr>
        <w:t xml:space="preserve">   7. hotărăşte să suspende pentru o perioadă de 18 luni de la data rămânerii definitive a prezentei hotărâri analiza tuturor cererilor rezultate din aceeaşi problematică generală, fără a prejudicia posibilitatea Curţii de a declara inadmisibilă oricare dintre cauzele de acest tip sau de a lua act de o soluţionare amiabilă la care vor fi ajuns eventual părţile, în aplicarea art. 37 sau art. 39 din Convenţie”. </w:t>
      </w:r>
    </w:p>
    <w:p w14:paraId="72E16B13" w14:textId="77777777" w:rsidR="001629A6" w:rsidRDefault="00230318">
      <w:pPr>
        <w:ind w:firstLine="708"/>
        <w:jc w:val="both"/>
        <w:rPr>
          <w:rStyle w:val="Fontdeparagrafimplicit1"/>
          <w:sz w:val="28"/>
        </w:rPr>
      </w:pPr>
      <w:r>
        <w:rPr>
          <w:rStyle w:val="Fontdeparagrafimplicit1"/>
          <w:sz w:val="28"/>
        </w:rPr>
        <w:tab/>
        <w:t xml:space="preserve">Rezultă, deci, că Legea nr. 165/2013 reprezintă, în esenţă, o măsură directă, adoptată de statul român, prin puterea legislativă, de remediere a deficienţelor constatate prin hotărârea CEDO din cauza </w:t>
      </w:r>
      <w:r>
        <w:rPr>
          <w:rStyle w:val="Fontdeparagrafimplicit1"/>
          <w:i/>
          <w:sz w:val="28"/>
        </w:rPr>
        <w:t xml:space="preserve">Maria Atanasiu şi alţii c. România, </w:t>
      </w:r>
      <w:r>
        <w:rPr>
          <w:rStyle w:val="Fontdeparagrafimplicit1"/>
          <w:sz w:val="28"/>
        </w:rPr>
        <w:t>în cadrul mecanismului creat prin această din urmă hotărâre, mecanism ce instituie unele reguli speciale şi complexe (cum ar fi cele ce decurg din „</w:t>
      </w:r>
      <w:r>
        <w:rPr>
          <w:rStyle w:val="Fontdeparagrafimplicit1"/>
          <w:b/>
          <w:i/>
          <w:sz w:val="28"/>
        </w:rPr>
        <w:t xml:space="preserve">plafonarea despăgubirilor şi eşalonarea lor pe o perioadă mai lungă”şi </w:t>
      </w:r>
      <w:r>
        <w:rPr>
          <w:rStyle w:val="Fontdeparagrafimplicit1"/>
          <w:b/>
          <w:i/>
          <w:sz w:val="28"/>
        </w:rPr>
        <w:lastRenderedPageBreak/>
        <w:t>din necesitatea păstrării unui  just echilibru între interesele foştilor proprietari şi interesul general al colectivităţii),</w:t>
      </w:r>
      <w:r>
        <w:rPr>
          <w:rStyle w:val="Fontdeparagrafimplicit1"/>
          <w:sz w:val="28"/>
        </w:rPr>
        <w:t xml:space="preserve"> astfel că eventuale interferenţe multiple (de natura hotărârilor judecătoreşti cu soluţii particularizate la cazurile individuale) </w:t>
      </w:r>
      <w:r>
        <w:rPr>
          <w:rStyle w:val="Fontdeparagrafimplicit1"/>
          <w:sz w:val="28"/>
        </w:rPr>
        <w:t>în privinţa acestui mecanism riscă să producă efecte contrare raţiunii pentru care a fost instituit sau să-i afecteze grav aplicarea coerentă, ceea ce ar reprezenta o încălcare nemijlocită a chiar hotărârii CEDO în discuţie, fapt inacceptabil. De aceea, din punct de vedere logic şi practic, singurul remediu eficient pentru înlăturarea justă a eventualelor deficienţe din cuprinsul unei astfel de legi rămâne cel instituit prin art. 146 lit. d) din Constituţia României revizuită. Or, până la data pronunţării p</w:t>
      </w:r>
      <w:r>
        <w:rPr>
          <w:rStyle w:val="Fontdeparagrafimplicit1"/>
          <w:sz w:val="28"/>
        </w:rPr>
        <w:t>rezentei hotărâri, Curtea Constituţională nu a constatat neconstituţionalitatea Legii nr. 165/2013 ori a unor dispoziţii din această lege.</w:t>
      </w:r>
    </w:p>
    <w:p w14:paraId="4CD5BC4D" w14:textId="77777777" w:rsidR="001629A6" w:rsidRDefault="00230318">
      <w:pPr>
        <w:ind w:firstLine="708"/>
        <w:jc w:val="both"/>
        <w:rPr>
          <w:rStyle w:val="Fontdeparagrafimplicit1"/>
          <w:sz w:val="28"/>
        </w:rPr>
      </w:pPr>
      <w:r>
        <w:rPr>
          <w:rStyle w:val="Fontdeparagrafimplicit1"/>
          <w:sz w:val="28"/>
        </w:rPr>
        <w:t>Pe cale de consecinţă, faţă de prevederile art.312 alin 1,2,3 în referire la art. 304 pct.-ul 9 şi art. 304</w:t>
      </w:r>
      <w:r>
        <w:rPr>
          <w:rStyle w:val="Fontdeparagrafimplicit1"/>
          <w:sz w:val="28"/>
          <w:vertAlign w:val="superscript"/>
        </w:rPr>
        <w:t>1</w:t>
      </w:r>
      <w:r>
        <w:rPr>
          <w:rStyle w:val="Fontdeparagrafimplicit1"/>
          <w:sz w:val="28"/>
        </w:rPr>
        <w:t xml:space="preserve"> din Codul de procedură civilă, Curtea a admis recursul şi a modificat sentinţa civilă recurată în sensul că se a respins acţiunea ca neîntemeiată.</w:t>
      </w:r>
    </w:p>
    <w:p w14:paraId="3EA5AE50" w14:textId="77777777" w:rsidR="001629A6" w:rsidRDefault="00230318">
      <w:pPr>
        <w:ind w:firstLine="708"/>
        <w:jc w:val="both"/>
        <w:rPr>
          <w:rStyle w:val="Fontdeparagrafimplicit1"/>
          <w:sz w:val="28"/>
        </w:rPr>
      </w:pPr>
      <w:r>
        <w:rPr>
          <w:rStyle w:val="Fontdeparagrafimplicit1"/>
          <w:sz w:val="28"/>
        </w:rPr>
        <w:t>Totodata, a dispus sesizarea Curtii Constitutionale cu exceptia de neconstituţionalitate a dispozitiilor art. 4, art. 31-35 din Legea nr. 165/2013.</w:t>
      </w:r>
    </w:p>
    <w:p w14:paraId="751D12D1" w14:textId="77777777" w:rsidR="001629A6" w:rsidRDefault="00230318">
      <w:pPr>
        <w:numPr>
          <w:ilvl w:val="0"/>
          <w:numId w:val="1"/>
        </w:numPr>
        <w:contextualSpacing/>
        <w:jc w:val="both"/>
        <w:rPr>
          <w:rStyle w:val="Fontdeparagrafimplicit1"/>
          <w:b/>
          <w:i/>
          <w:sz w:val="28"/>
        </w:rPr>
      </w:pPr>
      <w:r>
        <w:rPr>
          <w:rStyle w:val="Fontdeparagrafimplicit1"/>
          <w:b/>
          <w:i/>
          <w:sz w:val="28"/>
        </w:rPr>
        <w:t>Decizia/deciziile Curtii Constituţionale</w:t>
      </w:r>
    </w:p>
    <w:p w14:paraId="7767E15F" w14:textId="77777777" w:rsidR="001629A6" w:rsidRDefault="00230318">
      <w:pPr>
        <w:ind w:firstLine="708"/>
        <w:jc w:val="both"/>
        <w:rPr>
          <w:rStyle w:val="Fontdeparagrafimplicit1"/>
          <w:sz w:val="28"/>
        </w:rPr>
      </w:pPr>
      <w:r>
        <w:rPr>
          <w:rStyle w:val="Fontdeparagrafimplicit1"/>
          <w:sz w:val="28"/>
        </w:rPr>
        <w:t>Dupa pronuntarea deciziei mai sus mentionate, Curtea Constituţionala a pronuntat Decizia nr. 88/27.02.2014 prin care a admis exceptia de neconstituţionalitate a art. 4 teza a 2a (cu raportare la art. 33) din Legea nr. 165/2014 şi Decizia nr. 269/07.05.2014 prin care, intre altele, a admis exceptia de neconstitutionalitate a dispozitiilor art. 4 teza a 2-a din Legea nr. 165/2013 in masura in care termenele prevazute la art. 34 alin. 1 din aceeasi lege nu se aplica si cauzelor in materia restituirii imobilelo</w:t>
      </w:r>
      <w:r>
        <w:rPr>
          <w:rStyle w:val="Fontdeparagrafimplicit1"/>
          <w:sz w:val="28"/>
        </w:rPr>
        <w:t xml:space="preserve">r preluate abuziv aflate pe rolul instantelor la data intrarii in vigoare a legii. </w:t>
      </w:r>
    </w:p>
    <w:p w14:paraId="673DE6AE" w14:textId="77777777" w:rsidR="001629A6" w:rsidRDefault="00230318">
      <w:pPr>
        <w:numPr>
          <w:ilvl w:val="0"/>
          <w:numId w:val="1"/>
        </w:numPr>
        <w:contextualSpacing/>
        <w:jc w:val="both"/>
        <w:rPr>
          <w:rStyle w:val="Fontdeparagrafimplicit1"/>
          <w:b/>
          <w:i/>
          <w:sz w:val="28"/>
        </w:rPr>
      </w:pPr>
      <w:r>
        <w:rPr>
          <w:rStyle w:val="Fontdeparagrafimplicit1"/>
          <w:b/>
          <w:i/>
          <w:sz w:val="28"/>
        </w:rPr>
        <w:t xml:space="preserve">Cererea de revizuire - analiza admisibilitatii si temeiniciei acesteia </w:t>
      </w:r>
    </w:p>
    <w:p w14:paraId="4CC79413" w14:textId="77777777" w:rsidR="001629A6" w:rsidRDefault="00230318">
      <w:pPr>
        <w:ind w:firstLine="708"/>
        <w:jc w:val="both"/>
        <w:rPr>
          <w:rStyle w:val="Fontdeparagrafimplicit1"/>
          <w:sz w:val="28"/>
        </w:rPr>
      </w:pPr>
      <w:r>
        <w:rPr>
          <w:rStyle w:val="Fontdeparagrafimplicit1"/>
          <w:sz w:val="28"/>
        </w:rPr>
        <w:t>Ulterior publicarii deciziilor Curtii Constitutionale mai sus indicate partea recurenta a formulat cerere de revizuire a deciziei pronuntate in recurs, in temeiul art. 322 pct. 10 din vechiul Cod de procedura civila.</w:t>
      </w:r>
    </w:p>
    <w:p w14:paraId="1F888834" w14:textId="77777777" w:rsidR="001629A6" w:rsidRDefault="00230318">
      <w:pPr>
        <w:ind w:firstLine="708"/>
        <w:jc w:val="both"/>
        <w:rPr>
          <w:rStyle w:val="Fontdeparagrafimplicit1"/>
          <w:sz w:val="28"/>
        </w:rPr>
      </w:pPr>
      <w:r>
        <w:rPr>
          <w:rStyle w:val="Fontdeparagrafimplicit1"/>
          <w:sz w:val="28"/>
        </w:rPr>
        <w:t>Analizand admisibilitatea cererii, Curtea retine ca fiind indeplinite conditiile art. 322 pct. 10, in sensul ca dupa pronuntarea deciziei irevocabile in recurs, Curtea Constituţionala s-a pronuntat asupra exceptiei de neconstitutionalitate invocate in acea cauza (sau intr-o cauza anterioara, insa cu acelasi obiect de neconstituţionalitate ca şi litigiul in care s-a invocat exceptia). Totodata, cererea de revizuire a fost formulata cu respectarea termenului de 3 luni de la data publicarii hotararii Curtii Co</w:t>
      </w:r>
      <w:r>
        <w:rPr>
          <w:rStyle w:val="Fontdeparagrafimplicit1"/>
          <w:sz w:val="28"/>
        </w:rPr>
        <w:t xml:space="preserve">nstituţionale in Monitorul Oficial al Romaniei. </w:t>
      </w:r>
    </w:p>
    <w:p w14:paraId="53DDEA90" w14:textId="77777777" w:rsidR="001629A6" w:rsidRDefault="00230318">
      <w:pPr>
        <w:ind w:firstLine="708"/>
        <w:jc w:val="both"/>
        <w:rPr>
          <w:rStyle w:val="Fontdeparagrafimplicit1"/>
          <w:i/>
          <w:sz w:val="28"/>
        </w:rPr>
      </w:pPr>
      <w:r>
        <w:rPr>
          <w:rStyle w:val="Fontdeparagrafimplicit1"/>
          <w:i/>
          <w:sz w:val="28"/>
        </w:rPr>
        <w:t>Analizând temeinicia cererii de revizuire şi rejudecand recursul  Curtea reţine:</w:t>
      </w:r>
    </w:p>
    <w:p w14:paraId="037C6E95" w14:textId="77777777" w:rsidR="001629A6" w:rsidRDefault="00230318">
      <w:pPr>
        <w:ind w:firstLine="708"/>
        <w:jc w:val="both"/>
        <w:rPr>
          <w:rStyle w:val="Fontdeparagrafimplicit1"/>
          <w:sz w:val="28"/>
        </w:rPr>
      </w:pPr>
      <w:r>
        <w:rPr>
          <w:rStyle w:val="Fontdeparagrafimplicit1"/>
          <w:sz w:val="28"/>
        </w:rPr>
        <w:t>Conform prevederilor art. 4 din Legea nr. 165/2013  „</w:t>
      </w:r>
      <w:r>
        <w:rPr>
          <w:rStyle w:val="Fontdeparagrafimplicit1"/>
          <w:b/>
          <w:i/>
          <w:sz w:val="28"/>
        </w:rPr>
        <w:t>Dispoziţiile prezentei legi se aplică</w:t>
      </w:r>
      <w:r>
        <w:rPr>
          <w:rStyle w:val="Fontdeparagrafimplicit1"/>
          <w:i/>
          <w:sz w:val="28"/>
        </w:rPr>
        <w:t xml:space="preserve"> cererilor formulate şi depuse, în termen legal, la entităţile învestite de lege, nesoluţionate până la data intrării în vigoare a </w:t>
      </w:r>
      <w:r>
        <w:rPr>
          <w:rStyle w:val="Fontdeparagrafimplicit1"/>
          <w:i/>
          <w:sz w:val="28"/>
        </w:rPr>
        <w:lastRenderedPageBreak/>
        <w:t xml:space="preserve">prezentei legi, </w:t>
      </w:r>
      <w:r>
        <w:rPr>
          <w:rStyle w:val="Fontdeparagrafimplicit1"/>
          <w:b/>
          <w:i/>
          <w:sz w:val="28"/>
        </w:rPr>
        <w:t>cauzelor în materia restituirii imobilelor preluate abuziv, aflate pe rolul instanţelor</w:t>
      </w:r>
      <w:r>
        <w:rPr>
          <w:rStyle w:val="Fontdeparagrafimplicit1"/>
          <w:i/>
          <w:sz w:val="28"/>
        </w:rPr>
        <w:t xml:space="preserve">, precum şi cauzelor aflate pe rolul Curţii Europene a Drepturilor Omului suspendate în temeiul Hotărârii-pilot din 12 octombrie 2010, pronunţată în Cauza Maria Atanasiu şi alţii împotriva României, </w:t>
      </w:r>
      <w:r>
        <w:rPr>
          <w:rStyle w:val="Fontdeparagrafimplicit1"/>
          <w:b/>
          <w:i/>
          <w:sz w:val="28"/>
        </w:rPr>
        <w:t>la data intrării în vigoare a prezentei le</w:t>
      </w:r>
      <w:r>
        <w:rPr>
          <w:rStyle w:val="Fontdeparagrafimplicit1"/>
          <w:b/>
          <w:i/>
          <w:sz w:val="28"/>
        </w:rPr>
        <w:t>gi</w:t>
      </w:r>
      <w:r>
        <w:rPr>
          <w:rStyle w:val="Fontdeparagrafimplicit1"/>
          <w:sz w:val="28"/>
        </w:rPr>
        <w:t>.”.</w:t>
      </w:r>
    </w:p>
    <w:p w14:paraId="57AAFC8E" w14:textId="77777777" w:rsidR="001629A6" w:rsidRDefault="00230318">
      <w:pPr>
        <w:ind w:firstLine="708"/>
        <w:jc w:val="both"/>
        <w:rPr>
          <w:rStyle w:val="Fontdeparagrafimplicit1"/>
          <w:sz w:val="28"/>
        </w:rPr>
      </w:pPr>
      <w:r>
        <w:rPr>
          <w:rStyle w:val="Fontdeparagrafimplicit1"/>
          <w:sz w:val="28"/>
        </w:rPr>
        <w:t>Cu privire la prevederile art. 4 din Legea nr. 165/2013 raportat la termenele prevăzute de art. 33 şi art. 34 din acelaşi act normativ,  Curtea reţine, astfel cum anterior a motivat, că au fost pronunţate de către Curtea Constituţională deciziile nr. 88/27.02.2014 şi  nr. 269/7.05. 2014, reţinându-se că prevederile art. 4 teza a doua din Legea nr. 165/2013 sunt constituţionale în măsura în care termenele prevăzute la art. 33 şi art. 34 alin.(1) nu se aplică şi cauzelor în materia restituirii imobilelor prel</w:t>
      </w:r>
      <w:r>
        <w:rPr>
          <w:rStyle w:val="Fontdeparagrafimplicit1"/>
          <w:sz w:val="28"/>
        </w:rPr>
        <w:t>uate abuziv, aflat pe rolul instanţelor de judecată la data intrării în vigoare a legii.</w:t>
      </w:r>
    </w:p>
    <w:p w14:paraId="55A7B6CA" w14:textId="77777777" w:rsidR="001629A6" w:rsidRDefault="00230318">
      <w:pPr>
        <w:ind w:firstLine="708"/>
        <w:jc w:val="both"/>
        <w:rPr>
          <w:rStyle w:val="Fontdeparagrafimplicit1"/>
          <w:sz w:val="28"/>
        </w:rPr>
      </w:pPr>
      <w:r>
        <w:rPr>
          <w:rStyle w:val="Fontdeparagrafimplicit1"/>
          <w:sz w:val="28"/>
        </w:rPr>
        <w:t>În consecinţă, în soluţionarea prezentei cauze, instanţa nu poate avea în vedere termenul stabilit de art. 34 alin.(1) din Legea nr. 165/2013 pentru soluţionarea de către Comisia Nationala pentru Compensarea Imobilelor (in continuare, abreviat „CNCI”) a prezentului dosar.</w:t>
      </w:r>
    </w:p>
    <w:p w14:paraId="1E1C501B" w14:textId="77777777" w:rsidR="001629A6" w:rsidRDefault="00230318">
      <w:pPr>
        <w:ind w:firstLine="708"/>
        <w:jc w:val="both"/>
        <w:rPr>
          <w:rStyle w:val="Fontdeparagrafimplicit1"/>
          <w:sz w:val="28"/>
        </w:rPr>
      </w:pPr>
      <w:r>
        <w:rPr>
          <w:rStyle w:val="Fontdeparagrafimplicit1"/>
          <w:sz w:val="28"/>
        </w:rPr>
        <w:t>Mai departe, Curtea reţine că Legea nr. 165/2013 prevede o procedură administrativă de soluţionare a dosarului reclamantului diferită de cea prevăzută de Titlul VII al Legii nr. 247/2005.</w:t>
      </w:r>
    </w:p>
    <w:p w14:paraId="3F39E4CA" w14:textId="77777777" w:rsidR="001629A6" w:rsidRDefault="00230318">
      <w:pPr>
        <w:ind w:firstLine="708"/>
        <w:jc w:val="both"/>
        <w:rPr>
          <w:rStyle w:val="Fontdeparagrafimplicit1"/>
          <w:sz w:val="28"/>
        </w:rPr>
      </w:pPr>
      <w:r>
        <w:rPr>
          <w:rStyle w:val="Fontdeparagrafimplicit1"/>
          <w:sz w:val="28"/>
        </w:rPr>
        <w:t xml:space="preserve"> Astfel, art. 21 alin. 5 – 9 din Legea nr. 165/2013 prevede că „(5) </w:t>
      </w:r>
      <w:r>
        <w:rPr>
          <w:rStyle w:val="Fontdeparagrafimplicit1"/>
          <w:b/>
          <w:i/>
          <w:sz w:val="28"/>
        </w:rPr>
        <w:t>Secretariatul Comisiei Naţionale, în baza documentelor transmise, procedează la verificarea dosarelor din punctul de vedere al existenţei dreptului persoanei care se consideră îndreptăţită la măsuri reparatorii. Pentru clarificarea aspectelor din dosar, Secretariatul Comisiei Naţionale poate solicita documente în completare</w:t>
      </w:r>
      <w:r>
        <w:rPr>
          <w:rStyle w:val="Fontdeparagrafimplicit1"/>
          <w:i/>
          <w:sz w:val="28"/>
        </w:rPr>
        <w:t xml:space="preserve"> entităţilor învestite de lege, titularilor dosarelor şi oricăror altor instituţii care ar putea deţine documente relevante.</w:t>
      </w:r>
      <w:r>
        <w:rPr>
          <w:rStyle w:val="Fontdeparagrafimplicit1"/>
          <w:sz w:val="28"/>
        </w:rPr>
        <w:t xml:space="preserve"> (6) </w:t>
      </w:r>
      <w:r>
        <w:rPr>
          <w:rStyle w:val="Fontdeparagrafimplicit1"/>
          <w:b/>
          <w:i/>
          <w:sz w:val="28"/>
        </w:rPr>
        <w:t>Evaluarea imobilului</w:t>
      </w:r>
      <w:r>
        <w:rPr>
          <w:rStyle w:val="Fontdeparagrafimplicit1"/>
          <w:i/>
          <w:sz w:val="28"/>
        </w:rPr>
        <w:t xml:space="preserve"> ce face obiectul deciziei se face </w:t>
      </w:r>
      <w:r>
        <w:rPr>
          <w:rStyle w:val="Fontdeparagrafimplicit1"/>
          <w:b/>
          <w:i/>
          <w:sz w:val="28"/>
        </w:rPr>
        <w:t>pri</w:t>
      </w:r>
      <w:r>
        <w:rPr>
          <w:rStyle w:val="Fontdeparagrafimplicit1"/>
          <w:b/>
          <w:i/>
          <w:sz w:val="28"/>
        </w:rPr>
        <w:t>n aplicarea grilei notariale valabile</w:t>
      </w:r>
      <w:r>
        <w:rPr>
          <w:rStyle w:val="Fontdeparagrafimplicit1"/>
          <w:i/>
          <w:sz w:val="28"/>
        </w:rPr>
        <w:t xml:space="preserve"> la data intrării în vigoare a prezentei legi de către Secretariatul Comisiei Naţionale şi se exprimă în puncte. Un punct are valoarea de un leu</w:t>
      </w:r>
      <w:r>
        <w:rPr>
          <w:rStyle w:val="Fontdeparagrafimplicit1"/>
          <w:sz w:val="28"/>
        </w:rPr>
        <w:t xml:space="preserve">. (7) </w:t>
      </w:r>
      <w:r>
        <w:rPr>
          <w:rStyle w:val="Fontdeparagrafimplicit1"/>
          <w:i/>
          <w:sz w:val="28"/>
        </w:rPr>
        <w:t>Numărul de puncte se stabileşte după scăderea valorii actualizate a despăgubirilor încasate pentru imobilul evaluat conform alin. (6).</w:t>
      </w:r>
      <w:r>
        <w:rPr>
          <w:rStyle w:val="Fontdeparagrafimplicit1"/>
          <w:sz w:val="28"/>
        </w:rPr>
        <w:t xml:space="preserve"> (8) </w:t>
      </w:r>
      <w:r>
        <w:rPr>
          <w:rStyle w:val="Fontdeparagrafimplicit1"/>
          <w:i/>
          <w:sz w:val="28"/>
        </w:rPr>
        <w:t xml:space="preserve">Ulterior verificării şi evaluării, la propunerea Secretariatului Comisiei Naţionale, </w:t>
      </w:r>
      <w:r>
        <w:rPr>
          <w:rStyle w:val="Fontdeparagrafimplicit1"/>
          <w:b/>
          <w:i/>
          <w:sz w:val="28"/>
        </w:rPr>
        <w:t xml:space="preserve">Comisia Naţională validează sau invalidează decizia entităţii învestite de lege şi, după caz, aprobă </w:t>
      </w:r>
      <w:r>
        <w:rPr>
          <w:rStyle w:val="Fontdeparagrafimplicit1"/>
          <w:b/>
          <w:i/>
          <w:sz w:val="28"/>
        </w:rPr>
        <w:t>punctajul stabilit</w:t>
      </w:r>
      <w:r>
        <w:rPr>
          <w:rStyle w:val="Fontdeparagrafimplicit1"/>
          <w:i/>
          <w:sz w:val="28"/>
        </w:rPr>
        <w:t xml:space="preserve"> potrivit alin. (7).</w:t>
      </w:r>
      <w:r>
        <w:rPr>
          <w:rStyle w:val="Fontdeparagrafimplicit1"/>
          <w:sz w:val="28"/>
        </w:rPr>
        <w:t>”</w:t>
      </w:r>
    </w:p>
    <w:p w14:paraId="2B0AF014" w14:textId="77777777" w:rsidR="001629A6" w:rsidRDefault="00230318">
      <w:pPr>
        <w:ind w:firstLine="708"/>
        <w:jc w:val="both"/>
        <w:rPr>
          <w:rStyle w:val="Fontdeparagrafimplicit1"/>
          <w:sz w:val="28"/>
        </w:rPr>
      </w:pPr>
      <w:r>
        <w:rPr>
          <w:rStyle w:val="Fontdeparagrafimplicit1"/>
          <w:sz w:val="28"/>
        </w:rPr>
        <w:t>Faţă de aceste prevederi legale, Curtea reţine că nu mai poate fi menţinută soluţia instantei de recurs.  Având în vedere noua reglementare introdusă prin Legea nr. 165/2013, Curtea reţine că soluţia de pronunţat în prezenta cauză este aceea a obligării CNCI să-şi îndeplinească obligaţia de emitere a unei decizii de compensare sau de invalidare a deciziei entităţii învestite de lege, în conformitate cu procedura  prevăzută de art. 21 din Legea nr. 165/2013.</w:t>
      </w:r>
    </w:p>
    <w:p w14:paraId="5DA8E8CF" w14:textId="77777777" w:rsidR="001629A6" w:rsidRDefault="00230318">
      <w:pPr>
        <w:ind w:firstLine="708"/>
        <w:jc w:val="both"/>
        <w:rPr>
          <w:rStyle w:val="Fontdeparagrafimplicit1"/>
          <w:sz w:val="28"/>
        </w:rPr>
      </w:pPr>
      <w:r>
        <w:rPr>
          <w:rStyle w:val="Fontdeparagrafimplicit1"/>
          <w:sz w:val="28"/>
        </w:rPr>
        <w:t xml:space="preserve">În privinţa termenului în care CNCI trebuie să-şi îndeplinească obligaţia mai sus-menţionată, Curtea reţine că potrivit art. 32 alin. (1) din Legea nr. </w:t>
      </w:r>
      <w:r>
        <w:rPr>
          <w:rStyle w:val="Fontdeparagrafimplicit1"/>
          <w:sz w:val="28"/>
        </w:rPr>
        <w:lastRenderedPageBreak/>
        <w:t xml:space="preserve">165/2013 persoanele îndreptăţite au posibilitatea completării dosarelor depuse la entităţile învestite cu înscrisuri în termen de 120 de zile de la data care li se comunică in scris documentele necesare, iar conform alin. (2) termenul poate fi prelungit pentru o perioadă de 60 de zile. </w:t>
      </w:r>
    </w:p>
    <w:p w14:paraId="33F83A39" w14:textId="77777777" w:rsidR="001629A6" w:rsidRDefault="00230318">
      <w:pPr>
        <w:ind w:firstLine="708"/>
        <w:jc w:val="both"/>
        <w:rPr>
          <w:rStyle w:val="Fontdeparagrafimplicit1"/>
          <w:sz w:val="28"/>
        </w:rPr>
      </w:pPr>
      <w:r>
        <w:rPr>
          <w:rStyle w:val="Fontdeparagrafimplicit1"/>
          <w:sz w:val="28"/>
        </w:rPr>
        <w:t>În consecinţă, faţă de aceste termene, pentru a fi pe deplin asigurată în beneficiul părţii reclamante posibilitatea remedierii anumitor deficienţe de ordin probatoriu identificate de partea pârâtă, Curtea apreciază că un termen de 9 luni este rezonabil şi suficient pentru ca intimata CNCI să-şi îndeplinească obligaţia prevăzută la art. 21 din Legea nr. 165/2013.</w:t>
      </w:r>
    </w:p>
    <w:p w14:paraId="54DE5B32" w14:textId="77777777" w:rsidR="001629A6" w:rsidRDefault="00230318">
      <w:pPr>
        <w:ind w:firstLine="708"/>
        <w:jc w:val="both"/>
        <w:rPr>
          <w:rStyle w:val="Fontdeparagrafimplicit1"/>
          <w:sz w:val="28"/>
        </w:rPr>
      </w:pPr>
      <w:r>
        <w:rPr>
          <w:rStyle w:val="Fontdeparagrafimplicit1"/>
          <w:sz w:val="28"/>
        </w:rPr>
        <w:t>Va mentine in rest celelalte dispozitii ale sentintei recurate (privind respingerea cererii de suspendare a cauzei).</w:t>
      </w:r>
    </w:p>
    <w:p w14:paraId="715D79BC" w14:textId="77777777" w:rsidR="001629A6" w:rsidRDefault="001629A6">
      <w:pPr>
        <w:ind w:firstLine="708"/>
        <w:jc w:val="both"/>
        <w:rPr>
          <w:rStyle w:val="Fontdeparagrafimplicit1"/>
          <w:b/>
          <w:sz w:val="28"/>
        </w:rPr>
      </w:pPr>
    </w:p>
    <w:p w14:paraId="2A1402B5" w14:textId="77777777" w:rsidR="001629A6" w:rsidRDefault="00230318">
      <w:pPr>
        <w:ind w:firstLine="708"/>
        <w:jc w:val="center"/>
        <w:rPr>
          <w:rStyle w:val="Fontdeparagrafimplicit1"/>
          <w:b/>
          <w:sz w:val="28"/>
        </w:rPr>
      </w:pPr>
      <w:r>
        <w:rPr>
          <w:rStyle w:val="Fontdeparagrafimplicit1"/>
          <w:b/>
          <w:sz w:val="28"/>
        </w:rPr>
        <w:t>PENTRU ACESTE MOTIVE</w:t>
      </w:r>
    </w:p>
    <w:p w14:paraId="5CB89253" w14:textId="77777777" w:rsidR="001629A6" w:rsidRDefault="00230318">
      <w:pPr>
        <w:ind w:firstLine="708"/>
        <w:jc w:val="center"/>
        <w:rPr>
          <w:rStyle w:val="Fontdeparagrafimplicit1"/>
          <w:b/>
          <w:sz w:val="28"/>
        </w:rPr>
      </w:pPr>
      <w:r>
        <w:rPr>
          <w:rStyle w:val="Fontdeparagrafimplicit1"/>
          <w:b/>
          <w:sz w:val="28"/>
        </w:rPr>
        <w:t>ÎN NUMELE LEGII</w:t>
      </w:r>
    </w:p>
    <w:p w14:paraId="2FD25950" w14:textId="77777777" w:rsidR="001629A6" w:rsidRDefault="00230318">
      <w:pPr>
        <w:ind w:firstLine="708"/>
        <w:jc w:val="center"/>
        <w:rPr>
          <w:rStyle w:val="Fontdeparagrafimplicit1"/>
          <w:b/>
          <w:sz w:val="28"/>
        </w:rPr>
      </w:pPr>
      <w:r>
        <w:rPr>
          <w:rStyle w:val="Fontdeparagrafimplicit1"/>
          <w:b/>
          <w:sz w:val="28"/>
        </w:rPr>
        <w:t>DECIDE :</w:t>
      </w:r>
    </w:p>
    <w:p w14:paraId="33B91FC4" w14:textId="77777777" w:rsidR="001629A6" w:rsidRDefault="001629A6">
      <w:pPr>
        <w:rPr>
          <w:rStyle w:val="Fontdeparagrafimplicit1"/>
          <w:sz w:val="28"/>
        </w:rPr>
      </w:pPr>
    </w:p>
    <w:p w14:paraId="6004638A" w14:textId="676F5E64" w:rsidR="001629A6" w:rsidRDefault="00230318">
      <w:pPr>
        <w:ind w:firstLine="708"/>
        <w:jc w:val="both"/>
        <w:rPr>
          <w:rStyle w:val="Fontdeparagrafimplicit1"/>
          <w:b/>
          <w:color w:val="0B3857"/>
          <w:sz w:val="28"/>
        </w:rPr>
      </w:pPr>
      <w:r>
        <w:rPr>
          <w:rStyle w:val="Fontdeparagrafimplicit1"/>
          <w:sz w:val="28"/>
        </w:rPr>
        <w:t xml:space="preserve">Admite  cererea de revizuire formulată de </w:t>
      </w:r>
      <w:r>
        <w:rPr>
          <w:rStyle w:val="Fontdeparagrafimplicit1"/>
          <w:b/>
          <w:sz w:val="28"/>
        </w:rPr>
        <w:t xml:space="preserve">revizuentele </w:t>
      </w:r>
      <w:r w:rsidR="00682F43">
        <w:rPr>
          <w:rStyle w:val="Fontdeparagrafimplicit1"/>
          <w:b/>
          <w:sz w:val="28"/>
        </w:rPr>
        <w:t>NC</w:t>
      </w:r>
      <w:r>
        <w:rPr>
          <w:rStyle w:val="Fontdeparagrafimplicit1"/>
          <w:b/>
          <w:sz w:val="28"/>
        </w:rPr>
        <w:t xml:space="preserve"> şi </w:t>
      </w:r>
      <w:r w:rsidR="00682F43">
        <w:rPr>
          <w:rStyle w:val="Fontdeparagrafimplicit1"/>
          <w:b/>
          <w:sz w:val="28"/>
        </w:rPr>
        <w:t>DM</w:t>
      </w:r>
      <w:r>
        <w:rPr>
          <w:rStyle w:val="Fontdeparagrafimplicit1"/>
          <w:sz w:val="28"/>
        </w:rPr>
        <w:t xml:space="preserve"> împotriva deciziei civile nr. </w:t>
      </w:r>
      <w:r w:rsidR="00682F43">
        <w:rPr>
          <w:rStyle w:val="Fontdeparagrafimplicit1"/>
          <w:sz w:val="28"/>
        </w:rPr>
        <w:t>....</w:t>
      </w:r>
      <w:r>
        <w:rPr>
          <w:rStyle w:val="Fontdeparagrafimplicit1"/>
          <w:sz w:val="28"/>
        </w:rPr>
        <w:t xml:space="preserve">2013 pronunţată de Curtea de Apel </w:t>
      </w:r>
      <w:r w:rsidR="00682F43">
        <w:rPr>
          <w:rStyle w:val="Fontdeparagrafimplicit1"/>
          <w:sz w:val="28"/>
        </w:rPr>
        <w:t>X</w:t>
      </w:r>
      <w:r>
        <w:rPr>
          <w:rStyle w:val="Fontdeparagrafimplicit1"/>
          <w:sz w:val="28"/>
        </w:rPr>
        <w:t xml:space="preserve"> – Secţia </w:t>
      </w:r>
      <w:r w:rsidR="00682F43">
        <w:rPr>
          <w:rStyle w:val="Fontdeparagrafimplicit1"/>
          <w:sz w:val="28"/>
        </w:rPr>
        <w:t>....</w:t>
      </w:r>
      <w:r>
        <w:rPr>
          <w:rStyle w:val="Fontdeparagrafimplicit1"/>
          <w:sz w:val="28"/>
        </w:rPr>
        <w:t xml:space="preserve"> Contencios Administrativ şi Fiscal, în dosarul nr. </w:t>
      </w:r>
      <w:r w:rsidR="00682F43">
        <w:rPr>
          <w:rStyle w:val="Fontdeparagrafimplicit1"/>
          <w:sz w:val="28"/>
        </w:rPr>
        <w:t>....</w:t>
      </w:r>
      <w:r>
        <w:rPr>
          <w:rStyle w:val="Fontdeparagrafimplicit1"/>
          <w:sz w:val="28"/>
        </w:rPr>
        <w:t xml:space="preserve">, în contradictoriu cu </w:t>
      </w:r>
      <w:r>
        <w:rPr>
          <w:rStyle w:val="Fontdeparagrafimplicit1"/>
          <w:b/>
          <w:sz w:val="28"/>
        </w:rPr>
        <w:t>intimatul COMISIA NATIONALA PENTRU COMPENSAREA IMOBILELOR.</w:t>
      </w:r>
    </w:p>
    <w:p w14:paraId="236B8DF6" w14:textId="77777777" w:rsidR="001629A6" w:rsidRDefault="00230318">
      <w:pPr>
        <w:ind w:firstLine="708"/>
        <w:jc w:val="both"/>
        <w:rPr>
          <w:rStyle w:val="Fontdeparagrafimplicit1"/>
          <w:sz w:val="28"/>
        </w:rPr>
      </w:pPr>
      <w:r>
        <w:rPr>
          <w:rStyle w:val="Fontdeparagrafimplicit1"/>
          <w:sz w:val="28"/>
        </w:rPr>
        <w:t xml:space="preserve">Anulează decizia recurată şi în rejudecarea recursului : </w:t>
      </w:r>
    </w:p>
    <w:p w14:paraId="7031CE43" w14:textId="77777777" w:rsidR="001629A6" w:rsidRDefault="00230318">
      <w:pPr>
        <w:ind w:firstLine="708"/>
        <w:jc w:val="both"/>
        <w:rPr>
          <w:rStyle w:val="Fontdeparagrafimplicit1"/>
          <w:sz w:val="28"/>
        </w:rPr>
      </w:pPr>
      <w:r>
        <w:rPr>
          <w:rStyle w:val="Fontdeparagrafimplicit1"/>
          <w:sz w:val="28"/>
        </w:rPr>
        <w:t xml:space="preserve">Admite recursul. </w:t>
      </w:r>
    </w:p>
    <w:p w14:paraId="41C2CD83" w14:textId="77777777" w:rsidR="001629A6" w:rsidRDefault="00230318">
      <w:pPr>
        <w:ind w:firstLine="708"/>
        <w:jc w:val="both"/>
        <w:rPr>
          <w:rStyle w:val="Fontdeparagrafimplicit1"/>
          <w:sz w:val="28"/>
        </w:rPr>
      </w:pPr>
      <w:r>
        <w:rPr>
          <w:rStyle w:val="Fontdeparagrafimplicit1"/>
          <w:sz w:val="28"/>
        </w:rPr>
        <w:t xml:space="preserve">Modifică în parte sentinţa recurată în sensul că : </w:t>
      </w:r>
    </w:p>
    <w:p w14:paraId="6952E717" w14:textId="77777777" w:rsidR="001629A6" w:rsidRDefault="00230318">
      <w:pPr>
        <w:ind w:firstLine="708"/>
        <w:jc w:val="both"/>
        <w:rPr>
          <w:rStyle w:val="Fontdeparagrafimplicit1"/>
          <w:sz w:val="28"/>
        </w:rPr>
      </w:pPr>
      <w:r>
        <w:rPr>
          <w:rStyle w:val="Fontdeparagrafimplicit1"/>
          <w:sz w:val="28"/>
        </w:rPr>
        <w:t xml:space="preserve">Admite în parte acţiunea. </w:t>
      </w:r>
    </w:p>
    <w:p w14:paraId="2C7848A8" w14:textId="77777777" w:rsidR="001629A6" w:rsidRDefault="00230318">
      <w:pPr>
        <w:ind w:firstLine="708"/>
        <w:jc w:val="both"/>
        <w:rPr>
          <w:rStyle w:val="Fontdeparagrafimplicit1"/>
          <w:sz w:val="28"/>
        </w:rPr>
      </w:pPr>
      <w:r>
        <w:rPr>
          <w:rStyle w:val="Fontdeparagrafimplicit1"/>
          <w:sz w:val="28"/>
        </w:rPr>
        <w:t xml:space="preserve">Obligă pârâta CNCI să soluţioneze dosarul de despăgubire privind pe reclamant,prin emiterea unei decizii de compensare sau decizii de invalidare, în termen de 9 (nouă) luni de la data pronunţării prezentei decizii. </w:t>
      </w:r>
    </w:p>
    <w:p w14:paraId="1D880CB5" w14:textId="77777777" w:rsidR="001629A6" w:rsidRDefault="00230318">
      <w:pPr>
        <w:ind w:firstLine="708"/>
        <w:jc w:val="both"/>
        <w:rPr>
          <w:rStyle w:val="Fontdeparagrafimplicit1"/>
          <w:sz w:val="28"/>
        </w:rPr>
      </w:pPr>
      <w:r>
        <w:rPr>
          <w:rStyle w:val="Fontdeparagrafimplicit1"/>
          <w:sz w:val="28"/>
        </w:rPr>
        <w:t xml:space="preserve">Menţine în rest celelalte dispoziţii ale sentinţei recurate. </w:t>
      </w:r>
    </w:p>
    <w:p w14:paraId="075C2DA9" w14:textId="77777777" w:rsidR="001629A6" w:rsidRDefault="00230318">
      <w:pPr>
        <w:ind w:firstLine="708"/>
        <w:jc w:val="both"/>
        <w:rPr>
          <w:rStyle w:val="Fontdeparagrafimplicit1"/>
          <w:sz w:val="28"/>
        </w:rPr>
      </w:pPr>
      <w:r>
        <w:rPr>
          <w:rStyle w:val="Fontdeparagrafimplicit1"/>
          <w:sz w:val="28"/>
        </w:rPr>
        <w:t xml:space="preserve">Irevocabilă. </w:t>
      </w:r>
    </w:p>
    <w:p w14:paraId="76505ED1" w14:textId="6280E0F0" w:rsidR="001629A6" w:rsidRDefault="00230318">
      <w:pPr>
        <w:ind w:firstLine="708"/>
        <w:jc w:val="both"/>
        <w:rPr>
          <w:rStyle w:val="Fontdeparagrafimplicit1"/>
          <w:sz w:val="28"/>
        </w:rPr>
      </w:pPr>
      <w:r>
        <w:rPr>
          <w:rStyle w:val="Fontdeparagrafimplicit1"/>
          <w:sz w:val="28"/>
        </w:rPr>
        <w:t>Pronunţată în şedinţă publică, azi</w:t>
      </w:r>
      <w:r w:rsidR="00033E17">
        <w:rPr>
          <w:rStyle w:val="Fontdeparagrafimplicit1"/>
          <w:sz w:val="28"/>
        </w:rPr>
        <w:t xml:space="preserve"> .... </w:t>
      </w:r>
      <w:r>
        <w:rPr>
          <w:rStyle w:val="Fontdeparagrafimplicit1"/>
          <w:sz w:val="28"/>
        </w:rPr>
        <w:t>2014.</w:t>
      </w:r>
    </w:p>
    <w:p w14:paraId="04528180" w14:textId="77777777" w:rsidR="001629A6" w:rsidRDefault="001629A6">
      <w:pPr>
        <w:rPr>
          <w:rStyle w:val="Fontdeparagrafimplicit1"/>
          <w:sz w:val="28"/>
        </w:rPr>
      </w:pPr>
    </w:p>
    <w:p w14:paraId="6C3EAB7E" w14:textId="77777777" w:rsidR="001629A6" w:rsidRDefault="00230318">
      <w:pPr>
        <w:rPr>
          <w:rStyle w:val="Fontdeparagrafimplicit1"/>
          <w:i/>
        </w:rPr>
      </w:pPr>
      <w:r>
        <w:rPr>
          <w:rStyle w:val="Fontdeparagrafimplicit1"/>
          <w:b/>
          <w:i/>
          <w:sz w:val="28"/>
        </w:rPr>
        <w:t xml:space="preserve">      </w:t>
      </w:r>
      <w:r>
        <w:rPr>
          <w:rStyle w:val="Fontdeparagrafimplicit1"/>
          <w:b/>
          <w:i/>
        </w:rPr>
        <w:t>PREŞEDINTE,                             JUDECĂTOR,                              JUDECĂTOR,</w:t>
      </w:r>
      <w:r>
        <w:rPr>
          <w:rStyle w:val="Fontdeparagrafimplicit1"/>
          <w:i/>
        </w:rPr>
        <w:t xml:space="preserve">    </w:t>
      </w:r>
    </w:p>
    <w:p w14:paraId="3B45F01E" w14:textId="3A1F48C4" w:rsidR="001629A6" w:rsidRDefault="00230318">
      <w:pPr>
        <w:rPr>
          <w:rStyle w:val="Fontdeparagrafimplicit1"/>
          <w:i/>
        </w:rPr>
      </w:pPr>
      <w:r>
        <w:rPr>
          <w:rStyle w:val="Fontdeparagrafimplicit1"/>
          <w:i/>
        </w:rPr>
        <w:t xml:space="preserve">                             </w:t>
      </w:r>
      <w:r w:rsidR="00682F43">
        <w:rPr>
          <w:rStyle w:val="Fontdeparagrafimplicit1"/>
          <w:i/>
        </w:rPr>
        <w:t>....</w:t>
      </w:r>
      <w:r w:rsidR="00976A17">
        <w:rPr>
          <w:rStyle w:val="Fontdeparagrafimplicit1"/>
          <w:i/>
        </w:rPr>
        <w:t xml:space="preserve">      </w:t>
      </w:r>
      <w:r>
        <w:rPr>
          <w:rStyle w:val="Fontdeparagrafimplicit1"/>
          <w:i/>
        </w:rPr>
        <w:t xml:space="preserve">                              </w:t>
      </w:r>
      <w:r w:rsidR="00976A17">
        <w:rPr>
          <w:rStyle w:val="Fontdeparagrafimplicit1"/>
          <w:i/>
        </w:rPr>
        <w:t xml:space="preserve"> </w:t>
      </w:r>
      <w:r>
        <w:rPr>
          <w:rStyle w:val="Fontdeparagrafimplicit1"/>
          <w:i/>
        </w:rPr>
        <w:t>A0017</w:t>
      </w:r>
      <w:r w:rsidR="00976A17">
        <w:rPr>
          <w:rStyle w:val="Fontdeparagrafimplicit1"/>
          <w:i/>
        </w:rPr>
        <w:t xml:space="preserve">      </w:t>
      </w:r>
      <w:r>
        <w:rPr>
          <w:rStyle w:val="Fontdeparagrafimplicit1"/>
          <w:i/>
        </w:rPr>
        <w:t xml:space="preserve">                                 </w:t>
      </w:r>
      <w:r w:rsidR="00976A17">
        <w:rPr>
          <w:rStyle w:val="Fontdeparagrafimplicit1"/>
          <w:i/>
        </w:rPr>
        <w:t xml:space="preserve">   </w:t>
      </w:r>
      <w:r>
        <w:rPr>
          <w:rStyle w:val="Fontdeparagrafimplicit1"/>
          <w:i/>
        </w:rPr>
        <w:t>......</w:t>
      </w:r>
    </w:p>
    <w:p w14:paraId="051985BF" w14:textId="77777777" w:rsidR="001629A6" w:rsidRDefault="001629A6">
      <w:pPr>
        <w:rPr>
          <w:rStyle w:val="Fontdeparagrafimplicit1"/>
          <w:i/>
        </w:rPr>
      </w:pPr>
    </w:p>
    <w:p w14:paraId="3F2C9181" w14:textId="77777777" w:rsidR="001629A6" w:rsidRDefault="00230318">
      <w:pPr>
        <w:rPr>
          <w:rStyle w:val="Fontdeparagrafimplicit1"/>
          <w:b/>
          <w:i/>
        </w:rPr>
      </w:pPr>
      <w:r>
        <w:rPr>
          <w:rStyle w:val="Fontdeparagrafimplicit1"/>
          <w:i/>
        </w:rPr>
        <w:t xml:space="preserve">    </w:t>
      </w:r>
      <w:r>
        <w:rPr>
          <w:rStyle w:val="Fontdeparagrafimplicit1"/>
          <w:b/>
        </w:rPr>
        <w:t xml:space="preserve">    </w:t>
      </w:r>
      <w:r>
        <w:rPr>
          <w:rStyle w:val="Fontdeparagrafimplicit1"/>
          <w:b/>
          <w:i/>
        </w:rPr>
        <w:t xml:space="preserve">                               </w:t>
      </w:r>
      <w:r>
        <w:t xml:space="preserve">    </w:t>
      </w:r>
      <w:r>
        <w:rPr>
          <w:rStyle w:val="Fontdeparagrafimplicit1"/>
          <w:b/>
        </w:rPr>
        <w:t xml:space="preserve">            </w:t>
      </w:r>
      <w:r>
        <w:rPr>
          <w:rStyle w:val="Fontdeparagrafimplicit1"/>
          <w:b/>
          <w:i/>
        </w:rPr>
        <w:t xml:space="preserve">                       </w:t>
      </w:r>
    </w:p>
    <w:p w14:paraId="2BD6E6A5" w14:textId="77777777" w:rsidR="001629A6" w:rsidRDefault="001629A6">
      <w:pPr>
        <w:jc w:val="both"/>
        <w:rPr>
          <w:rStyle w:val="Fontdeparagrafimplicit1"/>
        </w:rPr>
      </w:pPr>
    </w:p>
    <w:p w14:paraId="6E5B072E" w14:textId="77777777" w:rsidR="001629A6" w:rsidRDefault="00230318">
      <w:pPr>
        <w:jc w:val="center"/>
        <w:rPr>
          <w:rStyle w:val="Fontdeparagrafimplicit1"/>
          <w:b/>
          <w:i/>
        </w:rPr>
      </w:pPr>
      <w:r>
        <w:rPr>
          <w:rStyle w:val="Fontdeparagrafimplicit1"/>
          <w:b/>
          <w:i/>
        </w:rPr>
        <w:t>GREFIER</w:t>
      </w:r>
    </w:p>
    <w:p w14:paraId="352F553D" w14:textId="3D0C3F49" w:rsidR="001629A6" w:rsidRDefault="00230318">
      <w:pPr>
        <w:ind w:left="2160" w:firstLine="720"/>
        <w:rPr>
          <w:rStyle w:val="Fontdeparagrafimplicit1"/>
          <w:i/>
        </w:rPr>
      </w:pPr>
      <w:r>
        <w:rPr>
          <w:rStyle w:val="Fontdeparagrafimplicit1"/>
          <w:i/>
        </w:rPr>
        <w:t xml:space="preserve">   </w:t>
      </w:r>
      <w:r w:rsidR="00033E17">
        <w:rPr>
          <w:rStyle w:val="Fontdeparagrafimplicit1"/>
          <w:i/>
        </w:rPr>
        <w:t xml:space="preserve">                   </w:t>
      </w:r>
      <w:r>
        <w:rPr>
          <w:rStyle w:val="Fontdeparagrafimplicit1"/>
          <w:i/>
        </w:rPr>
        <w:t xml:space="preserve">   </w:t>
      </w:r>
      <w:r w:rsidR="00033E17">
        <w:rPr>
          <w:rStyle w:val="Fontdeparagrafimplicit1"/>
          <w:i/>
        </w:rPr>
        <w:t>....</w:t>
      </w:r>
      <w:r>
        <w:rPr>
          <w:rStyle w:val="Fontdeparagrafimplicit1"/>
          <w:i/>
        </w:rPr>
        <w:t xml:space="preserve"> </w:t>
      </w:r>
    </w:p>
    <w:p w14:paraId="73E5E3CB" w14:textId="77777777" w:rsidR="001629A6" w:rsidRDefault="001629A6">
      <w:pPr>
        <w:ind w:left="2160" w:firstLine="720"/>
        <w:rPr>
          <w:rStyle w:val="Fontdeparagrafimplicit1"/>
          <w:i/>
        </w:rPr>
      </w:pPr>
    </w:p>
    <w:p w14:paraId="5560CC65" w14:textId="77777777" w:rsidR="001629A6" w:rsidRDefault="001629A6">
      <w:pPr>
        <w:rPr>
          <w:rStyle w:val="Fontdeparagrafimplicit1"/>
          <w:i/>
        </w:rPr>
      </w:pPr>
    </w:p>
    <w:p w14:paraId="7D8E1D06" w14:textId="21660C65" w:rsidR="001629A6" w:rsidRDefault="00230318">
      <w:pPr>
        <w:rPr>
          <w:rStyle w:val="Fontdeparagrafimplicit1"/>
          <w:i/>
        </w:rPr>
      </w:pPr>
      <w:r>
        <w:rPr>
          <w:rStyle w:val="Fontdeparagrafimplicit1"/>
          <w:i/>
        </w:rPr>
        <w:t>Red.jud.</w:t>
      </w:r>
      <w:r w:rsidR="00033E17">
        <w:rPr>
          <w:rStyle w:val="Fontdeparagrafimplicit1"/>
          <w:i/>
        </w:rPr>
        <w:t>A0017</w:t>
      </w:r>
    </w:p>
    <w:p w14:paraId="4FFC6351" w14:textId="77777777" w:rsidR="001629A6" w:rsidRDefault="00230318">
      <w:pPr>
        <w:rPr>
          <w:rStyle w:val="Fontdeparagrafimplicit1"/>
          <w:i/>
        </w:rPr>
      </w:pPr>
      <w:r>
        <w:rPr>
          <w:rStyle w:val="Fontdeparagrafimplicit1"/>
          <w:i/>
        </w:rPr>
        <w:t>Tehnored.</w:t>
      </w:r>
    </w:p>
    <w:p w14:paraId="207B093F" w14:textId="77777777" w:rsidR="001629A6" w:rsidRDefault="00230318">
      <w:pPr>
        <w:rPr>
          <w:rStyle w:val="Fontdeparagrafimplicit1"/>
          <w:i/>
        </w:rPr>
      </w:pPr>
      <w:r>
        <w:rPr>
          <w:rStyle w:val="Fontdeparagrafimplicit1"/>
          <w:i/>
        </w:rPr>
        <w:t>2 ex./.........................</w:t>
      </w:r>
    </w:p>
    <w:p w14:paraId="2B1E822A" w14:textId="2E3370C5" w:rsidR="001629A6" w:rsidRDefault="00230318">
      <w:pPr>
        <w:rPr>
          <w:rStyle w:val="Fontdeparagrafimplicit1"/>
          <w:i/>
        </w:rPr>
      </w:pPr>
      <w:r>
        <w:rPr>
          <w:rStyle w:val="Fontdeparagrafimplicit1"/>
          <w:i/>
        </w:rPr>
        <w:t xml:space="preserve">Curtea de Apel </w:t>
      </w:r>
      <w:r w:rsidR="00682F43">
        <w:rPr>
          <w:rStyle w:val="Fontdeparagrafimplicit1"/>
          <w:i/>
        </w:rPr>
        <w:t>X</w:t>
      </w:r>
      <w:r>
        <w:rPr>
          <w:rStyle w:val="Fontdeparagrafimplicit1"/>
          <w:i/>
        </w:rPr>
        <w:t xml:space="preserve"> – Secţia </w:t>
      </w:r>
      <w:r w:rsidR="00682F43">
        <w:rPr>
          <w:rStyle w:val="Fontdeparagrafimplicit1"/>
          <w:i/>
        </w:rPr>
        <w:t>....</w:t>
      </w:r>
      <w:r>
        <w:rPr>
          <w:rStyle w:val="Fontdeparagrafimplicit1"/>
          <w:i/>
        </w:rPr>
        <w:t xml:space="preserve"> Contencios Administrativ şi Fiscal</w:t>
      </w:r>
    </w:p>
    <w:p w14:paraId="4C745BA6" w14:textId="2EE8BEBA" w:rsidR="001629A6" w:rsidRDefault="00230318">
      <w:pPr>
        <w:rPr>
          <w:rStyle w:val="Fontdeparagrafimplicit1"/>
          <w:i/>
        </w:rPr>
      </w:pPr>
      <w:r>
        <w:rPr>
          <w:rStyle w:val="Fontdeparagrafimplicit1"/>
          <w:i/>
        </w:rPr>
        <w:lastRenderedPageBreak/>
        <w:t xml:space="preserve">Judecător – </w:t>
      </w:r>
      <w:r w:rsidR="00033E17">
        <w:rPr>
          <w:rStyle w:val="Fontdeparagrafimplicit1"/>
          <w:i/>
        </w:rPr>
        <w:t>......</w:t>
      </w:r>
    </w:p>
    <w:p w14:paraId="26ECD9B4" w14:textId="77777777" w:rsidR="001629A6" w:rsidRDefault="001629A6">
      <w:pPr>
        <w:rPr>
          <w:rStyle w:val="Fontdeparagrafimplicit1"/>
        </w:rPr>
      </w:pPr>
    </w:p>
    <w:p w14:paraId="6768A588" w14:textId="77777777" w:rsidR="001629A6" w:rsidRDefault="001629A6">
      <w:pPr>
        <w:rPr>
          <w:rStyle w:val="Fontdeparagrafimplicit1"/>
        </w:rPr>
      </w:pPr>
    </w:p>
    <w:sectPr w:rsidR="001629A6">
      <w:footerReference w:type="default" r:id="rId7"/>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ED517" w14:textId="77777777" w:rsidR="00230318" w:rsidRDefault="00230318">
      <w:r>
        <w:separator/>
      </w:r>
    </w:p>
  </w:endnote>
  <w:endnote w:type="continuationSeparator" w:id="0">
    <w:p w14:paraId="19C043A4" w14:textId="77777777" w:rsidR="00230318" w:rsidRDefault="0023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FC7F7" w14:textId="77777777" w:rsidR="001629A6" w:rsidRDefault="00230318">
    <w:pPr>
      <w:pStyle w:val="Subsol1"/>
      <w:jc w:val="right"/>
    </w:pPr>
    <w:r>
      <w:fldChar w:fldCharType="begin"/>
    </w:r>
    <w:r>
      <w:instrText>PAGE   \* MERGEFORMAT</w:instrText>
    </w:r>
    <w:r>
      <w:fldChar w:fldCharType="separate"/>
    </w:r>
    <w:r>
      <w:t>#</w:t>
    </w:r>
    <w:r>
      <w:fldChar w:fldCharType="end"/>
    </w:r>
  </w:p>
  <w:p w14:paraId="17772533" w14:textId="77777777" w:rsidR="001629A6" w:rsidRDefault="001629A6">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ABB5" w14:textId="77777777" w:rsidR="00230318" w:rsidRDefault="00230318">
      <w:r>
        <w:separator/>
      </w:r>
    </w:p>
  </w:footnote>
  <w:footnote w:type="continuationSeparator" w:id="0">
    <w:p w14:paraId="1068F427" w14:textId="77777777" w:rsidR="00230318" w:rsidRDefault="00230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853D06"/>
    <w:multiLevelType w:val="multilevel"/>
    <w:tmpl w:val="659A459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337972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899946&amp;id_departament=5&amp;id_sesiune=1517757&amp;id_user=389&amp;id_institutie=2&amp;actiune=modifica"/>
  </w:docVars>
  <w:rsids>
    <w:rsidRoot w:val="001629A6"/>
    <w:rsid w:val="00033E17"/>
    <w:rsid w:val="001629A6"/>
    <w:rsid w:val="00230318"/>
    <w:rsid w:val="004F11E2"/>
    <w:rsid w:val="00512563"/>
    <w:rsid w:val="00682F43"/>
    <w:rsid w:val="00933D12"/>
    <w:rsid w:val="0097315D"/>
    <w:rsid w:val="00976A17"/>
    <w:rsid w:val="00AC2C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9505E"/>
  <w15:docId w15:val="{ED8EE3BF-D5BE-4270-ACE3-4CB9B78CC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10</Pages>
  <Words>3800</Words>
  <Characters>22041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25790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dcterms:created xsi:type="dcterms:W3CDTF">2026-09-03T07:36:00Z</dcterms:created>
  <dcterms:modified xsi:type="dcterms:W3CDTF">2026-09-03T07:38:00Z</dcterms:modified>
  <cp:category/>
  <dc:identifier/>
  <cp:contentStatus/>
  <dc:language/>
  <cp:version/>
</cp:coreProperties>
</file>