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5.0 -->
  <w:body>
    <w:p w:rsidR="00AC7FFE" w14:paraId="615B7AA4" w14:textId="77777777">
      <w:pPr>
        <w:jc w:val="center"/>
      </w:pPr>
      <w:r>
        <w:t>R O M A N I A</w:t>
      </w:r>
    </w:p>
    <w:p w:rsidR="00AC7FFE" w14:paraId="0D7CCDA8" w14:textId="2F4A846F">
      <w:pPr>
        <w:jc w:val="center"/>
      </w:pPr>
      <w:r>
        <w:t xml:space="preserve">CURTEA DE APEL </w:t>
      </w:r>
      <w:r w:rsidR="00686792">
        <w:t xml:space="preserve">............... </w:t>
      </w:r>
    </w:p>
    <w:p w:rsidR="00AC7FFE" w14:paraId="07EA64FA" w14:textId="431B6D6B">
      <w:pPr>
        <w:jc w:val="center"/>
      </w:pPr>
      <w:r>
        <w:t xml:space="preserve">Secţia </w:t>
      </w:r>
      <w:r w:rsidR="00686792">
        <w:t xml:space="preserve">............... </w:t>
      </w:r>
    </w:p>
    <w:p w:rsidR="00AC7FFE" w14:paraId="46306E1D" w14:textId="77777777">
      <w:pPr>
        <w:jc w:val="center"/>
      </w:pPr>
    </w:p>
    <w:p w:rsidR="00AC7FFE" w14:paraId="4AFD1737" w14:textId="0388A099">
      <w:r>
        <w:t xml:space="preserve">       Dosar nr. </w:t>
      </w:r>
      <w:r w:rsidR="00686792">
        <w:t>27</w:t>
      </w:r>
    </w:p>
    <w:p w:rsidR="00AC7FFE" w14:paraId="6A707A29" w14:textId="77777777"/>
    <w:p w:rsidRPr="00686792" w:rsidR="00AC7FFE" w14:paraId="780B6749" w14:textId="05A5F9FF">
      <w:pPr>
        <w:ind w:left="2124"/>
        <w:rPr>
          <w:rStyle w:val="Fontdeparagrafimplicit"/>
          <w:lang w:val="pt-PT"/>
        </w:rPr>
      </w:pPr>
      <w:r w:rsidRPr="00686792">
        <w:rPr>
          <w:rStyle w:val="Fontdeparagrafimplicit"/>
          <w:b/>
          <w:lang w:val="pt-PT"/>
        </w:rPr>
        <w:t xml:space="preserve">   DECIZIA CIVILĂ Nr.</w:t>
      </w:r>
      <w:r w:rsidR="00686792">
        <w:rPr>
          <w:rStyle w:val="Fontdeparagrafimplicit"/>
          <w:b/>
          <w:lang w:val="pt-PT"/>
        </w:rPr>
        <w:t xml:space="preserve"> 27</w:t>
      </w:r>
    </w:p>
    <w:p w:rsidR="00AC7FFE" w14:paraId="6886470A" w14:textId="0C703813">
      <w:pPr>
        <w:jc w:val="center"/>
      </w:pPr>
      <w:r>
        <w:t xml:space="preserve">Şedinţa publică din data de </w:t>
      </w:r>
      <w:r w:rsidR="00686792">
        <w:t xml:space="preserve">............ </w:t>
      </w:r>
    </w:p>
    <w:p w:rsidR="00AC7FFE" w14:paraId="02603DA7" w14:textId="77777777">
      <w:pPr>
        <w:jc w:val="center"/>
      </w:pPr>
      <w:r>
        <w:t>Instanţa constituită din:</w:t>
      </w:r>
    </w:p>
    <w:p w:rsidR="00AC7FFE" w14:paraId="4129DC2D" w14:textId="72C53719">
      <w:r>
        <w:t xml:space="preserve">                             PREŞEDINTE: </w:t>
      </w:r>
      <w:r w:rsidR="00686792">
        <w:t>A0019</w:t>
      </w:r>
    </w:p>
    <w:p w:rsidR="00AC7FFE" w14:paraId="7DF08024" w14:textId="6324E4D1">
      <w:pPr>
        <w:jc w:val="center"/>
      </w:pPr>
      <w:r>
        <w:t xml:space="preserve">JUDECĂTOR: </w:t>
      </w:r>
      <w:r w:rsidR="00686792">
        <w:t xml:space="preserve">................ </w:t>
      </w:r>
    </w:p>
    <w:p w:rsidR="00AC7FFE" w14:paraId="0E70D519" w14:textId="2FF62CC7">
      <w:pPr>
        <w:ind w:left="2124" w:firstLine="708"/>
      </w:pPr>
      <w:r>
        <w:t xml:space="preserve">JUDECĂTOR: </w:t>
      </w:r>
      <w:r w:rsidR="00686792">
        <w:t xml:space="preserve">................ </w:t>
      </w:r>
    </w:p>
    <w:p w:rsidR="00AC7FFE" w14:paraId="19ABE8D7" w14:textId="772C66E8">
      <w:r>
        <w:t xml:space="preserve">                                   GREFIER: </w:t>
      </w:r>
      <w:r w:rsidR="00686792">
        <w:t xml:space="preserve">................ </w:t>
      </w:r>
    </w:p>
    <w:p w:rsidR="00AC7FFE" w14:paraId="731041E4" w14:textId="77777777">
      <w:pPr>
        <w:jc w:val="center"/>
      </w:pPr>
    </w:p>
    <w:p w:rsidR="00AC7FFE" w14:paraId="51BCB419" w14:textId="2E825279">
      <w:pPr>
        <w:ind w:firstLine="708"/>
        <w:jc w:val="both"/>
      </w:pPr>
      <w:r>
        <w:t xml:space="preserve">S-a luat în examinare, în vederea pronunţării, recursul declarat de reclamanta </w:t>
      </w:r>
      <w:r w:rsidR="00686792">
        <w:t>1</w:t>
      </w:r>
      <w:r>
        <w:t xml:space="preserve"> împotriva sentinţei civile nr. </w:t>
      </w:r>
      <w:r w:rsidR="00686792">
        <w:t xml:space="preserve">........... </w:t>
      </w:r>
      <w:r>
        <w:t xml:space="preserve">din </w:t>
      </w:r>
      <w:r w:rsidR="00686792">
        <w:t xml:space="preserve">........... </w:t>
      </w:r>
      <w:r>
        <w:t xml:space="preserve">pronunţate de Tribunalul </w:t>
      </w:r>
      <w:r w:rsidR="00686792">
        <w:t xml:space="preserve">............... </w:t>
      </w:r>
      <w:r>
        <w:t xml:space="preserve"> în dosar nr. </w:t>
      </w:r>
      <w:r w:rsidR="00686792">
        <w:t xml:space="preserve">27 </w:t>
      </w:r>
      <w:r>
        <w:t xml:space="preserve">privind şi pe intimata pârâtă S.C. </w:t>
      </w:r>
      <w:r w:rsidR="00686792">
        <w:t xml:space="preserve">2 </w:t>
      </w:r>
      <w:r>
        <w:t>SA, având ca obiect acţiune în constatare.</w:t>
      </w:r>
    </w:p>
    <w:p w:rsidR="00AC7FFE" w14:paraId="4F560F0E" w14:textId="7AF43519">
      <w:pPr>
        <w:ind w:firstLine="708"/>
        <w:jc w:val="both"/>
      </w:pPr>
      <w:r>
        <w:t xml:space="preserve">Susţinerile părţilor prezente s-au consemnat în încheierea şedinţei publice din data de </w:t>
      </w:r>
      <w:r w:rsidR="00686792">
        <w:t xml:space="preserve">................ </w:t>
      </w:r>
      <w:r>
        <w:t>, când s-a amânat pronunţarea, încheiere care face parte integrantă din prezenta decizie.</w:t>
      </w:r>
    </w:p>
    <w:p w:rsidR="00AC7FFE" w14:paraId="338C5C1C" w14:textId="77777777">
      <w:pPr>
        <w:jc w:val="center"/>
      </w:pPr>
    </w:p>
    <w:p w:rsidR="00AC7FFE" w14:paraId="2AB677B6" w14:textId="77777777">
      <w:pPr>
        <w:jc w:val="center"/>
      </w:pPr>
      <w:r>
        <w:t>C U R T E A</w:t>
      </w:r>
    </w:p>
    <w:p w:rsidR="00AC7FFE" w14:paraId="351B5D48" w14:textId="77777777">
      <w:pPr>
        <w:jc w:val="center"/>
      </w:pPr>
    </w:p>
    <w:p w:rsidRPr="00686792" w:rsidR="00AC7FFE" w14:paraId="75D656AA" w14:textId="759F6AE5">
      <w:pPr>
        <w:ind w:firstLine="708"/>
        <w:jc w:val="both"/>
        <w:rPr>
          <w:rStyle w:val="Fontdeparagrafimplicit"/>
          <w:i/>
          <w:lang w:val="ro-RO"/>
        </w:rPr>
      </w:pPr>
      <w:r w:rsidRPr="00686792">
        <w:rPr>
          <w:rStyle w:val="Fontdeparagrafimplicit"/>
          <w:i/>
          <w:lang w:val="ro-RO"/>
        </w:rPr>
        <w:t xml:space="preserve">Prin sentinţa civilă nr. </w:t>
      </w:r>
      <w:r w:rsidR="00686792">
        <w:rPr>
          <w:rStyle w:val="Fontdeparagrafimplicit"/>
          <w:i/>
          <w:lang w:val="ro-RO"/>
        </w:rPr>
        <w:t xml:space="preserve">........... </w:t>
      </w:r>
      <w:r w:rsidRPr="00686792">
        <w:rPr>
          <w:rStyle w:val="Fontdeparagrafimplicit"/>
          <w:i/>
          <w:lang w:val="ro-RO"/>
        </w:rPr>
        <w:t xml:space="preserve">din </w:t>
      </w:r>
      <w:r w:rsidR="00686792">
        <w:rPr>
          <w:rStyle w:val="Fontdeparagrafimplicit"/>
          <w:i/>
          <w:lang w:val="ro-RO"/>
        </w:rPr>
        <w:t xml:space="preserve">........... </w:t>
      </w:r>
      <w:r w:rsidRPr="00686792">
        <w:rPr>
          <w:rStyle w:val="Fontdeparagrafimplicit"/>
          <w:i/>
          <w:lang w:val="ro-RO"/>
        </w:rPr>
        <w:t xml:space="preserve">pronunţată de Tribunalul </w:t>
      </w:r>
      <w:r w:rsidR="00686792">
        <w:rPr>
          <w:rStyle w:val="Fontdeparagrafimplicit"/>
          <w:i/>
          <w:lang w:val="ro-RO"/>
        </w:rPr>
        <w:t xml:space="preserve">............... </w:t>
      </w:r>
      <w:r w:rsidRPr="00686792">
        <w:rPr>
          <w:rStyle w:val="Fontdeparagrafimplicit"/>
          <w:i/>
          <w:lang w:val="ro-RO"/>
        </w:rPr>
        <w:t xml:space="preserve"> în dosarul nr. </w:t>
      </w:r>
      <w:r w:rsidR="00686792">
        <w:rPr>
          <w:rStyle w:val="Fontdeparagrafimplicit"/>
          <w:i/>
          <w:lang w:val="ro-RO"/>
        </w:rPr>
        <w:t xml:space="preserve">27 </w:t>
      </w:r>
      <w:r>
        <w:t xml:space="preserve">s-a respins acţiunea formulată de către reclamanta </w:t>
      </w:r>
      <w:r w:rsidR="00686792">
        <w:t>1</w:t>
      </w:r>
      <w:r>
        <w:t xml:space="preserve">, în contradictoriu cu pârâta S.C. </w:t>
      </w:r>
      <w:r w:rsidR="00686792">
        <w:t xml:space="preserve">2 </w:t>
      </w:r>
      <w:r>
        <w:t>S.A.,  având ca obiect un conflict de drepturi.</w:t>
      </w:r>
    </w:p>
    <w:p w:rsidR="00AC7FFE" w14:paraId="3AC7AAD9" w14:textId="77777777">
      <w:pPr>
        <w:ind w:firstLine="708"/>
        <w:jc w:val="both"/>
      </w:pPr>
      <w:r>
        <w:t>Pentru a hotărî astfel prima instanţă a reţinut că din carnetul de muncă ale reclamantei a rezultat că acesta a fost angajata societăţii pârâte în perioada 12.07.1965-28.06.1999 în meseria de mezelar.</w:t>
      </w:r>
    </w:p>
    <w:p w:rsidR="00AC7FFE" w14:paraId="18F220AC" w14:textId="77777777">
      <w:pPr>
        <w:jc w:val="both"/>
      </w:pPr>
      <w:r>
        <w:tab/>
        <w:t>Potrivit prevederilor punctului 4 din ordinul nr.50/1990 în vigoare până la data de 01.04.2001 încadrarea în grupa a II-a de muncă s-a făcut în situaţia în care cu toate măsurile luate de unitate pentru normalizarea condiţiilor de muncă, nivelul noxelor existente la activităţile, meseriile şi funcţiile prevăzute în această grupă a depăşit nivelul maxim admis, prevăzut în normele republicane de protecţie a muncii.</w:t>
      </w:r>
    </w:p>
    <w:p w:rsidR="00AC7FFE" w14:paraId="1BDC3829" w14:textId="77777777">
      <w:pPr>
        <w:jc w:val="both"/>
      </w:pPr>
      <w:r>
        <w:tab/>
        <w:t>După cum s-a putut observa reclamanta a avut meseria de mezelar, care în lipsa altei dovezi decât înscrierea în carnetul de muncă apare a fi fost desfăşurată în condiţii normale de muncă.</w:t>
      </w:r>
    </w:p>
    <w:p w:rsidR="00AC7FFE" w14:paraId="6A632FEB" w14:textId="77777777">
      <w:pPr>
        <w:jc w:val="both"/>
      </w:pPr>
      <w:r>
        <w:tab/>
        <w:t xml:space="preserve">În perioada indicată în cererea de chemare în judecată, reclamanta nu a făcut nici un demers întemeiat pe prevederile Ordinului 50/1990 pentru a obţine încadrarea în grupa a II-a de muncă. </w:t>
      </w:r>
    </w:p>
    <w:p w:rsidR="00AC7FFE" w14:paraId="7A323EF5" w14:textId="77777777">
      <w:pPr>
        <w:jc w:val="both"/>
      </w:pPr>
      <w:r>
        <w:tab/>
        <w:t>Punctul 5 din acelaşi ordin arată că existenţa condiţiilor deosebite la locurile de muncă cu noxe, trebuiau să rezulte din determinările de noxe efectuate de către organele Ministerului Sănătăţii sau de la laboratoarele de specialitate proprii ale unităţii, determinări care trebuiau confirmate de către inspectorii de stat teritoriali pentru protecţia muncii care la data efectuării analizei constatau că s-au aplicat toate măsurile posibile de normalizare a condiţiilor şi că toate instalaţiile de protecţie a muncii funcţionau normal.</w:t>
      </w:r>
    </w:p>
    <w:p w:rsidR="00AC7FFE" w14:paraId="74A62F1E" w14:textId="77777777">
      <w:pPr>
        <w:jc w:val="both"/>
      </w:pPr>
      <w:r>
        <w:tab/>
        <w:t xml:space="preserve">Potrivit prevederilor punctului 6 din acelaşi act normativ, nominalizarea persoanelor care se încadrează în grupa a II-a de muncă s-a făcut de către conducerea unităţilor împreună cu sindicatele din aceste unităţi, ţinându-se </w:t>
      </w:r>
      <w:r>
        <w:t>seama de condiţiile deosebite de muncă concrete în care respectivele persoane şi-au desfăşurat activitatea.</w:t>
      </w:r>
    </w:p>
    <w:p w:rsidR="00AC7FFE" w14:paraId="266A8451" w14:textId="77777777">
      <w:pPr>
        <w:jc w:val="both"/>
      </w:pPr>
      <w:r>
        <w:tab/>
        <w:t>În speţa noastră, reclamanta a fost încadrata în condiţii normale de muncă aşa cum a rezultat din carnetul de muncă al acesteia cu o retribuţie corespunzătoare acestor condiţii.</w:t>
      </w:r>
    </w:p>
    <w:p w:rsidR="00AC7FFE" w14:paraId="5F62D8FD" w14:textId="77777777">
      <w:pPr>
        <w:jc w:val="both"/>
      </w:pPr>
      <w:r>
        <w:tab/>
        <w:t>Inexistenţa condiţiilor deosebite la locul de muncă al reclamantei, lipsa încadrării meseriei în grupa a II-a şi lipsa nominalizării reclamantei că activitatea desfăşurată s-a încadrat în această grupă au dus la concluzia că cererea reclamantei a fost nefondată şi obligarea pârâtei să elibereze o adeverinţă din care să rezulte activitatea în grupa a II-a de muncă ar fi contrară prevederilor Ord.590/2008.</w:t>
      </w:r>
    </w:p>
    <w:p w:rsidR="00AC7FFE" w14:paraId="6E2B3946" w14:textId="77777777">
      <w:pPr>
        <w:jc w:val="both"/>
      </w:pPr>
      <w:r>
        <w:tab/>
        <w:t>Pentru a fi valabilă o asemenea adeverinţă, fostul angajator, adică pârâta trebuie să înscrie în aceasta actul administrativ în baza căruia au fost nominalizate persoanele pentru a fi încadrate în grupa a II-a de muncă, funcţia sau meseria acesteia şi temeiul de drept în baza căruia s-a făcut respectiva încadrare.</w:t>
      </w:r>
    </w:p>
    <w:p w:rsidR="00AC7FFE" w14:paraId="0B412AB1" w14:textId="77777777">
      <w:pPr>
        <w:jc w:val="both"/>
      </w:pPr>
      <w:r>
        <w:tab/>
        <w:t>Lipsa dovezii existenţei condiţiilor concrete în care şi-a desfăşurat activitatea reclamanta, condiţii determinate de existenţa noxelor rezultate din măsurători ale organelor de specialitate şi confirmate de persoanele abilitate anterior arătate şi obligarea pârâtei să emită o adeverinţă contrar prevederilor legale stabilite în Ordinul 590/2008 privind procedura de întocmire şi eliberare a adeverinţelor prin care se atestă activitatea desfăşurată în grupa a II-a de muncă, în baza cărora să se facă modificările în carnetele de muncă duc la concluzia că cererea reclamantei a fost nefondată şi a fost respinsă.</w:t>
      </w:r>
    </w:p>
    <w:p w:rsidR="00AC7FFE" w14:paraId="5E0F904E" w14:textId="19218785">
      <w:pPr>
        <w:jc w:val="both"/>
      </w:pPr>
      <w:r>
        <w:tab/>
      </w:r>
      <w:r w:rsidRPr="00686792">
        <w:rPr>
          <w:rStyle w:val="Fontdeparagrafimplicit"/>
          <w:i/>
          <w:lang w:val="ro-RO"/>
        </w:rPr>
        <w:t xml:space="preserve">Împotriva acestei hotărâri a declarat recurs reclamanta </w:t>
      </w:r>
      <w:r w:rsidR="00686792">
        <w:rPr>
          <w:rStyle w:val="Fontdeparagrafimplicit"/>
          <w:i/>
          <w:lang w:val="ro-RO"/>
        </w:rPr>
        <w:t>1</w:t>
      </w:r>
      <w:r w:rsidRPr="00686792">
        <w:rPr>
          <w:rStyle w:val="Fontdeparagrafimplicit"/>
          <w:i/>
          <w:lang w:val="ro-RO"/>
        </w:rPr>
        <w:t xml:space="preserve"> solicitând </w:t>
      </w:r>
      <w:r>
        <w:t>admiterea recursului în sensul că potrivit Decretului-lege nr. 68/1990 H.G. nr. 1223/1990 locurile de muncă în care activitatea se încadrează în grupa I-a  şi a II-a de muncă urmau a fi precizate de către Ministerul Muncii şi Protecţiei Sociale, Ministerul Sănătăţii şi Comisia naţională pentru Protecţia Muncii, rezultatul acestei activităţii fiind concretizat în Ordinul M.M.P.S. nr. 50/1990.</w:t>
      </w:r>
    </w:p>
    <w:p w:rsidR="00AC7FFE" w14:paraId="161FEF88" w14:textId="4B744D21">
      <w:pPr>
        <w:jc w:val="both"/>
      </w:pPr>
      <w:r>
        <w:tab/>
        <w:t>În motivarea recursului, recurenta a arătat că se consideră prejudiciată întrucât în perioada 12.07.1965 şi până la data de 28.06.1999, conform copiei după cartea de muncă, pe care a depus-o la dosar, a fost încadrată în funcţia de mezelar , meserie care se încadrează în grupa a II-a de muncă, în conformitate cu poziţiile nr. 107, 110, 123 şi 125 din Anexa 2</w:t>
      </w:r>
      <w:r w:rsidR="00686792">
        <w:t xml:space="preserve"> </w:t>
      </w:r>
      <w:r>
        <w:t>a Ministerului Muncii şi Ocrotirii Sociale nr. 50/1990 aşa cum a fost completată ulterior.</w:t>
      </w:r>
    </w:p>
    <w:p w:rsidR="00AC7FFE" w14:paraId="6234FD29" w14:textId="1F0CE610">
      <w:pPr>
        <w:jc w:val="both"/>
      </w:pPr>
      <w:r>
        <w:tab/>
      </w:r>
      <w:r w:rsidRPr="00686792">
        <w:rPr>
          <w:rStyle w:val="Fontdeparagrafimplicit"/>
          <w:i/>
          <w:lang w:val="ro-RO"/>
        </w:rPr>
        <w:t xml:space="preserve">Pârâta SC </w:t>
      </w:r>
      <w:r w:rsidR="00686792">
        <w:rPr>
          <w:rStyle w:val="Fontdeparagrafimplicit"/>
          <w:i/>
          <w:lang w:val="ro-RO"/>
        </w:rPr>
        <w:t xml:space="preserve">2 </w:t>
      </w:r>
      <w:r w:rsidRPr="00686792">
        <w:rPr>
          <w:rStyle w:val="Fontdeparagrafimplicit"/>
          <w:i/>
          <w:lang w:val="ro-RO"/>
        </w:rPr>
        <w:t>SA a formulat întâmpinare prin care a solicitat respingerea recursului</w:t>
      </w:r>
      <w:r>
        <w:t xml:space="preserve"> , iar în cazul în care instanţa constată că activitatea desfăşurată de reclamantă se încadrează în grupa a II-a de muncă, admiterea recursului şi dispunerea eliberării adeverinţei.</w:t>
      </w:r>
    </w:p>
    <w:p w:rsidRPr="00686792" w:rsidR="00AC7FFE" w14:paraId="25E0F60C" w14:textId="77777777">
      <w:pPr>
        <w:ind w:firstLine="708"/>
        <w:jc w:val="both"/>
        <w:rPr>
          <w:rStyle w:val="Fontdeparagrafimplicit"/>
          <w:i/>
          <w:lang w:val="pt-PT"/>
        </w:rPr>
      </w:pPr>
      <w:r w:rsidRPr="00686792">
        <w:rPr>
          <w:rStyle w:val="Fontdeparagrafimplicit"/>
          <w:i/>
          <w:lang w:val="pt-PT"/>
        </w:rPr>
        <w:t>Analizând actele şi lucrările dosarului, din perspectiva criticilor formulate în cererea de recurs şi a apărărilor formulate, Curtea reţine următoarele:</w:t>
      </w:r>
    </w:p>
    <w:p w:rsidR="00AC7FFE" w14:paraId="424BF045" w14:textId="77777777">
      <w:pPr>
        <w:ind w:firstLine="720"/>
        <w:jc w:val="both"/>
      </w:pPr>
      <w:r>
        <w:t>Recursul este fondat şi urmează a fi admis ca atare, cu consecinţa modificării sentinţei în sensul admiterii în întregime a acţiunii.</w:t>
      </w:r>
    </w:p>
    <w:p w:rsidR="00AC7FFE" w14:paraId="764D4C99" w14:textId="77777777">
      <w:pPr>
        <w:ind w:firstLine="708"/>
        <w:jc w:val="both"/>
      </w:pPr>
      <w:r>
        <w:t>În acest sens, se reţine faptul că reclamanta a lucrat ca muncitor necalificat în perioada 12.07.1965 – 28.06.1999, desfăşurând activitatea de mezelar.</w:t>
      </w:r>
    </w:p>
    <w:p w:rsidR="00AC7FFE" w14:paraId="0E807901" w14:textId="77777777">
      <w:pPr>
        <w:ind w:firstLine="708"/>
        <w:jc w:val="both"/>
      </w:pPr>
      <w:r>
        <w:t xml:space="preserve">Conform dispoziţiilor art. 12 din Ordinul nr. 50/1990, încadrarea în grupele I şi II de muncă privind perioada anterioară datei de 18.03.1969 se face cu respectarea prevederilor </w:t>
      </w:r>
      <w:r w:rsidRPr="00686792">
        <w:rPr>
          <w:rStyle w:val="Fontdeparagrafimplicit"/>
          <w:vanish/>
          <w:lang w:val="pt-PT"/>
        </w:rPr>
        <w:t>&lt;LLNK 11967  1040 601101   0 29&gt;</w:t>
      </w:r>
      <w:r>
        <w:t xml:space="preserve">Instrucţiunilor nr. 1040/1967 de aplicare a </w:t>
      </w:r>
      <w:r w:rsidRPr="00686792">
        <w:rPr>
          <w:rStyle w:val="Fontdeparagrafimplicit"/>
          <w:vanish/>
          <w:lang w:val="pt-PT"/>
        </w:rPr>
        <w:t>&lt;LLNK 11966    27 11 711   0 17&gt;</w:t>
      </w:r>
      <w:r>
        <w:t>Legii nr. 27/1966. Se constată deci că pentru perioada în care a muncit reclamanta, încadrarea în grupele de muncă s-a făcut în baza Ordinului nr. 50/1990.</w:t>
      </w:r>
    </w:p>
    <w:p w:rsidR="00AC7FFE" w14:paraId="71AED2BC" w14:textId="77777777">
      <w:pPr>
        <w:ind w:firstLine="708"/>
        <w:jc w:val="both"/>
      </w:pPr>
      <w:r>
        <w:t>Or, în mod evident, reclamanta a lucrat în aceleaşi condiţii,  aşa cum afirmă aceasta, fără ca partea adversă să conteste acest lucru, mai precis, a lucrat într-un mediu cu temperaturi foarte scăzute, cu substanţe toxice. Conform punctului 123 din anexa II la Ordinul nr. 50/1990, se încadrează în grupa a II-a de muncă lucrările de manipulare şi stivuire în sălile de congelare şi camerele frigorifice cu temperaturi sub minus 10 grade C.</w:t>
      </w:r>
    </w:p>
    <w:p w:rsidR="00AC7FFE" w14:paraId="5AD7590D" w14:textId="77777777">
      <w:pPr>
        <w:ind w:firstLine="708"/>
        <w:jc w:val="both"/>
      </w:pPr>
      <w:r>
        <w:t>În plus, se constată că reclamanta a arătat –fapt de asemenea, necontestat de pârâtă că o parte din colegii săi de muncă, grupaţi pe perioadele în care reclamanta a exercitat meseria amintită, au beneficiat  grupa de muncă, situaţie în care tratamentul aplicat reclamantei apare ca discriminator, prin nerecunoaşterea grupei a II-a de muncă.</w:t>
      </w:r>
    </w:p>
    <w:p w:rsidR="00AC7FFE" w14:paraId="12803126" w14:textId="255193FC">
      <w:pPr>
        <w:ind w:firstLine="708"/>
        <w:jc w:val="both"/>
      </w:pPr>
      <w:r>
        <w:t xml:space="preserve">Aceşti colegi se regăsesc în decizia nr. </w:t>
      </w:r>
      <w:r w:rsidR="00686792">
        <w:t>3</w:t>
      </w:r>
      <w:r>
        <w:t>/08.07.1992</w:t>
      </w:r>
      <w:r w:rsidR="00686792">
        <w:t xml:space="preserve"> </w:t>
      </w:r>
      <w:r>
        <w:t xml:space="preserve">(fila 13 dosar fond), prin care s-a hotărât încadrarea în grupa a II-a de muncă a unor angajaţi ai societăţii pârâte, în baza Ordinului nr. 50/1990 – punctele 107, 110, 123, 125 a Ordinului nr. 125/05.05.1990, a adresei nr. </w:t>
      </w:r>
      <w:r w:rsidR="00686792">
        <w:t>4</w:t>
      </w:r>
      <w:r>
        <w:t xml:space="preserve">/22.05.1991 şi a adresei nr. </w:t>
      </w:r>
      <w:r w:rsidR="00686792">
        <w:t>5</w:t>
      </w:r>
      <w:r>
        <w:t>/15.04.1991 a M.M.P.S.</w:t>
      </w:r>
    </w:p>
    <w:p w:rsidR="00AC7FFE" w14:paraId="5AEA4815" w14:textId="77777777">
      <w:pPr>
        <w:ind w:firstLine="708"/>
        <w:jc w:val="both"/>
      </w:pPr>
      <w:r>
        <w:t>De altfel, singurul motiv pentru care pârâta a arătat că nu poate răspunde pozitiv solicitării reclamantei  de a i se elibera o adeverinţă cu privire la grupa de muncă în care a lucrat este acela că până în anul 1992 nu există în arhivă actele care stabilesc locurile de muncă şi persoanele care se încadrează în grupa a II-a de muncă.</w:t>
      </w:r>
    </w:p>
    <w:p w:rsidR="00AC7FFE" w14:paraId="68DC4031" w14:textId="2FAE6630">
      <w:pPr>
        <w:ind w:firstLine="708"/>
        <w:jc w:val="both"/>
      </w:pPr>
      <w:r>
        <w:t xml:space="preserve">Raportat la indicarea clară din partea reclamantei că a desfăşurat activitate similară cu şi alături de colegii cărora le este recunoscută această grupă, necontestată de intimata pârâtă, Curtea apreciază că se impune admiterea recursului, considerând probată desfăşurarea activităţii reclamantei, în întreaga perioadă, în grupa a II-a de muncă, raportat la aceleaşi temeiuri juridice cu cele indicate în decizia nr. </w:t>
      </w:r>
      <w:r w:rsidR="00686792">
        <w:t>3</w:t>
      </w:r>
      <w:r>
        <w:t xml:space="preserve">/08.07.1992 emisă de intimată (Ordinului nr. 50/1990 – punctele 107, 110, 123, 125 a Ordinului nr. 125/05.05.1990, a adresei nr. </w:t>
      </w:r>
      <w:r w:rsidR="00686792">
        <w:t>4</w:t>
      </w:r>
      <w:r>
        <w:t xml:space="preserve">/22.05.1991 şi a adresei nr. </w:t>
      </w:r>
      <w:r w:rsidR="00686792">
        <w:t>5</w:t>
      </w:r>
      <w:r>
        <w:t>/15.04.1991 a M.M.P.S.)</w:t>
      </w:r>
    </w:p>
    <w:p w:rsidR="00AC7FFE" w14:paraId="64978D96" w14:textId="2BC1DD48">
      <w:pPr>
        <w:ind w:firstLine="708"/>
        <w:jc w:val="both"/>
      </w:pPr>
      <w:r>
        <w:t xml:space="preserve">În consecinţă, faţă de ansamblul considerentelor expuse mai sus, faţă prevederile art. 312 alin. 1 şi 3 raportat la art. 304 pct. 9 C.proc.civ, Curtea va admite recursul declarat de reclamanta </w:t>
      </w:r>
      <w:r w:rsidR="00686792">
        <w:t>1</w:t>
      </w:r>
      <w:r>
        <w:t xml:space="preserve"> împotriva sentinţei civile nr. </w:t>
      </w:r>
      <w:r w:rsidR="00686792">
        <w:t xml:space="preserve">........... </w:t>
      </w:r>
      <w:r>
        <w:t xml:space="preserve">din </w:t>
      </w:r>
      <w:r w:rsidR="00686792">
        <w:t xml:space="preserve">................ </w:t>
      </w:r>
      <w:r>
        <w:t xml:space="preserve">a Tribunalului </w:t>
      </w:r>
      <w:r w:rsidR="00686792">
        <w:t xml:space="preserve">............... </w:t>
      </w:r>
      <w:r>
        <w:t xml:space="preserve"> pronunţată în dosar nr. </w:t>
      </w:r>
      <w:r w:rsidR="00686792">
        <w:t>27</w:t>
      </w:r>
      <w:r>
        <w:t xml:space="preserve">, pe care o va modifica în parte în sensul că va admite acţiunea formulată de reclamanta </w:t>
      </w:r>
      <w:r w:rsidR="00686792">
        <w:t>1</w:t>
      </w:r>
      <w:r>
        <w:t xml:space="preserve"> în contradictoriu cu pârâta S.C. </w:t>
      </w:r>
      <w:r w:rsidR="00686792">
        <w:t xml:space="preserve">2 </w:t>
      </w:r>
      <w:r>
        <w:t>SA şi în consecinţă va constata că activitatea desfăşurată de reclamantă în perioadele 01.10.1996 - 01.09.1970 şi 05.11.1970 - 28.06.1999 se încadrează în grupa a II-a de muncă şi va obliga pârâta la eliberarea unei adeverinţe în acest sens.</w:t>
      </w:r>
    </w:p>
    <w:p w:rsidR="00AC7FFE" w14:paraId="251FA203" w14:textId="77777777">
      <w:pPr>
        <w:ind w:firstLine="708"/>
        <w:jc w:val="both"/>
      </w:pPr>
    </w:p>
    <w:p w:rsidR="00AC7FFE" w14:paraId="499723DB" w14:textId="77777777">
      <w:pPr>
        <w:jc w:val="center"/>
      </w:pPr>
      <w:r>
        <w:t>PENTRU ACESTE MOTIVE</w:t>
      </w:r>
    </w:p>
    <w:p w:rsidR="00AC7FFE" w14:paraId="46476F6F" w14:textId="77777777">
      <w:pPr>
        <w:jc w:val="center"/>
      </w:pPr>
      <w:r>
        <w:t>ÎN NUMELE LEGII</w:t>
      </w:r>
    </w:p>
    <w:p w:rsidR="00AC7FFE" w14:paraId="3D8ADE39" w14:textId="77777777">
      <w:pPr>
        <w:jc w:val="center"/>
      </w:pPr>
      <w:r>
        <w:t>D E C I D E:</w:t>
      </w:r>
    </w:p>
    <w:p w:rsidR="00AC7FFE" w14:paraId="137C15F0" w14:textId="77777777">
      <w:pPr>
        <w:jc w:val="center"/>
      </w:pPr>
    </w:p>
    <w:p w:rsidR="00AC7FFE" w14:paraId="1A625AE0" w14:textId="4E8C7BA9">
      <w:pPr>
        <w:ind w:firstLine="708"/>
        <w:jc w:val="both"/>
      </w:pPr>
      <w:r>
        <w:t xml:space="preserve">Admite recursul declarat de reclamanta </w:t>
      </w:r>
      <w:r w:rsidR="00686792">
        <w:t>1</w:t>
      </w:r>
      <w:r>
        <w:t xml:space="preserve"> împotriva sentinţei civile nr. </w:t>
      </w:r>
      <w:r w:rsidR="00686792">
        <w:t xml:space="preserve">........... </w:t>
      </w:r>
      <w:r>
        <w:t xml:space="preserve">din </w:t>
      </w:r>
      <w:r w:rsidR="00686792">
        <w:t xml:space="preserve">................ </w:t>
      </w:r>
      <w:r>
        <w:t xml:space="preserve">a Tribunalului </w:t>
      </w:r>
      <w:r w:rsidR="00686792">
        <w:t xml:space="preserve">............... </w:t>
      </w:r>
      <w:r>
        <w:t xml:space="preserve"> pronunţată în dosar nr. </w:t>
      </w:r>
      <w:r w:rsidR="00686792">
        <w:t>27</w:t>
      </w:r>
      <w:r>
        <w:t xml:space="preserve">, pe care o modifică în tot, în sensul că admite acţiunea formulată de reclamanta </w:t>
      </w:r>
      <w:r w:rsidR="00686792">
        <w:t>1</w:t>
      </w:r>
      <w:r>
        <w:t xml:space="preserve"> în contradictoriu cu pârâta S.C. </w:t>
      </w:r>
      <w:r w:rsidR="00686792">
        <w:t xml:space="preserve">2 </w:t>
      </w:r>
      <w:r>
        <w:t>SA şi în consecinţă constată că activitatea desfăşurată de reclamantă în perioadele 01.10.1996 - 01.09.1970 şi 05.11.1970 - 28.06.1999 se încadrează în grupa a II-a de muncă şi obligă pârâta la eliberarea unei adeverinţe în acest sens.</w:t>
      </w:r>
    </w:p>
    <w:p w:rsidR="00AC7FFE" w14:paraId="4A45102D" w14:textId="77777777">
      <w:pPr>
        <w:ind w:firstLine="708"/>
        <w:jc w:val="both"/>
      </w:pPr>
      <w:r>
        <w:t>Decizia este irevocabilă.</w:t>
      </w:r>
    </w:p>
    <w:p w:rsidR="00AC7FFE" w:rsidP="00686792" w14:paraId="568A6F27" w14:textId="78A043AE">
      <w:pPr>
        <w:ind w:firstLine="708"/>
      </w:pPr>
      <w:r>
        <w:t xml:space="preserve">Dată şi pronunţată în şedinţa publică din </w:t>
      </w:r>
      <w:r w:rsidR="00686792">
        <w:t>.............</w:t>
      </w:r>
      <w:r>
        <w:t>.</w:t>
      </w:r>
    </w:p>
    <w:p w:rsidR="00AC7FFE" w14:paraId="17D71F16" w14:textId="77777777">
      <w:pPr>
        <w:jc w:val="both"/>
      </w:pPr>
    </w:p>
    <w:p w:rsidRPr="00686792" w:rsidR="00AC7FFE" w14:paraId="32D04265" w14:textId="77777777">
      <w:pPr>
        <w:rPr>
          <w:rStyle w:val="Fontdeparagrafimplicit"/>
          <w:b/>
          <w:lang w:val="pt-PT"/>
        </w:rPr>
      </w:pPr>
      <w:r>
        <w:t xml:space="preserve">        </w:t>
      </w:r>
      <w:r w:rsidRPr="00686792">
        <w:rPr>
          <w:rStyle w:val="Fontdeparagrafimplicit"/>
          <w:b/>
          <w:lang w:val="pt-PT"/>
        </w:rPr>
        <w:t xml:space="preserve">PREŞEDINTE                                                  JUDECĂTORI </w:t>
      </w:r>
    </w:p>
    <w:p w:rsidRPr="00686792" w:rsidR="00AC7FFE" w:rsidP="00686792" w14:paraId="7A8FE764" w14:textId="64F8B2A1">
      <w:pPr>
        <w:ind w:firstLine="720"/>
        <w:rPr>
          <w:rStyle w:val="Fontdeparagrafimplicit"/>
          <w:b/>
          <w:lang w:val="pt-PT"/>
        </w:rPr>
      </w:pPr>
      <w:r>
        <w:rPr>
          <w:rStyle w:val="Fontdeparagrafimplicit"/>
          <w:b/>
          <w:lang w:val="pt-PT"/>
        </w:rPr>
        <w:t>A0019</w:t>
      </w:r>
      <w:r w:rsidRPr="00686792" w:rsidR="008270B6">
        <w:rPr>
          <w:rStyle w:val="Fontdeparagrafimplicit"/>
          <w:b/>
          <w:lang w:val="pt-PT"/>
        </w:rPr>
        <w:t xml:space="preserve">             </w:t>
      </w:r>
      <w:r>
        <w:rPr>
          <w:rStyle w:val="Fontdeparagrafimplicit"/>
          <w:b/>
          <w:lang w:val="pt-PT"/>
        </w:rPr>
        <w:tab/>
      </w:r>
      <w:r>
        <w:rPr>
          <w:rStyle w:val="Fontdeparagrafimplicit"/>
          <w:b/>
          <w:lang w:val="pt-PT"/>
        </w:rPr>
        <w:tab/>
      </w:r>
      <w:r>
        <w:rPr>
          <w:rStyle w:val="Fontdeparagrafimplicit"/>
          <w:b/>
          <w:lang w:val="pt-PT"/>
        </w:rPr>
        <w:tab/>
      </w:r>
      <w:r w:rsidRPr="00686792" w:rsidR="008270B6">
        <w:rPr>
          <w:rStyle w:val="Fontdeparagrafimplicit"/>
          <w:b/>
          <w:lang w:val="pt-PT"/>
        </w:rPr>
        <w:t xml:space="preserve">   </w:t>
      </w:r>
      <w:r>
        <w:rPr>
          <w:rStyle w:val="Fontdeparagrafimplicit"/>
          <w:b/>
          <w:lang w:val="pt-PT"/>
        </w:rPr>
        <w:t xml:space="preserve">................ </w:t>
      </w:r>
      <w:r w:rsidR="008270B6">
        <w:t xml:space="preserve">      </w:t>
      </w:r>
      <w:r>
        <w:rPr>
          <w:rStyle w:val="Fontdeparagrafimplicit"/>
          <w:b/>
          <w:lang w:val="pt-PT"/>
        </w:rPr>
        <w:t xml:space="preserve">................ </w:t>
      </w:r>
      <w:r w:rsidRPr="00686792" w:rsidR="008270B6">
        <w:rPr>
          <w:rStyle w:val="Fontdeparagrafimplicit"/>
          <w:b/>
          <w:lang w:val="pt-PT"/>
        </w:rPr>
        <w:t xml:space="preserve">         </w:t>
      </w:r>
    </w:p>
    <w:p w:rsidRPr="00686792" w:rsidR="00AC7FFE" w14:paraId="7DACEB33" w14:textId="77777777">
      <w:pPr>
        <w:rPr>
          <w:rStyle w:val="Fontdeparagrafimplicit"/>
          <w:b/>
          <w:lang w:val="pt-PT"/>
        </w:rPr>
      </w:pPr>
    </w:p>
    <w:p w:rsidRPr="00686792" w:rsidR="00AC7FFE" w14:paraId="6DC7F7BD" w14:textId="77777777">
      <w:pPr>
        <w:rPr>
          <w:rStyle w:val="Fontdeparagrafimplicit"/>
          <w:b/>
          <w:lang w:val="pt-PT"/>
        </w:rPr>
      </w:pPr>
    </w:p>
    <w:p w:rsidRPr="00686792" w:rsidR="00AC7FFE" w14:paraId="2B780360" w14:textId="77777777">
      <w:pPr>
        <w:rPr>
          <w:rStyle w:val="Fontdeparagrafimplicit"/>
          <w:b/>
          <w:lang w:val="pt-PT"/>
        </w:rPr>
      </w:pPr>
    </w:p>
    <w:p w:rsidRPr="00686792" w:rsidR="00AC7FFE" w14:paraId="36263B23" w14:textId="77777777">
      <w:pPr>
        <w:rPr>
          <w:rStyle w:val="Fontdeparagrafimplicit"/>
          <w:b/>
          <w:sz w:val="22"/>
          <w:lang w:val="pt-PT"/>
        </w:rPr>
      </w:pPr>
    </w:p>
    <w:p w:rsidRPr="00686792" w:rsidR="00AC7FFE" w14:paraId="73B78F92" w14:textId="77777777">
      <w:pPr>
        <w:rPr>
          <w:rStyle w:val="Fontdeparagrafimplicit"/>
          <w:b/>
          <w:sz w:val="22"/>
          <w:lang w:val="pt-PT"/>
        </w:rPr>
      </w:pPr>
    </w:p>
    <w:p w:rsidRPr="00686792" w:rsidR="00AC7FFE" w14:paraId="640BB66B" w14:textId="77777777">
      <w:pPr>
        <w:rPr>
          <w:rStyle w:val="Fontdeparagrafimplicit"/>
          <w:b/>
          <w:sz w:val="22"/>
          <w:lang w:val="pt-PT"/>
        </w:rPr>
      </w:pPr>
    </w:p>
    <w:p w:rsidRPr="00686792" w:rsidR="00AC7FFE" w14:paraId="306213BE" w14:textId="77777777">
      <w:pPr>
        <w:jc w:val="center"/>
        <w:rPr>
          <w:rStyle w:val="Fontdeparagrafimplicit"/>
          <w:b/>
          <w:lang w:val="pt-PT"/>
        </w:rPr>
      </w:pPr>
      <w:r w:rsidRPr="00686792">
        <w:rPr>
          <w:rStyle w:val="Fontdeparagrafimplicit"/>
          <w:b/>
          <w:sz w:val="22"/>
          <w:lang w:val="pt-PT"/>
        </w:rPr>
        <w:t xml:space="preserve">                                                                                              </w:t>
      </w:r>
      <w:r w:rsidRPr="00686792">
        <w:rPr>
          <w:rStyle w:val="Fontdeparagrafimplicit"/>
          <w:b/>
          <w:lang w:val="pt-PT"/>
        </w:rPr>
        <w:t>GREFIER</w:t>
      </w:r>
    </w:p>
    <w:p w:rsidRPr="00686792" w:rsidR="00AC7FFE" w14:paraId="3D9C36F1" w14:textId="06F7E292">
      <w:pPr>
        <w:jc w:val="center"/>
        <w:rPr>
          <w:rStyle w:val="Fontdeparagrafimplicit"/>
          <w:b/>
          <w:lang w:val="pt-PT"/>
        </w:rPr>
      </w:pPr>
      <w:r w:rsidRPr="00686792">
        <w:rPr>
          <w:rStyle w:val="Fontdeparagrafimplicit"/>
          <w:b/>
          <w:lang w:val="pt-PT"/>
        </w:rPr>
        <w:t xml:space="preserve">                                                                                      </w:t>
      </w:r>
      <w:r w:rsidR="00686792">
        <w:rPr>
          <w:rStyle w:val="Fontdeparagrafimplicit"/>
          <w:b/>
          <w:lang w:val="pt-PT"/>
        </w:rPr>
        <w:t xml:space="preserve">................ </w:t>
      </w:r>
    </w:p>
    <w:p w:rsidRPr="00686792" w:rsidR="00AC7FFE" w14:paraId="2CF48A01" w14:textId="77777777">
      <w:pPr>
        <w:rPr>
          <w:rStyle w:val="Fontdeparagrafimplicit"/>
          <w:b/>
          <w:lang w:val="pt-PT"/>
        </w:rPr>
      </w:pPr>
    </w:p>
    <w:p w:rsidRPr="00686792" w:rsidR="00AC7FFE" w14:paraId="3C5F02A8" w14:textId="77777777">
      <w:pPr>
        <w:rPr>
          <w:rStyle w:val="Fontdeparagrafimplicit"/>
          <w:b/>
          <w:sz w:val="22"/>
          <w:lang w:val="pt-PT"/>
        </w:rPr>
      </w:pPr>
    </w:p>
    <w:p w:rsidRPr="00686792" w:rsidR="00AC7FFE" w14:paraId="23F5CD03" w14:textId="77777777">
      <w:pPr>
        <w:jc w:val="both"/>
        <w:rPr>
          <w:rStyle w:val="Fontdeparagrafimplicit"/>
          <w:sz w:val="16"/>
          <w:lang w:val="pt-PT"/>
        </w:rPr>
      </w:pPr>
    </w:p>
    <w:p w:rsidRPr="00686792" w:rsidR="00AC7FFE" w14:paraId="27C6A7BC" w14:textId="77777777">
      <w:pPr>
        <w:jc w:val="both"/>
        <w:rPr>
          <w:rStyle w:val="Fontdeparagrafimplicit"/>
          <w:sz w:val="16"/>
          <w:lang w:val="pt-PT"/>
        </w:rPr>
      </w:pPr>
    </w:p>
    <w:p w:rsidRPr="00686792" w:rsidR="00AC7FFE" w14:paraId="0B1DA141" w14:textId="77777777">
      <w:pPr>
        <w:jc w:val="both"/>
        <w:rPr>
          <w:rStyle w:val="Fontdeparagrafimplicit"/>
          <w:sz w:val="16"/>
          <w:lang w:val="pt-PT"/>
        </w:rPr>
      </w:pPr>
    </w:p>
    <w:p w:rsidRPr="00686792" w:rsidR="00AC7FFE" w14:paraId="0ABFF8CF" w14:textId="77777777">
      <w:pPr>
        <w:jc w:val="both"/>
        <w:rPr>
          <w:rStyle w:val="Fontdeparagrafimplicit"/>
          <w:sz w:val="16"/>
          <w:lang w:val="pt-PT"/>
        </w:rPr>
      </w:pPr>
    </w:p>
    <w:p w:rsidRPr="00686792" w:rsidR="00AC7FFE" w14:paraId="01B8C78A" w14:textId="77777777">
      <w:pPr>
        <w:jc w:val="both"/>
        <w:rPr>
          <w:rStyle w:val="Fontdeparagrafimplicit"/>
          <w:sz w:val="16"/>
          <w:lang w:val="pt-PT"/>
        </w:rPr>
      </w:pPr>
    </w:p>
    <w:p w:rsidRPr="00686792" w:rsidR="00AC7FFE" w14:paraId="28CB9E4D" w14:textId="77777777">
      <w:pPr>
        <w:jc w:val="both"/>
        <w:rPr>
          <w:rStyle w:val="Fontdeparagrafimplicit"/>
          <w:sz w:val="16"/>
          <w:lang w:val="pt-PT"/>
        </w:rPr>
      </w:pPr>
    </w:p>
    <w:p w:rsidRPr="00686792" w:rsidR="00AC7FFE" w14:paraId="2684A70D" w14:textId="279D4260">
      <w:pPr>
        <w:jc w:val="both"/>
        <w:rPr>
          <w:rStyle w:val="Fontdeparagrafimplicit"/>
          <w:sz w:val="16"/>
          <w:lang w:val="pt-PT"/>
        </w:rPr>
      </w:pPr>
      <w:r w:rsidRPr="00686792">
        <w:rPr>
          <w:rStyle w:val="Fontdeparagrafimplicit"/>
          <w:sz w:val="16"/>
          <w:lang w:val="pt-PT"/>
        </w:rPr>
        <w:t>Red.</w:t>
      </w:r>
      <w:r w:rsidR="00686792">
        <w:rPr>
          <w:rStyle w:val="Fontdeparagrafimplicit"/>
          <w:sz w:val="16"/>
          <w:lang w:val="pt-PT"/>
        </w:rPr>
        <w:t>A0019</w:t>
      </w:r>
      <w:r w:rsidRPr="00686792">
        <w:rPr>
          <w:rStyle w:val="Fontdeparagrafimplicit"/>
          <w:sz w:val="16"/>
          <w:lang w:val="pt-PT"/>
        </w:rPr>
        <w:t>/dact.</w:t>
      </w:r>
      <w:r w:rsidR="00686792">
        <w:rPr>
          <w:rStyle w:val="Fontdeparagrafimplicit"/>
          <w:sz w:val="16"/>
          <w:lang w:val="pt-PT"/>
        </w:rPr>
        <w:t>...........</w:t>
      </w:r>
    </w:p>
    <w:p w:rsidRPr="00686792" w:rsidR="00AC7FFE" w14:paraId="4A09553F" w14:textId="245AFB09">
      <w:pPr>
        <w:jc w:val="both"/>
        <w:rPr>
          <w:rStyle w:val="Fontdeparagrafimplicit"/>
          <w:sz w:val="16"/>
          <w:lang w:val="pt-PT"/>
        </w:rPr>
      </w:pPr>
      <w:r w:rsidRPr="00686792">
        <w:rPr>
          <w:rStyle w:val="Fontdeparagrafimplicit"/>
          <w:sz w:val="16"/>
          <w:lang w:val="pt-PT"/>
        </w:rPr>
        <w:t>2ex./</w:t>
      </w:r>
      <w:r w:rsidRPr="00686792" w:rsidR="00686792">
        <w:rPr>
          <w:rStyle w:val="Fontdeparagrafimplicit"/>
          <w:sz w:val="16"/>
          <w:lang w:val="pt-PT"/>
        </w:rPr>
        <w:t>.........</w:t>
      </w:r>
    </w:p>
    <w:p w:rsidRPr="00686792" w:rsidR="00AC7FFE" w14:paraId="63181C37" w14:textId="79F6A640">
      <w:pPr>
        <w:jc w:val="both"/>
        <w:rPr>
          <w:rStyle w:val="Fontdeparagrafimplicit"/>
          <w:sz w:val="16"/>
          <w:lang w:val="pt-PT"/>
        </w:rPr>
      </w:pPr>
      <w:r w:rsidRPr="00686792">
        <w:rPr>
          <w:rStyle w:val="Fontdeparagrafimplicit"/>
          <w:sz w:val="16"/>
          <w:lang w:val="pt-PT"/>
        </w:rPr>
        <w:t>Jud.fond:</w:t>
      </w:r>
      <w:r w:rsidRPr="00686792">
        <w:rPr>
          <w:rStyle w:val="Fontdeparagrafimplicit"/>
          <w:sz w:val="28"/>
          <w:lang w:val="pt-PT"/>
        </w:rPr>
        <w:t xml:space="preserve"> </w:t>
      </w:r>
      <w:r w:rsidRPr="00686792" w:rsidR="00686792">
        <w:rPr>
          <w:rStyle w:val="Fontdeparagrafimplicit"/>
          <w:sz w:val="16"/>
          <w:lang w:val="pt-PT"/>
        </w:rPr>
        <w:t>.</w:t>
      </w:r>
      <w:r w:rsidR="00686792">
        <w:rPr>
          <w:rStyle w:val="Fontdeparagrafimplicit"/>
          <w:sz w:val="16"/>
          <w:lang w:val="pt-PT"/>
        </w:rPr>
        <w:t>...................</w:t>
      </w:r>
    </w:p>
    <w:p w:rsidRPr="00686792" w:rsidR="00AC7FFE" w14:paraId="2EFF4B04" w14:textId="77777777">
      <w:pPr>
        <w:ind w:firstLine="708"/>
        <w:jc w:val="both"/>
        <w:rPr>
          <w:rStyle w:val="Fontdeparagrafimplicit"/>
          <w:lang w:val="pt-PT"/>
        </w:rPr>
      </w:pPr>
    </w:p>
    <w:p w:rsidRPr="00686792" w:rsidR="00AC7FFE" w14:paraId="12ED948C" w14:textId="77777777">
      <w:pPr>
        <w:rPr>
          <w:rStyle w:val="Fontdeparagrafimplicit"/>
          <w:lang w:val="pt-PT"/>
        </w:rPr>
      </w:pPr>
    </w:p>
    <w:sectPr>
      <w:footerReference w:type="even" r:id="rId4"/>
      <w:footerReference w:type="default" r:id="rId5"/>
      <w:pgSz w:w="11906" w:h="16838"/>
      <w:pgMar w:top="851" w:right="851" w:bottom="851"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C7FFE" w14:paraId="6F45AC29" w14:textId="77777777">
    <w:pPr>
      <w:pStyle w:val="Subsol"/>
      <w:framePr w:wrap="around" w:hAnchor="margin" w:vAnchor="text" w:xAlign="center" w:y="1"/>
      <w:rPr>
        <w:rStyle w:val="Numrdepagin"/>
      </w:rPr>
    </w:pPr>
    <w:r>
      <w:fldChar w:fldCharType="begin"/>
    </w:r>
    <w:r>
      <w:rPr>
        <w:rStyle w:val="Numrdepagin"/>
      </w:rPr>
      <w:instrText xml:space="preserve">PAGE  </w:instrText>
    </w:r>
    <w:r>
      <w:rPr>
        <w:rStyle w:val="Numrdepagin"/>
      </w:rPr>
      <w:fldChar w:fldCharType="separate"/>
    </w:r>
    <w:r>
      <w:rPr>
        <w:rStyle w:val="Numrdepagin"/>
      </w:rPr>
      <w:t>#</w:t>
    </w:r>
    <w:r>
      <w:rPr>
        <w:rStyle w:val="Numrdepagin"/>
      </w:rPr>
      <w:fldChar w:fldCharType="end"/>
    </w:r>
  </w:p>
  <w:p w:rsidR="00AC7FFE" w14:paraId="5EEA9688" w14:textId="77777777">
    <w:pPr>
      <w:pStyle w:val="Subsol"/>
      <w:rPr>
        <w:rStyle w:val="Numrdepagi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C7FFE" w14:paraId="06E0EBAA" w14:textId="77777777">
    <w:pPr>
      <w:pStyle w:val="Subsol"/>
      <w:framePr w:wrap="around" w:hAnchor="margin" w:vAnchor="text" w:xAlign="center" w:y="1"/>
      <w:rPr>
        <w:rStyle w:val="Numrdepagin"/>
      </w:rPr>
    </w:pPr>
    <w:r>
      <w:fldChar w:fldCharType="begin"/>
    </w:r>
    <w:r>
      <w:rPr>
        <w:rStyle w:val="Numrdepagin"/>
      </w:rPr>
      <w:instrText xml:space="preserve">PAGE  </w:instrText>
    </w:r>
    <w:r>
      <w:rPr>
        <w:rStyle w:val="Numrdepagin"/>
      </w:rPr>
      <w:fldChar w:fldCharType="separate"/>
    </w:r>
    <w:r>
      <w:rPr>
        <w:rStyle w:val="Numrdepagin"/>
      </w:rPr>
      <w:t>#</w:t>
    </w:r>
    <w:r>
      <w:rPr>
        <w:rStyle w:val="Numrdepagin"/>
      </w:rPr>
      <w:fldChar w:fldCharType="end"/>
    </w:r>
  </w:p>
  <w:p w:rsidR="00AC7FFE" w14:paraId="7DBD9047" w14:textId="77777777">
    <w:pPr>
      <w:pStyle w:val="Subsol"/>
      <w:rPr>
        <w:rStyle w:val="Numrdepagin"/>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7FFE"/>
    <w:rsid w:val="00686792"/>
    <w:rsid w:val="008270B6"/>
    <w:rsid w:val="00AB65D7"/>
    <w:rsid w:val="00AC7FFE"/>
    <w:rsid w:val="00EE3041"/>
    <w:rsid w:val="00FC1567"/>
  </w:rsids>
  <w:docVars>
    <w:docVar w:name="url" w:val="http://bd-cjca:80/ecris_cdms/document_upload.aspx?id_document=3300000000472270&amp;id_departament=3&amp;id_sesiune=310151&amp;id_user=157&amp;id_institutie=33&amp;actiune=modifica"/>
  </w:docVar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36F03D7B"/>
  <w15:docId w15:val="{2D5B0232-B7A4-44AB-94F5-F3567CBFF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Bookman Old Style" w:hAnsi="Bookman Old Style"/>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a">
    <w:name w:val="a"/>
    <w:basedOn w:val="Normal"/>
    <w:link w:val="Fontdeparagrafimplicit"/>
    <w:rPr>
      <w:rFonts w:ascii="Times New Roman" w:hAnsi="Times New Roman"/>
      <w:lang w:val="pl-PL"/>
    </w:rPr>
  </w:style>
  <w:style w:type="paragraph" w:customStyle="1" w:styleId="CaracterCaracter">
    <w:name w:val="Caracter Caracter"/>
    <w:basedOn w:val="Normal"/>
    <w:pPr>
      <w:tabs>
        <w:tab w:val="left" w:pos="900"/>
        <w:tab w:val="left" w:pos="1080"/>
      </w:tabs>
      <w:ind w:right="22"/>
    </w:pPr>
    <w:rPr>
      <w:rFonts w:ascii="Times New Roman" w:hAnsi="Times New Roman"/>
      <w:lang w:val="pl-PL"/>
    </w:rPr>
  </w:style>
  <w:style w:type="paragraph" w:customStyle="1" w:styleId="Subsol">
    <w:name w:val="Subsol"/>
    <w:basedOn w:val="Normal"/>
    <w:pPr>
      <w:tabs>
        <w:tab w:val="center" w:pos="4320"/>
        <w:tab w:val="right" w:pos="8640"/>
      </w:tabs>
    </w:pPr>
  </w:style>
  <w:style w:type="paragraph" w:customStyle="1" w:styleId="CharChar">
    <w:name w:val="Char Char"/>
    <w:basedOn w:val="Normal"/>
    <w:pPr>
      <w:tabs>
        <w:tab w:val="left" w:pos="900"/>
        <w:tab w:val="left" w:pos="1080"/>
      </w:tabs>
      <w:ind w:right="22"/>
    </w:pPr>
    <w:rPr>
      <w:rFonts w:ascii="Times New Roman" w:hAnsi="Times New Roman"/>
      <w:lang w:val="pl-PL"/>
    </w:r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aliases w:val=" Caracter Caracter1"/>
    <w:link w:val="a"/>
    <w:rPr>
      <w:rFonts w:ascii="Times New Roman" w:hAnsi="Times New Roman"/>
      <w:lang w:val="pl-PL"/>
    </w:rPr>
  </w:style>
  <w:style w:type="character" w:customStyle="1" w:styleId="Numrdepagin">
    <w:name w:val="Număr de pagină"/>
    <w:basedOn w:val="Fontdeparagrafimplicit"/>
    <w:rPr>
      <w:rFonts w:ascii="Times New Roman" w:hAnsi="Times New Roman"/>
      <w:lang w:val="pl-PL"/>
    </w:rPr>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11</ap:TotalTime>
  <ap:Pages>4</ap:Pages>
  <ap:Words>1550</ap:Words>
  <ap:Characters>8840</ap:Characters>
  <ap:Application>Microsoft Office Word</ap:Application>
  <ap:DocSecurity>0</ap:DocSecurity>
  <ap:Lines>73</ap:Lines>
  <ap:Paragraphs>20</ap:Paragraphs>
  <ap:ScaleCrop>false</ap:ScaleCrop>
  <ap:CharactersWithSpaces>10370</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