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8079D4" w14:paraId="4EC31E6D" w14:textId="6A7667CE">
      <w:r>
        <w:t>Cod ECLI  ECLI:RO:.............</w:t>
      </w:r>
    </w:p>
    <w:p w:rsidR="008079D4" w14:paraId="2E731630" w14:textId="77777777"/>
    <w:p w:rsidR="008079D4" w14:paraId="1026FA12" w14:textId="77777777">
      <w:pPr>
        <w:jc w:val="center"/>
      </w:pPr>
      <w:r>
        <w:t>R O M Â N I A</w:t>
      </w:r>
    </w:p>
    <w:p w:rsidR="008079D4" w14:paraId="425434B8" w14:textId="17377830">
      <w:pPr>
        <w:jc w:val="center"/>
      </w:pPr>
      <w:r>
        <w:t xml:space="preserve">CURTEA DE APEL ........... </w:t>
      </w:r>
    </w:p>
    <w:p w:rsidR="008079D4" w14:paraId="337748D1" w14:textId="06708E4D">
      <w:pPr>
        <w:jc w:val="center"/>
      </w:pPr>
      <w:r>
        <w:t xml:space="preserve">SECŢIA ........... </w:t>
      </w:r>
    </w:p>
    <w:p w:rsidR="008079D4" w14:paraId="023148D4" w14:textId="77777777"/>
    <w:p w:rsidR="008079D4" w14:paraId="37C3AAC2" w14:textId="0EC84CC2">
      <w:r>
        <w:t>Dosar nr. 9</w:t>
      </w:r>
    </w:p>
    <w:p w:rsidRPr="00E90FC3" w:rsidR="008079D4" w14:paraId="687AA1BA" w14:textId="77777777">
      <w:pPr>
        <w:rPr>
          <w:rStyle w:val="Fontdeparagrafimplicit"/>
          <w:highlight w:val="yellow"/>
          <w:lang w:val="pt-PT"/>
        </w:rPr>
      </w:pPr>
    </w:p>
    <w:p w:rsidRPr="00E90FC3" w:rsidR="008079D4" w14:paraId="439B57D4" w14:textId="77777777">
      <w:pPr>
        <w:rPr>
          <w:rStyle w:val="Fontdeparagrafimplicit"/>
          <w:lang w:val="pt-PT"/>
        </w:rPr>
      </w:pPr>
    </w:p>
    <w:p w:rsidRPr="00E90FC3" w:rsidR="008079D4" w14:paraId="39853223" w14:textId="254E85CE">
      <w:pPr>
        <w:jc w:val="center"/>
        <w:rPr>
          <w:rStyle w:val="Fontdeparagrafimplicit"/>
          <w:b/>
          <w:lang w:val="pt-PT"/>
        </w:rPr>
      </w:pPr>
      <w:r w:rsidRPr="00E90FC3">
        <w:rPr>
          <w:rStyle w:val="Fontdeparagrafimplicit"/>
          <w:b/>
          <w:lang w:val="pt-PT"/>
        </w:rPr>
        <w:t xml:space="preserve">DECIZIA CIVILĂ NR. </w:t>
      </w:r>
      <w:r>
        <w:rPr>
          <w:rStyle w:val="Fontdeparagrafimplicit"/>
          <w:b/>
          <w:lang w:val="pt-PT"/>
        </w:rPr>
        <w:t>9</w:t>
      </w:r>
    </w:p>
    <w:p w:rsidR="008079D4" w14:paraId="45E1458D" w14:textId="6733C1D0">
      <w:pPr>
        <w:jc w:val="center"/>
      </w:pPr>
      <w:r>
        <w:t xml:space="preserve">Şedinţa publică din data de ............ </w:t>
      </w:r>
    </w:p>
    <w:p w:rsidR="008079D4" w14:paraId="6E360E15" w14:textId="77777777">
      <w:pPr>
        <w:jc w:val="center"/>
      </w:pPr>
      <w:r>
        <w:t>Instanţa constituită din:</w:t>
      </w:r>
    </w:p>
    <w:p w:rsidR="008079D4" w14:paraId="2AC72FFF" w14:textId="6DC4F8D8">
      <w:pPr>
        <w:jc w:val="center"/>
      </w:pPr>
      <w:r>
        <w:t>PREŞEDINTE: A0019</w:t>
      </w:r>
    </w:p>
    <w:p w:rsidR="008079D4" w14:paraId="3689008F" w14:textId="19CC6251">
      <w:pPr>
        <w:jc w:val="center"/>
      </w:pPr>
      <w:r>
        <w:t xml:space="preserve">JUDECĂTOR: ............ </w:t>
      </w:r>
    </w:p>
    <w:p w:rsidR="008079D4" w14:paraId="40E74D42" w14:textId="1107F074">
      <w:pPr>
        <w:jc w:val="center"/>
      </w:pPr>
      <w:r>
        <w:t xml:space="preserve">GREFIER: ............ </w:t>
      </w:r>
    </w:p>
    <w:p w:rsidRPr="000F6E21" w:rsidR="008079D4" w14:paraId="048BB89E" w14:textId="77777777">
      <w:pPr>
        <w:jc w:val="center"/>
        <w:rPr>
          <w:rStyle w:val="Fontdeparagrafimplicit"/>
          <w:highlight w:val="yellow"/>
          <w:lang w:val="ro-RO"/>
        </w:rPr>
      </w:pPr>
    </w:p>
    <w:p w:rsidR="008079D4" w14:paraId="7F363E7E" w14:textId="49A14F4D">
      <w:pPr>
        <w:tabs>
          <w:tab w:val="left" w:pos="0"/>
        </w:tabs>
        <w:ind w:firstLine="720"/>
        <w:jc w:val="both"/>
      </w:pPr>
      <w:r>
        <w:t>S-a luat în examinare apelul declarat de reclamanta 1 împotriva Sentinţei civile nr. ...... din .............. pronunţată de Tribunalul .............. în dosarul nr. 9 privind şi pe pârâţii MINISTERUL PUBLIC - PARCHETUL DE PE LÂNGĂ ÎNALTA CURTE DE CASAŢIE ŞI JUSTIŢIE, PARCHETUL DE PE LÂNGĂ CURTEA DE APEL ........... , PARCHETUL DE PE LÂNGĂ TRIBUNALUL .............. şi MINISTERUL FINANŢELOR PUBLICE, având ca obiect obligaţia de a face.</w:t>
      </w:r>
    </w:p>
    <w:p w:rsidR="008079D4" w14:paraId="5F085159" w14:textId="77777777">
      <w:pPr>
        <w:ind w:firstLine="540"/>
        <w:jc w:val="both"/>
      </w:pPr>
      <w:r>
        <w:t>La apelul nominal făcut în şedinţă publică, la prima şi la a doua strigare a cauzei, se constată lipsa părţilor de la dezbateri.</w:t>
      </w:r>
    </w:p>
    <w:p w:rsidR="008079D4" w14:paraId="5D259A9F" w14:textId="77777777">
      <w:pPr>
        <w:ind w:firstLine="540"/>
        <w:jc w:val="both"/>
      </w:pPr>
      <w:r>
        <w:t xml:space="preserve">Procedura de citare este legal îndeplinită. </w:t>
      </w:r>
    </w:p>
    <w:p w:rsidR="008079D4" w14:paraId="06A9B70F" w14:textId="77777777">
      <w:pPr>
        <w:ind w:firstLine="540"/>
        <w:jc w:val="both"/>
      </w:pPr>
      <w:r>
        <w:t xml:space="preserve">Apelul a fost formulat în termenul legal, a fost comunicat intimaţilor şi este scutit de plata taxei judiciare de timbru. </w:t>
      </w:r>
    </w:p>
    <w:p w:rsidR="008079D4" w14:paraId="37E06024" w14:textId="2E8F09F1">
      <w:pPr>
        <w:ind w:firstLine="540"/>
        <w:jc w:val="both"/>
      </w:pPr>
      <w:r>
        <w:t>Curtea de Apel ...........  este competentă material şi teritorial să judece apelul, conform art. 96 pct.2 C.proc.civ. raportat la dispoziţiile art. 95 pct.1 şi art. 209 şi 210 din Legea nr. 62/2011.</w:t>
      </w:r>
    </w:p>
    <w:p w:rsidR="008079D4" w14:paraId="35D50691" w14:textId="449DB184">
      <w:pPr>
        <w:ind w:firstLine="540"/>
        <w:jc w:val="both"/>
      </w:pPr>
      <w:r>
        <w:t>S-a făcut referatul cauzei, prin care se arată că a fost urmată procedura prevăzută de art. XV din Legea nr. 2/2013, în datele de 18 decembrie 2015, 28 decembrie 2015 şi 04 ianuarie 2016, fiind depuse la dosar întâmpinări formulate de intimatul Parchetul de pe lângă Curtea de Apel ...........  şi Parchetul de pe lângă Tribunalul .............. , de Parchetul de pe lângă Înalta Curte de Casaţie şi Justiţie şi, respectiv, de Direcţia Generală a Finanţelor Publice .............. .</w:t>
      </w:r>
    </w:p>
    <w:p w:rsidR="008079D4" w14:paraId="4869B913" w14:textId="77777777">
      <w:pPr>
        <w:ind w:firstLine="540"/>
        <w:jc w:val="both"/>
      </w:pPr>
      <w:r>
        <w:t>Nefiind alte cereri în probaţiune şi nefiind invocate excepţii, Curtea declară terminată cercetarea procesului şi, constatând cauza în stare de judecată, reţine apelul în pronunţare, având în vedere că în cauză s-a solicitat judecarea în lipsă.</w:t>
      </w:r>
    </w:p>
    <w:p w:rsidR="008079D4" w14:paraId="1AEDE3EC" w14:textId="77777777">
      <w:pPr>
        <w:ind w:firstLine="540"/>
        <w:jc w:val="both"/>
      </w:pPr>
    </w:p>
    <w:p w:rsidR="008079D4" w14:paraId="334D9C4B" w14:textId="77777777">
      <w:pPr>
        <w:jc w:val="center"/>
      </w:pPr>
      <w:r>
        <w:t>C U R T E A,</w:t>
      </w:r>
    </w:p>
    <w:p w:rsidR="008079D4" w14:paraId="4371AEA1" w14:textId="77777777">
      <w:pPr>
        <w:jc w:val="center"/>
      </w:pPr>
    </w:p>
    <w:p w:rsidR="008079D4" w14:paraId="7B4537F7" w14:textId="57D32518">
      <w:pPr>
        <w:ind w:firstLine="708"/>
        <w:jc w:val="both"/>
      </w:pPr>
      <w:r w:rsidRPr="00E90FC3">
        <w:rPr>
          <w:rStyle w:val="Fontdeparagrafimplicit"/>
          <w:i/>
          <w:lang w:val="ro-RO"/>
        </w:rPr>
        <w:t xml:space="preserve">Prin sentinţa civilă nr. </w:t>
      </w:r>
      <w:r>
        <w:rPr>
          <w:rStyle w:val="Fontdeparagrafimplicit"/>
          <w:i/>
          <w:lang w:val="ro-RO"/>
        </w:rPr>
        <w:t xml:space="preserve">...... </w:t>
      </w:r>
      <w:r w:rsidRPr="00E90FC3">
        <w:rPr>
          <w:rStyle w:val="Fontdeparagrafimplicit"/>
          <w:i/>
          <w:lang w:val="ro-RO"/>
        </w:rPr>
        <w:t xml:space="preserve">din </w:t>
      </w:r>
      <w:r>
        <w:rPr>
          <w:rStyle w:val="Fontdeparagrafimplicit"/>
          <w:i/>
          <w:lang w:val="ro-RO"/>
        </w:rPr>
        <w:t xml:space="preserve">.............. </w:t>
      </w:r>
      <w:r w:rsidRPr="00E90FC3">
        <w:rPr>
          <w:rStyle w:val="Fontdeparagrafimplicit"/>
          <w:i/>
          <w:lang w:val="ro-RO"/>
        </w:rPr>
        <w:t xml:space="preserve">a Tribunalului </w:t>
      </w:r>
      <w:r>
        <w:rPr>
          <w:rStyle w:val="Fontdeparagrafimplicit"/>
          <w:i/>
          <w:lang w:val="ro-RO"/>
        </w:rPr>
        <w:t xml:space="preserve">.............. </w:t>
      </w:r>
      <w:r w:rsidRPr="00E90FC3">
        <w:rPr>
          <w:rStyle w:val="Fontdeparagrafimplicit"/>
          <w:i/>
          <w:lang w:val="ro-RO"/>
        </w:rPr>
        <w:t xml:space="preserve">, pronunţată în dosar nr. </w:t>
      </w:r>
      <w:r>
        <w:rPr>
          <w:rStyle w:val="Fontdeparagrafimplicit"/>
          <w:i/>
          <w:lang w:val="ro-RO"/>
        </w:rPr>
        <w:t>9</w:t>
      </w:r>
      <w:r>
        <w:t xml:space="preserve"> s-a admis excepţia lipsei calităţii procesual pasive invocată de către pârâtul MINISTERUL FINANŢELOR PUBLICE prin întâmpinare şi s-a respins acţiunea formulată împotriva acestui pârât ca fiind formulată împotriva unei persoane fără calitate procesuală pasivă.</w:t>
      </w:r>
    </w:p>
    <w:p w:rsidR="008079D4" w14:paraId="29810AFF" w14:textId="0AAC3473">
      <w:pPr>
        <w:ind w:firstLine="708"/>
        <w:jc w:val="both"/>
      </w:pPr>
      <w:r>
        <w:t>S-a admis excepţia prescripţiei dreptului material la acţiune, invocată de către pârâta Parchetul de pe lângă Curtea de Apel ...........  prin întâmpinare.</w:t>
      </w:r>
    </w:p>
    <w:p w:rsidR="008079D4" w14:paraId="568FB3AC" w14:textId="4C7183AA">
      <w:pPr>
        <w:ind w:firstLine="708"/>
        <w:jc w:val="both"/>
      </w:pPr>
      <w:r>
        <w:t>S-a respins ca prescrisă acţiunea formulată de reclamanta 1 privind drepturile băneşti aferente perioadei anterioare datei de 24.04.2012.</w:t>
      </w:r>
    </w:p>
    <w:p w:rsidR="008079D4" w14:paraId="61ECC1EC" w14:textId="35FF9ADD">
      <w:pPr>
        <w:ind w:firstLine="708"/>
        <w:jc w:val="both"/>
      </w:pPr>
      <w:r>
        <w:t>S-a respins ca nefondată acţiunea formulată de reclamanta 1 în contradictoriu cu pârâţii Parchetul de pe lângă Înalta Curte de Casaţie şi Justiţie, Parchetul de pe lângă Curtea de Apel ........... , Parchetul de pe lângă Tribunalul .............. .</w:t>
      </w:r>
    </w:p>
    <w:p w:rsidR="008079D4" w14:paraId="52D85EEA" w14:textId="77777777">
      <w:pPr>
        <w:ind w:firstLine="708"/>
        <w:jc w:val="both"/>
      </w:pPr>
      <w:r>
        <w:t xml:space="preserve">Pentru a hotărî astfel, instanţa pronunţându-se cu prioritate asupra excepţiilor invocate în cauză, potrivit prevederilor art. art. 248 C.pr.civ, a arătat că a admis excepţia lipsei calităţii procesual pasive a pârâtului Ministerul Finanţelor Publice şi în consecinţă a respins acţiunea </w:t>
      </w:r>
      <w:r>
        <w:t>reclamantei în contradictoriu cu pârâtul Ministerul Finanţelor Publice, ca fiind formulată împotriva unei persoane fără calitate procesuală pasivă având în vedere Decizia nr. 10/19.09.2011 pronunţată de Înalta Curte de Casaţie şi Justiţie în soluţionarea unui recurs în interesul legii şi care îşi găseşte aplicare în speţă. Prin această decizie s-a statuat cu caracter obligatoriu că, în aplicarea dispoziţiilor art. 72 din Codul de procedură civilă raportat la art. 19 din Legea nr. 500/2002 privind finanţele publice, cu modificările şi completările ulterioare, şi art. 1-4 din Ordonanţa Guvernului nr. 22/2002 privind executarea obligaţiilor de plată ale instituţiilor publice, stabilite prin titluri executorii, cu modificările şi completările ulterioare, cererea de chemare în garanţie a Ministerului Finanţelor Publice formulată de către instituţiile publice angajatoare sau ordonatorii de credite cu privire la drepturile salariale ale personalului din sectorul bugetar ori la ajutorul financiar prevăzut în favoarea cadrelor didactice titulare şi/sau suplinitoare calificate din învăţământul preuniversitar de Legea nr. 315/2006 privind stimularea achiziţionării de cărţi sau de programe educaţionale pe suport electronic, necesare îmbunătăţirii calităţii activităţii didactice în învăţământul preuniversitar, nu îndeplineşte cerinţele prevăzute de textul de lege.</w:t>
      </w:r>
    </w:p>
    <w:p w:rsidR="008079D4" w14:paraId="51BE0B3A" w14:textId="77777777">
      <w:pPr>
        <w:ind w:firstLine="709"/>
        <w:jc w:val="both"/>
      </w:pPr>
      <w:r>
        <w:t>Instanţa supremă, a arătat în esenţă faptul că în cadrul procesului bugetar, Ministerul Finanţelor Publice repartizează ordonatorilor principali de credite sumele alocate acestora prin bugetul de stat, îndeplinind un rol de administrator al acestui buget, dar nu are atribuţia de a vira acestora alte sume decât cele prevăzute în legea bugetului de stat şi cu respectarea acesteia.</w:t>
      </w:r>
    </w:p>
    <w:p w:rsidR="008079D4" w14:paraId="02C19035" w14:textId="77777777">
      <w:pPr>
        <w:ind w:firstLine="709"/>
        <w:jc w:val="both"/>
      </w:pPr>
      <w:r>
        <w:t>În privinţa excepţiei prescripţiei dreptului material la acţiune pentru drepturile anterioare datei 24.04.2012, instanţa a arătat faptul că această excepţie este întemeiată, întrucât dreptul la acţiune fiind supus prescripţiei extinctive în condiţiile Decretului nr. 167/1958, privind prescripţia extinctivă, respectiv termenului de prescripţie de 3 ani şi având în vedere data introducerii acţiunii, 04.05.2015, pretenţiile materiale cu privire la care dreptul la acţiune s-a născut anterior datei de 04.05.2012 sunt prescrise.</w:t>
      </w:r>
    </w:p>
    <w:p w:rsidR="008079D4" w14:paraId="56C5F674" w14:textId="77777777">
      <w:pPr>
        <w:ind w:firstLine="709"/>
        <w:jc w:val="both"/>
      </w:pPr>
      <w:r>
        <w:t>Pe fondul cauzei, instanţa a arătat că textele legale invocate de către reclamanţi, respectiv art. 1 din O.U.G. nr. 8/2009 şi art. 1 din Legea 94/2014 prevăd acordarea, inclusiv de către instituţiile din sectorul bugetar a tichetelor de vacanţă/vouchere de vacanţă prevăzându-se expres şi faptul că acestea se vor acorda în limitele sumelor prevăzute cu această destinaţie în bugetul de stat sau, după caz, în bugete locale, pentru unităţile din domeniul bugetar, şi în limitele sumelor prevăzute cu această destinaţie în bugetul de venituri şi cheltuieli aprobat, potrivit legii, pentru celelalte categorii de angajatori. ( alin. 3 al art. 1 din O.U.G. nr. 8/2009 şi alin. 3 al art. 1 din Legea 94/2014).</w:t>
      </w:r>
    </w:p>
    <w:p w:rsidR="008079D4" w14:paraId="038C98A3" w14:textId="77777777">
      <w:pPr>
        <w:ind w:firstLine="709"/>
        <w:jc w:val="both"/>
      </w:pPr>
      <w:r>
        <w:t>Din analiza acestor texte de lege se observă faptul că acordarea beneficiului unor tichete de vacanţă era expres condiţionată de luarea de către instituţiile abilitate în domeniul bugetar a măsurilor necesare privind alocarea unor sume cu această destinaţie.</w:t>
      </w:r>
    </w:p>
    <w:p w:rsidR="008079D4" w14:paraId="43C85D30" w14:textId="77777777">
      <w:pPr>
        <w:ind w:firstLine="709"/>
        <w:jc w:val="both"/>
      </w:pPr>
      <w:r>
        <w:t>În perioada 2012-2015 s-a prevăzut prin acte normative succesive faptul că în bugetele instituţiilor publice nu se prevăd sume pentru acordarea de tichete de vacanţă pentru personalul acestora, respectiv prin O.U.G. nr. 80/2010, aprobată cu modificări prin Legea nr. 283/2011, art. 15 alin. 2 cu referire la bugetul anului 2012, prin O.U.G. nr. 84/2012, art. 9 pentru anul bugetar 2013, prin OG 29/2013, art. 5 pentru anul 2014 şi O.G. 83/2014, art. 8 alin. 5 pentru anul 2015, aceste texte legale menţionând în cuprinsul lor faptul că: în bugetele instituţiilor şi autorităţilor publice centrale şi locale (...) nu se prevăd sume pentru acordarea de tichete - cadou, tichete de vacanţă şi vouchere de vacanţă personalului din cadrul acestora.</w:t>
      </w:r>
    </w:p>
    <w:p w:rsidR="008079D4" w14:paraId="78ABC836" w14:textId="77777777">
      <w:pPr>
        <w:ind w:firstLine="709"/>
        <w:jc w:val="both"/>
      </w:pPr>
      <w:r>
        <w:t>În aceste condiţii, instanţa a apreciat că entităţilor pârâte în cauză, ordonatori de credite, nu li se poate imputa faptul că nu au plătit în mod culpabil reclamanţilor beneficiul tichetelor de vacanţă, legiuitorul fiind cel care a optat pentru a nu fi incluse în bugetele anuale instituţiilor şi autorităţilor publice sume cu această destinaţie, destinaţie ce trebuia conform prevederilor art. 1 alin. 3 din O.U.G. nr. 8/2009 şi ulterior art. 1 alin. 3 din Legea 94/2014 stabilită în mod expres.</w:t>
      </w:r>
    </w:p>
    <w:p w:rsidR="008079D4" w14:paraId="712CAE49" w14:textId="77777777">
      <w:pPr>
        <w:ind w:firstLine="709"/>
        <w:jc w:val="both"/>
      </w:pPr>
      <w:r>
        <w:t>Instanţa a mai arătat faptul că în conformitate cu prevederile art. 29 alin. 3 din Legea nr. 500/2002 privind finanţele publice, „cheltuielile prevăzute în capitole şi articole au destinaţie precisă şi limitată", iar potrivit art. 47 „creditele bugetare aprobate la un capitol nu pot fi utilizate pentru finanţarea altui capitol."</w:t>
      </w:r>
    </w:p>
    <w:p w:rsidR="008079D4" w14:paraId="5A270B4C" w14:textId="77777777">
      <w:pPr>
        <w:ind w:firstLine="709"/>
        <w:jc w:val="both"/>
      </w:pPr>
      <w:r>
        <w:t xml:space="preserve">Prin Decizia nr. 414 din 14 iulie 2005, publicată în Monitorul Oficial al României, Partea I, nr. 780 din 26 august 2005, Curtea Constituţională a stipulat că drepturile salariale suplimentare, </w:t>
      </w:r>
      <w:r>
        <w:t>cum sunt primele, sporurile sau adaosurile, prevăzute în acte normative, nu constituie drepturi fundamentale consacrate în Constituţie, care nu ar mai putea fi modificate sau chiar anulate.</w:t>
      </w:r>
    </w:p>
    <w:p w:rsidR="008079D4" w14:paraId="26E9484A" w14:textId="77777777">
      <w:pPr>
        <w:ind w:firstLine="709"/>
        <w:jc w:val="both"/>
      </w:pPr>
      <w:r>
        <w:t>În aceste condiţii, modificarea sau suprimarea, pentru viitor, a unui premiu nu afectează dreptul fundamental al salariatului de a primi contraprestaţie pentru munca depusă. În speţa dedusă judecăţii, beneficiar al premiului anual este personalul plătit din fonduri publice, în cazul căruia funcţionează principiul prestabilirii salariilor prin lege, al cărui nivel stipulat se află în legătură directă în încasările şi cheltuielile din bugetul public naţional, dezechilibrarea acestuia putând avea consecinţe în ceea ce priveşte diminuarea cheltuielilor din acest buget.</w:t>
      </w:r>
    </w:p>
    <w:p w:rsidR="008079D4" w14:paraId="5E870504" w14:textId="77777777">
      <w:pPr>
        <w:ind w:firstLine="709"/>
        <w:jc w:val="both"/>
      </w:pPr>
      <w:r>
        <w:t xml:space="preserve">Statul se bucură de o marjă largă de apreciere pentru a determina oportunitatea şi intensitatea politicilor sale în acest domeniu, astfel cum a arătat şi Curtea Europeană a Drepturilor Omului care a constatat, în cauze privind drepturile salariale, că nu este rolul său de a verifica în ce măsură existau soluţii legislative mai adecvate pentru atingerea obiectivului de interes public urmărit, cu excepţia situaţiilor în care aprecierea autorităţilor este vădit lipsită de orice temei. </w:t>
      </w:r>
    </w:p>
    <w:p w:rsidR="008079D4" w14:paraId="7CD844E3" w14:textId="77777777">
      <w:pPr>
        <w:ind w:firstLine="709"/>
        <w:jc w:val="both"/>
      </w:pPr>
      <w:r>
        <w:t>În concluzie, instanţa a apreciat că, chiar dacă prin O.U.G. nr. 8/2009 s-a prevăzut posibilitatea angajaţilor din sistemul bugetar de a beneficia de tichete/vouchere de vacanţă, această posibilitate a fost subsumată îndeplinirii unor condiţii legale, printre care cea mai importantă a fost prevederea în bugetele instituţiilor publice a unor sume cu această destinaţie şi încadrarea în limitele acestor sume.</w:t>
      </w:r>
    </w:p>
    <w:p w:rsidR="008079D4" w14:paraId="0FD7C1E3" w14:textId="6D3C1EB1">
      <w:pPr>
        <w:ind w:firstLine="709"/>
        <w:jc w:val="both"/>
      </w:pPr>
      <w:r>
        <w:t>Cum, prin lege, în perioada anilor 2012-2015</w:t>
      </w:r>
      <w:r w:rsidR="006319CB">
        <w:t>,</w:t>
      </w:r>
      <w:r>
        <w:t xml:space="preserve"> s-a prevăzut că în bugetele instituţiilor publice nu se vor prevedea sume pentru acordarea de tichete de vacantă, nefiind deci îndeplinită condiţia stabilită prin O.U.G. nr. 8/2009, pretenţiile care fac obiectul acţiunii au fost apreciate neîntemeiate.</w:t>
      </w:r>
    </w:p>
    <w:p w:rsidR="008079D4" w14:paraId="6335DA09" w14:textId="77777777">
      <w:pPr>
        <w:ind w:firstLine="709"/>
        <w:jc w:val="both"/>
      </w:pPr>
      <w:r>
        <w:t>Pentru toate aceste considerente, instanţa a admis excepţia lipsei calităţii procesual pasive invocată de către pârâtul Ministerul Finanţelor Publice prin întâmpinare şi a respins acţiunea formulată împotriva acestui pârât ca fiind formulată împotriva unei persoane fără calitate procesuală pasivă.</w:t>
      </w:r>
    </w:p>
    <w:p w:rsidR="008079D4" w14:paraId="23FA6A6E" w14:textId="49B25071">
      <w:pPr>
        <w:ind w:firstLine="709"/>
        <w:jc w:val="both"/>
      </w:pPr>
      <w:r>
        <w:t>De asemenea, a admis excepţia prescripţiei dreptului material la acţiune, invocată de către pârâtul Parchetul de pe lângă Curtea de Apel ...........  prin întâmpinare şi în consecinţă a respins ca prescrisă acţiunea formulată de reclamanta 1 privind drepturile băneşti aferente perioadei anteriore datei de 24.04.2012.</w:t>
      </w:r>
    </w:p>
    <w:p w:rsidR="008079D4" w14:paraId="58D1CBA9" w14:textId="11A7C12D">
      <w:pPr>
        <w:ind w:firstLine="709"/>
        <w:jc w:val="both"/>
      </w:pPr>
      <w:r>
        <w:t>Cu privire la fondul cauzei, instanţa a respins ca nefondată acţiunea formulată de reclamanta 1 în contradictoriu cu pârâţii Parchetul de pe lângă Înalta Curte de Casaţie şi Justiţie, Parchetul de pe lângă Curtea de Apel ........... , Parchetul de pe lângă Tribunalul .............. .</w:t>
      </w:r>
    </w:p>
    <w:p w:rsidR="008079D4" w14:paraId="037EFA19" w14:textId="693798A0">
      <w:pPr>
        <w:ind w:firstLine="709"/>
        <w:jc w:val="both"/>
      </w:pPr>
      <w:r w:rsidRPr="00E90FC3">
        <w:rPr>
          <w:rStyle w:val="Fontdeparagrafimplicit"/>
          <w:i/>
          <w:lang w:val="pt-PT"/>
        </w:rPr>
        <w:t xml:space="preserve">Împotriva acestei hotărâri au declarat apel reclamanta </w:t>
      </w:r>
      <w:r>
        <w:rPr>
          <w:rStyle w:val="Fontdeparagrafimplicit"/>
          <w:i/>
          <w:lang w:val="pt-PT"/>
        </w:rPr>
        <w:t>1</w:t>
      </w:r>
      <w:r>
        <w:t xml:space="preserve"> solicitând admiterea apelului, şi pe cale de consecinţă, obligarea pârâţilor de la pct.1-3 la acordarea despăgubirilor echivalente cu contravaloarea tichetelor/voucherelor de vacanţă aferentă perioadei 01.01.2012 — 20.02.2013</w:t>
      </w:r>
      <w:r w:rsidR="00D5414B">
        <w:t xml:space="preserve"> </w:t>
      </w:r>
      <w:r>
        <w:t>-</w:t>
      </w:r>
      <w:r w:rsidR="00D5414B">
        <w:t xml:space="preserve"> </w:t>
      </w:r>
      <w:r>
        <w:t>data pensionării, în sumă de 6 salarii de bază minime brute pe ţară garantate în plată/an, în cuantumul prevăzut pentru fiecare an dedus judecăţii, astfel cum a fost stabilit prin actele normative speciale, sumele urmând a fi reactualizate în funcţie de indicele inflaţiei la data plăţii efective, inclusiv plata dobânzii legale calculate începând cu data introducerii prezentei acţiuni şi până la data plăţii integrale a debitelor şi obligarea pârâtului Ministerul Finanţelor Publice să asigure pârâtului Ministerul Public-Parchetului de pe lângă Înalta Curte de Casaţie şi Justiţie , sumele necesare acordării drepturilor solicitate.</w:t>
      </w:r>
    </w:p>
    <w:p w:rsidR="008079D4" w14:paraId="394D538B" w14:textId="77777777">
      <w:pPr>
        <w:ind w:firstLine="709"/>
        <w:jc w:val="both"/>
      </w:pPr>
      <w:r>
        <w:t>În motivarea apelului, apelanta a arătat că hotărârea instanţei este nefondată întrucât Ministerul Finanţelor Publice are calitate procesuală reprezentând statul în litigiile de această natură. Nu poate fi primită apărarea potrivit căreia neexistând un raport juridic de muncă între părţile litigante, acţiunea ar fi inadmisibilă, întrucât în ipoteza în care se admite cererea este evident faptul că acesta trebuie să aloce sumele cu acest titlu.</w:t>
      </w:r>
    </w:p>
    <w:p w:rsidR="008079D4" w14:paraId="668AD9C1" w14:textId="77777777">
      <w:pPr>
        <w:ind w:firstLine="709"/>
        <w:jc w:val="both"/>
      </w:pPr>
      <w:r>
        <w:t>Pe fondul cauzei, apreciază că se impune admiterea acţiunii, dispoziţiile legale invocate fiind de natură să justifice acordarea drepturilor solicitate.</w:t>
      </w:r>
    </w:p>
    <w:p w:rsidR="008079D4" w14:paraId="77D0AE48" w14:textId="77777777">
      <w:pPr>
        <w:ind w:firstLine="709"/>
        <w:jc w:val="both"/>
      </w:pPr>
      <w:r>
        <w:t>Astfel, reiterând argumentele înserate în acţiunea introductivă, dreptul la acordarea tichetelor de vacanţă ( redenumite" vouchere" prin art. III din Legea 94/2014) a fost recunoscut reclamanţilor prin adoptarea O.U.G. nr. 8/18.02.2009, publicată în Monitorul Oficial nr. 110/24.02.2009, potrivit căreia (art. 1) , începând de la data intrării în vigoare a acestei ordonanţe „instituţiile din sectorul bugetar (…) acordă în condiţiile legii, tichete de vacanţă".</w:t>
      </w:r>
    </w:p>
    <w:p w:rsidR="008079D4" w14:paraId="1BBAF2F3" w14:textId="77777777">
      <w:pPr>
        <w:ind w:firstLine="709"/>
        <w:jc w:val="both"/>
      </w:pPr>
      <w:r>
        <w:t>În ceea ce priveşte data intrării în vigoare a acestei ordonanţe, dat fiind faptul că în cuprinsul său nu este prevăzut un alt termen, aceasta este data publicării în Monitorul Oficial, respectiv, 24.02.2009, astfel cum reiese din aplicarea dispoziţiilor art. 11 alin.2 din Legea nr.24/2000 (în vigoare la data promulgării ordonanţei), în conformitate cu care "Ordonanţele de urgenţă ale Guvernului intră în vigoare la data publicării în Monitorul Oficial al României, Partea I, sub condiţia depunerii lor prealabile la Camera competentă să fie sesizată, dacă în cuprinsul lor nu este prevăzută o dată ulterioară."</w:t>
      </w:r>
    </w:p>
    <w:p w:rsidR="008079D4" w14:paraId="6E07123E" w14:textId="6797D8FD">
      <w:pPr>
        <w:ind w:firstLine="709"/>
        <w:jc w:val="both"/>
      </w:pPr>
      <w:r>
        <w:t xml:space="preserve">Contravaloarea tichetelor/voucherelor de vacanţă a fost stabilită de alin. 4 al articolului 1 din ordonanţa, sub acest aspect prevăzându-se că </w:t>
      </w:r>
      <w:r w:rsidR="006319CB">
        <w:t>„</w:t>
      </w:r>
      <w:r>
        <w:t>Nivelul maxim al sumelor care pot fi acordate salariaţilor sub formă de vouchere de vacanţă reprezintă contravaloarea a 6 salarii de bază minime brute pe ţară garantate în plată, pentru un salariat, în decursul unui an fiscal.</w:t>
      </w:r>
      <w:r w:rsidR="006319CB">
        <w:t>”</w:t>
      </w:r>
    </w:p>
    <w:p w:rsidR="008079D4" w14:paraId="2053B6AF" w14:textId="77777777">
      <w:pPr>
        <w:ind w:firstLine="709"/>
        <w:jc w:val="both"/>
      </w:pPr>
      <w:r>
        <w:t>Pârâţii neputându-se apăra susţinând că nu au fost alocate fonduri bugetare pentru plata acestor drepturi salariale întrucât acestuia îi revine obligaţia de a efectua demersurile necesare în vedere alocării de fonduri.</w:t>
      </w:r>
    </w:p>
    <w:p w:rsidR="008079D4" w14:paraId="46940940" w14:textId="77777777">
      <w:pPr>
        <w:ind w:firstLine="709"/>
        <w:jc w:val="both"/>
      </w:pPr>
      <w:r>
        <w:t>Astfel, potrivit art. 1 alin.(3) din O.U.G, republicată nr.8/2009 în forma modificată prin Legea nr.94/2014 ,. (3) Voucherele de vacanţă se acordă în limitele sumelor prevăzute cu această destinaţie în bugetul de stat sau, după caz, în bugetele locale, pentru unităţile din domeniul bugetar, şi în limitele sumelor prevăzute cu această destinaţie în bugetul de venituri şi cheltuieli aprobat, potrivit legii, pentru celelalte categorii de angajatori."</w:t>
      </w:r>
    </w:p>
    <w:p w:rsidR="008079D4" w14:paraId="3833C680" w14:textId="77777777">
      <w:pPr>
        <w:ind w:firstLine="709"/>
        <w:jc w:val="both"/>
      </w:pPr>
      <w:r>
        <w:t>Aceleaşi dispoziţii se regăsesc şi la alin.(3) al art. 1 din O.U.G. republicată nr.8/2009, cu excepţia faptului că, în loc de sintagma „vouchere de vacanţă" se utiliza sintagma „tichet de vacanţă".</w:t>
      </w:r>
    </w:p>
    <w:p w:rsidR="008079D4" w14:paraId="3552E5B5" w14:textId="77777777">
      <w:pPr>
        <w:ind w:firstLine="709"/>
        <w:jc w:val="both"/>
      </w:pPr>
      <w:r>
        <w:t>Aşa fiind, legea a prevăzut şi prevede că obligaţia efectuării demersurilor legale în asigurarea fondurilor pentru acordarea voucherelor de vacanţă (tichetelor de vacanţă) incumbă pârâţilor.</w:t>
      </w:r>
    </w:p>
    <w:p w:rsidR="008079D4" w14:paraId="484315FD" w14:textId="77777777">
      <w:pPr>
        <w:ind w:firstLine="709"/>
        <w:jc w:val="both"/>
      </w:pPr>
      <w:r>
        <w:t>Prin urmare, susţinerea în sensul că fondurile necesare nu au fost prevăzute în proiectul de buget nu constituie motive întemeiate pentru neplata unui drept garantat de legislaţia în vigoare, deoarece pârâţii cunoşteau aceste prevederi şi aveau obligaţia de a cuprinde în buget sumele necesare.</w:t>
      </w:r>
    </w:p>
    <w:p w:rsidR="008079D4" w14:paraId="50AF5E74" w14:textId="77777777">
      <w:pPr>
        <w:ind w:firstLine="709"/>
        <w:jc w:val="both"/>
      </w:pPr>
      <w:r>
        <w:t>Altfel spus, lipsa fondurilor ori neprevederea lor în buget în vederea achitării drepturilor salariaţilor nu poate împiedica plata acestor drepturi legal conferite, întrucât în alcătuirea bugetelor, ordonatorii de credite au obligaţia de a respecta inclusiv prevederile legislaţiei conexe privind drepturile salariaţilor, cum este O.U.G. nr.8/2009 aprobată cu modificări prin Legea nr.94/2014.</w:t>
      </w:r>
    </w:p>
    <w:p w:rsidR="008079D4" w14:paraId="72C77648" w14:textId="77777777">
      <w:pPr>
        <w:ind w:firstLine="709"/>
        <w:jc w:val="both"/>
      </w:pPr>
      <w:r>
        <w:t>Aceste aspecte au fost reţinute în mod constant în jurisprudenţă (Deciziile nr.288/2010, nr. 1365/2009, nr. 1304/2009 ale Curţii de Apel Timişoara/Secţia Litigii de Muncă şi Asigurări Sociale; Decizia nr.4598/R/2012 a Curţii de Apel Bucureşti, s.a VII a civ., conflicte de muncă şi asigurări sociale).</w:t>
      </w:r>
    </w:p>
    <w:p w:rsidR="008079D4" w14:paraId="6911A8CE" w14:textId="4022724D">
      <w:pPr>
        <w:ind w:firstLine="709"/>
        <w:jc w:val="both"/>
      </w:pPr>
      <w:r>
        <w:t>Apreciază astfel că, din culpa exclusivă a pârâţilor, oricare ar fi fost cauza, după caz, neprevederea sumelor în bugetul anual, chiar şi după rectificările bugetare sau din alte motive, neacordarea tichetelor, respectiv, voucherelor de vacanţă în perioada 01.01.2012 -20.02.2013</w:t>
      </w:r>
      <w:r w:rsidR="00646711">
        <w:t xml:space="preserve"> </w:t>
      </w:r>
      <w:r>
        <w:t>(data pensionării) de către pârâţi i-a cauzat un prejudiciu material, prejudiciu ce este cert şi constă în privarea nejustificată de dreptul salarial prevăzut de lege.</w:t>
      </w:r>
    </w:p>
    <w:p w:rsidR="008079D4" w14:paraId="6585E264" w14:textId="77777777">
      <w:pPr>
        <w:ind w:firstLine="709"/>
        <w:jc w:val="both"/>
      </w:pPr>
      <w:r>
        <w:t>În ceea ce priveşte solicitarea privind obligarea pârâţilor la plata dobânzii a arătat următoarele:</w:t>
      </w:r>
    </w:p>
    <w:p w:rsidR="008079D4" w14:paraId="5C4B0452" w14:textId="77777777">
      <w:pPr>
        <w:ind w:firstLine="709"/>
        <w:jc w:val="both"/>
      </w:pPr>
      <w:r>
        <w:t>- în situaţia în care se angajează răspunderea angajatorului faţă de salariat pentru neplata drepturilor băneşti cuvenite, devin aplicabile prevederile din Codul muncii, cu consecinţa reparării integrale a prejudiciului, care cuprinde atât despăgubirea datorată, cât şi dobânda legală, conform art. 1530, art. 1531 şi art. 1535 din Noul Cod civil (art. 1.082, art. 1088 din Codul civil de la 1864).</w:t>
      </w:r>
    </w:p>
    <w:p w:rsidR="008079D4" w14:paraId="44F1B081" w14:textId="7078F39D">
      <w:pPr>
        <w:ind w:firstLine="709"/>
        <w:jc w:val="both"/>
      </w:pPr>
      <w:r>
        <w:t xml:space="preserve">- dispoziţiile mai sus menţionate din Codul civil consacră principiul reparării integrale a prejudiciului suferit de creditor ca urmare a neexecutării de către debitor a obligaţiei, conform căruia prejudiciul cuprinde atât pierderea efectivă suferită de creditor („damnum emergens") cât şi beneficiul de care acesta este lipsit („lucrum cessans"), motiv pentru care creditorul are dreptul la daune moratorii </w:t>
      </w:r>
      <w:r w:rsidR="00E209E0">
        <w:t>fă</w:t>
      </w:r>
      <w:r>
        <w:t>ră a trebui să dovedească vreun prejudiciu;</w:t>
      </w:r>
    </w:p>
    <w:p w:rsidR="008079D4" w14:paraId="070D223A" w14:textId="77777777">
      <w:pPr>
        <w:ind w:firstLine="709"/>
        <w:jc w:val="both"/>
      </w:pPr>
      <w:r>
        <w:t>- astfel, debitorii sunt puşi în întârziere din ziua introducerii cererii de chemare în judecată prin care s-a solicitat debitul principal, de la acel moment reclamanţii fund îndreptăţiţi şi la plata dobânzii legale;</w:t>
      </w:r>
    </w:p>
    <w:p w:rsidR="008079D4" w14:paraId="1DE6CAFD" w14:textId="77777777">
      <w:pPr>
        <w:ind w:firstLine="709"/>
        <w:jc w:val="both"/>
      </w:pPr>
      <w:r>
        <w:t>- apreciază că este admisibil cumulul dobânzilor legale cu actualizarea creanţei cu indicele de inflaţie, cele două instituţii având o natură juridică diferită.</w:t>
      </w:r>
    </w:p>
    <w:p w:rsidR="008079D4" w14:paraId="3A05FD10" w14:textId="77777777">
      <w:pPr>
        <w:ind w:firstLine="709"/>
        <w:jc w:val="both"/>
      </w:pPr>
      <w:r>
        <w:t>- astfel, în timp ce dobânda reprezintă preţul lipsei de folosinţă, acordându-se ca beneficiu nerealizat, actualizarea în raport de rata inflaţiei urmăreşte păstrarea valorii reale a obligaţiilor băneşti.</w:t>
      </w:r>
    </w:p>
    <w:p w:rsidR="008079D4" w14:paraId="12CA2EA6" w14:textId="77777777">
      <w:pPr>
        <w:ind w:firstLine="709"/>
        <w:jc w:val="both"/>
      </w:pPr>
      <w:r>
        <w:t>În drept, a invocat dispoziţiile art. 480 al. 2 C. pr. civilă, O.U.G. nr. 8/18.02.2009, Legea 94/2014, art. 1530, art. 1531 şi art. 1535 din Noul Cod civil (art. 1082, art. 1088 din Codul civil de la 1864).</w:t>
      </w:r>
    </w:p>
    <w:p w:rsidR="008079D4" w14:paraId="716C55FE" w14:textId="6CE176A2">
      <w:pPr>
        <w:ind w:firstLine="709"/>
        <w:jc w:val="both"/>
      </w:pPr>
      <w:r w:rsidRPr="00E90FC3">
        <w:rPr>
          <w:rStyle w:val="Fontdeparagrafimplicit"/>
          <w:i/>
          <w:lang w:val="ro-RO"/>
        </w:rPr>
        <w:t xml:space="preserve">Prin întâmpinarea înregistrată la data de 18 decembrie 2015 pârâţii PARCHETUL DE PE LÂNGĂ CURTEA DE APEL </w:t>
      </w:r>
      <w:r>
        <w:rPr>
          <w:rStyle w:val="Fontdeparagrafimplicit"/>
          <w:i/>
          <w:lang w:val="ro-RO"/>
        </w:rPr>
        <w:t xml:space="preserve">........... </w:t>
      </w:r>
      <w:r w:rsidRPr="00E90FC3">
        <w:rPr>
          <w:rStyle w:val="Fontdeparagrafimplicit"/>
          <w:i/>
          <w:lang w:val="ro-RO"/>
        </w:rPr>
        <w:t xml:space="preserve"> şi PARCHETUL DE PE LÂNGĂ TRIBUNALUL </w:t>
      </w:r>
      <w:r>
        <w:rPr>
          <w:rStyle w:val="Fontdeparagrafimplicit"/>
          <w:i/>
          <w:lang w:val="ro-RO"/>
        </w:rPr>
        <w:t xml:space="preserve">.............. </w:t>
      </w:r>
      <w:r>
        <w:t>au solicitat respingerea apelului şi menţinerea sentinţei atacate, care fiind temeinică şi legală.(f.20-24)</w:t>
      </w:r>
    </w:p>
    <w:p w:rsidRPr="00E90FC3" w:rsidR="008079D4" w14:paraId="642BDA3F" w14:textId="77777777">
      <w:pPr>
        <w:ind w:firstLine="709"/>
        <w:jc w:val="both"/>
        <w:rPr>
          <w:rStyle w:val="Fontdeparagrafimplicit"/>
          <w:i/>
          <w:lang w:val="ro-RO"/>
        </w:rPr>
      </w:pPr>
      <w:r w:rsidRPr="00E90FC3">
        <w:rPr>
          <w:rStyle w:val="Fontdeparagrafimplicit"/>
          <w:i/>
          <w:lang w:val="ro-RO"/>
        </w:rPr>
        <w:t xml:space="preserve">Prin întâmpinarea înregistrată la data de 28 decembrie 2015 pârâtul MINISTERUL PUBLIC-PARCHETUL DE PE LÂNGĂ ÎNALTA CURTE DE CASAŢIE ŞI JUSTIŢIE </w:t>
      </w:r>
      <w:r>
        <w:t>a solicitat respingerea apelului ca nefondat şi menţinerea sentinţei atacate, ca fiind temeinică şi legală.(f.27-28)</w:t>
      </w:r>
      <w:r w:rsidRPr="00E90FC3">
        <w:rPr>
          <w:rStyle w:val="Fontdeparagrafimplicit"/>
          <w:i/>
          <w:lang w:val="ro-RO"/>
        </w:rPr>
        <w:t xml:space="preserve"> </w:t>
      </w:r>
    </w:p>
    <w:p w:rsidR="008079D4" w14:paraId="01608F2A" w14:textId="78E8D70B">
      <w:pPr>
        <w:ind w:firstLine="709"/>
        <w:jc w:val="both"/>
      </w:pPr>
      <w:r w:rsidRPr="00E90FC3">
        <w:rPr>
          <w:rStyle w:val="Fontdeparagrafimplicit"/>
          <w:i/>
          <w:lang w:val="ro-RO"/>
        </w:rPr>
        <w:t xml:space="preserve">Prin întâmpinarea înregistrată la data de 4 ianuarie 2016 pârâta DIRECŢIA GENERALĂ A FINANŢELOR PUBLICE A JUDEŢULUI </w:t>
      </w:r>
      <w:r>
        <w:rPr>
          <w:rStyle w:val="Fontdeparagrafimplicit"/>
          <w:i/>
          <w:lang w:val="ro-RO"/>
        </w:rPr>
        <w:t xml:space="preserve">.............. </w:t>
      </w:r>
      <w:r w:rsidRPr="00E90FC3">
        <w:rPr>
          <w:rStyle w:val="Fontdeparagrafimplicit"/>
          <w:i/>
          <w:lang w:val="ro-RO"/>
        </w:rPr>
        <w:t xml:space="preserve">în numele MINISTERULUI FINANŢELOR PUBLICE </w:t>
      </w:r>
      <w:r>
        <w:t>a solicitat respingerea apelului ca nefondat şi menţinerea sentinţei atacate, ca fiind temeinică şi legală.(f.34-35)</w:t>
      </w:r>
    </w:p>
    <w:p w:rsidRPr="00E90FC3" w:rsidR="008079D4" w14:paraId="7060DD6D" w14:textId="77777777">
      <w:pPr>
        <w:ind w:firstLine="709"/>
        <w:jc w:val="both"/>
        <w:rPr>
          <w:rStyle w:val="Fontdeparagrafimplicit"/>
          <w:i/>
          <w:lang w:val="pt-PT"/>
        </w:rPr>
      </w:pPr>
      <w:r w:rsidRPr="00E90FC3">
        <w:rPr>
          <w:rStyle w:val="Fontdeparagrafimplicit"/>
          <w:i/>
          <w:lang w:val="pt-PT"/>
        </w:rPr>
        <w:t>Examinând sentinţa apelată prin prisma motivelor de apel invocate şi a apărărilor formulate, Curtea de Apel reţine următoarele:</w:t>
      </w:r>
    </w:p>
    <w:p w:rsidR="008079D4" w14:paraId="4F1B8E04" w14:textId="77777777">
      <w:pPr>
        <w:ind w:firstLine="851"/>
        <w:jc w:val="both"/>
      </w:pPr>
      <w:r>
        <w:t>Potrivit art. 1 alin. 2 din OUG 8/2009, institu</w:t>
      </w:r>
      <w:r w:rsidRPr="00E90FC3">
        <w:rPr>
          <w:rStyle w:val="Fontdeparagrafimplicit"/>
          <w:rFonts w:ascii="Tahoma" w:hAnsi="Tahoma"/>
          <w:lang w:val="pt-PT"/>
        </w:rPr>
        <w:t>ț</w:t>
      </w:r>
      <w:r>
        <w:t>iile publice acordă in condi</w:t>
      </w:r>
      <w:r w:rsidRPr="00E90FC3">
        <w:rPr>
          <w:rStyle w:val="Fontdeparagrafimplicit"/>
          <w:rFonts w:ascii="Tahoma" w:hAnsi="Tahoma"/>
          <w:lang w:val="pt-PT"/>
        </w:rPr>
        <w:t>ț</w:t>
      </w:r>
      <w:r>
        <w:t>iile legii tichete/vouchere de vacan</w:t>
      </w:r>
      <w:r w:rsidRPr="00E90FC3">
        <w:rPr>
          <w:rStyle w:val="Fontdeparagrafimplicit"/>
          <w:rFonts w:ascii="Tahoma" w:hAnsi="Tahoma"/>
          <w:lang w:val="pt-PT"/>
        </w:rPr>
        <w:t>ț</w:t>
      </w:r>
      <w:r>
        <w:t>ă iar prima condi</w:t>
      </w:r>
      <w:r w:rsidRPr="00E90FC3">
        <w:rPr>
          <w:rStyle w:val="Fontdeparagrafimplicit"/>
          <w:rFonts w:ascii="Tahoma" w:hAnsi="Tahoma"/>
          <w:lang w:val="pt-PT"/>
        </w:rPr>
        <w:t>ț</w:t>
      </w:r>
      <w:r>
        <w:t>ie instituită de acela</w:t>
      </w:r>
      <w:r w:rsidRPr="00E90FC3">
        <w:rPr>
          <w:rStyle w:val="Fontdeparagrafimplicit"/>
          <w:rFonts w:ascii="Tahoma" w:hAnsi="Tahoma"/>
          <w:lang w:val="pt-PT"/>
        </w:rPr>
        <w:t>ș</w:t>
      </w:r>
      <w:r>
        <w:t>i act normativ, de următorul aliniat, reglementată de art. 1 alin. 3 din OUG 8/2009, este aceea a acordării tichetelor/voucherelor de vacan</w:t>
      </w:r>
      <w:r w:rsidRPr="00E90FC3">
        <w:rPr>
          <w:rStyle w:val="Fontdeparagrafimplicit"/>
          <w:rFonts w:ascii="Tahoma" w:hAnsi="Tahoma"/>
          <w:lang w:val="ro-RO"/>
        </w:rPr>
        <w:t>ț</w:t>
      </w:r>
      <w:r>
        <w:t>ă în limita sumelor prevăzute cu această destina</w:t>
      </w:r>
      <w:r w:rsidRPr="00E90FC3">
        <w:rPr>
          <w:rStyle w:val="Fontdeparagrafimplicit"/>
          <w:rFonts w:ascii="Tahoma" w:hAnsi="Tahoma"/>
          <w:lang w:val="ro-RO"/>
        </w:rPr>
        <w:t>ț</w:t>
      </w:r>
      <w:r>
        <w:t>ie în bugetul de stat.</w:t>
      </w:r>
    </w:p>
    <w:p w:rsidR="008079D4" w14:paraId="6F2418BA" w14:textId="77777777">
      <w:pPr>
        <w:ind w:firstLine="851"/>
        <w:jc w:val="both"/>
      </w:pPr>
      <w:r>
        <w:t>A</w:t>
      </w:r>
      <w:r w:rsidRPr="00E90FC3">
        <w:rPr>
          <w:rStyle w:val="Fontdeparagrafimplicit"/>
          <w:rFonts w:ascii="Tahoma" w:hAnsi="Tahoma"/>
          <w:lang w:val="ro-RO"/>
        </w:rPr>
        <w:t>ș</w:t>
      </w:r>
      <w:r>
        <w:t>adar cât timp această primă condi</w:t>
      </w:r>
      <w:r w:rsidRPr="00E90FC3">
        <w:rPr>
          <w:rStyle w:val="Fontdeparagrafimplicit"/>
          <w:rFonts w:ascii="Tahoma" w:hAnsi="Tahoma"/>
          <w:lang w:val="ro-RO"/>
        </w:rPr>
        <w:t>ț</w:t>
      </w:r>
      <w:r>
        <w:t>ie legală de alocare a unei sume destinată tichetelor sau voucherelor de vacan</w:t>
      </w:r>
      <w:r w:rsidRPr="00E90FC3">
        <w:rPr>
          <w:rStyle w:val="Fontdeparagrafimplicit"/>
          <w:rFonts w:ascii="Tahoma" w:hAnsi="Tahoma"/>
          <w:lang w:val="ro-RO"/>
        </w:rPr>
        <w:t>ț</w:t>
      </w:r>
      <w:r>
        <w:t>ă, în bugetul institu</w:t>
      </w:r>
      <w:r w:rsidRPr="00E90FC3">
        <w:rPr>
          <w:rStyle w:val="Fontdeparagrafimplicit"/>
          <w:rFonts w:ascii="Tahoma" w:hAnsi="Tahoma"/>
          <w:lang w:val="ro-RO"/>
        </w:rPr>
        <w:t>ț</w:t>
      </w:r>
      <w:r>
        <w:t>iei cu care reclaman</w:t>
      </w:r>
      <w:r w:rsidRPr="00E90FC3">
        <w:rPr>
          <w:rStyle w:val="Fontdeparagrafimplicit"/>
          <w:rFonts w:ascii="Tahoma" w:hAnsi="Tahoma"/>
          <w:lang w:val="ro-RO"/>
        </w:rPr>
        <w:t>ț</w:t>
      </w:r>
      <w:r>
        <w:t>ii au raporturi de func</w:t>
      </w:r>
      <w:r w:rsidRPr="00E90FC3">
        <w:rPr>
          <w:rStyle w:val="Fontdeparagrafimplicit"/>
          <w:rFonts w:ascii="Tahoma" w:hAnsi="Tahoma"/>
          <w:lang w:val="ro-RO"/>
        </w:rPr>
        <w:t>ț</w:t>
      </w:r>
      <w:r>
        <w:t>ie, prin legea bugetului de stat, nu a fost îndeplinită, nu se poate re</w:t>
      </w:r>
      <w:r w:rsidRPr="00E90FC3">
        <w:rPr>
          <w:rStyle w:val="Fontdeparagrafimplicit"/>
          <w:rFonts w:ascii="Tahoma" w:hAnsi="Tahoma"/>
          <w:lang w:val="ro-RO"/>
        </w:rPr>
        <w:t>ț</w:t>
      </w:r>
      <w:r>
        <w:t>ine existen</w:t>
      </w:r>
      <w:r w:rsidRPr="00E90FC3">
        <w:rPr>
          <w:rStyle w:val="Fontdeparagrafimplicit"/>
          <w:rFonts w:ascii="Tahoma" w:hAnsi="Tahoma"/>
          <w:lang w:val="ro-RO"/>
        </w:rPr>
        <w:t>ț</w:t>
      </w:r>
      <w:r>
        <w:t>a obliga</w:t>
      </w:r>
      <w:r w:rsidRPr="00E90FC3">
        <w:rPr>
          <w:rStyle w:val="Fontdeparagrafimplicit"/>
          <w:rFonts w:ascii="Tahoma" w:hAnsi="Tahoma"/>
          <w:lang w:val="ro-RO"/>
        </w:rPr>
        <w:t>ț</w:t>
      </w:r>
      <w:r>
        <w:t>iei institu</w:t>
      </w:r>
      <w:r w:rsidRPr="00E90FC3">
        <w:rPr>
          <w:rStyle w:val="Fontdeparagrafimplicit"/>
          <w:rFonts w:ascii="Tahoma" w:hAnsi="Tahoma"/>
          <w:lang w:val="ro-RO"/>
        </w:rPr>
        <w:t>ț</w:t>
      </w:r>
      <w:r>
        <w:t>iei pârâte de a acorda aceste tichete sau vouchere de vacan</w:t>
      </w:r>
      <w:r w:rsidRPr="00E90FC3">
        <w:rPr>
          <w:rStyle w:val="Fontdeparagrafimplicit"/>
          <w:rFonts w:ascii="Tahoma" w:hAnsi="Tahoma"/>
          <w:lang w:val="ro-RO"/>
        </w:rPr>
        <w:t>ț</w:t>
      </w:r>
      <w:r>
        <w:t>ă reclaman</w:t>
      </w:r>
      <w:r w:rsidRPr="00E90FC3">
        <w:rPr>
          <w:rStyle w:val="Fontdeparagrafimplicit"/>
          <w:rFonts w:ascii="Tahoma" w:hAnsi="Tahoma"/>
          <w:lang w:val="ro-RO"/>
        </w:rPr>
        <w:t>ț</w:t>
      </w:r>
      <w:r>
        <w:t>ilor. Nu se poate re</w:t>
      </w:r>
      <w:r w:rsidRPr="00E90FC3">
        <w:rPr>
          <w:rStyle w:val="Fontdeparagrafimplicit"/>
          <w:rFonts w:ascii="Tahoma" w:hAnsi="Tahoma"/>
          <w:lang w:val="ro-RO"/>
        </w:rPr>
        <w:t>ț</w:t>
      </w:r>
      <w:r>
        <w:t>ine vreo culpă a pârâtei în nealocarea sumelor necesare acordării tichetelor de vacan</w:t>
      </w:r>
      <w:r w:rsidRPr="00E90FC3">
        <w:rPr>
          <w:rStyle w:val="Fontdeparagrafimplicit"/>
          <w:rFonts w:ascii="Tahoma" w:hAnsi="Tahoma"/>
          <w:lang w:val="ro-RO"/>
        </w:rPr>
        <w:t>ț</w:t>
      </w:r>
      <w:r>
        <w:t>ă prin legea bugetului de stat, aceasta neavând vreo competen</w:t>
      </w:r>
      <w:r w:rsidRPr="00E90FC3">
        <w:rPr>
          <w:rStyle w:val="Fontdeparagrafimplicit"/>
          <w:rFonts w:ascii="Tahoma" w:hAnsi="Tahoma"/>
          <w:lang w:val="ro-RO"/>
        </w:rPr>
        <w:t>ț</w:t>
      </w:r>
      <w:r>
        <w:t xml:space="preserve">ă în stabilirea unor sume necesare </w:t>
      </w:r>
      <w:r w:rsidRPr="00E90FC3">
        <w:rPr>
          <w:rStyle w:val="Fontdeparagrafimplicit"/>
          <w:rFonts w:ascii="Tahoma" w:hAnsi="Tahoma"/>
          <w:lang w:val="ro-RO"/>
        </w:rPr>
        <w:t>ș</w:t>
      </w:r>
      <w:r>
        <w:t>i solicitarea acestora, legiuitorul fiind cel care stabile</w:t>
      </w:r>
      <w:r w:rsidRPr="00E90FC3">
        <w:rPr>
          <w:rStyle w:val="Fontdeparagrafimplicit"/>
          <w:rFonts w:ascii="Tahoma" w:hAnsi="Tahoma"/>
          <w:lang w:val="ro-RO"/>
        </w:rPr>
        <w:t>ș</w:t>
      </w:r>
      <w:r>
        <w:t xml:space="preserve">te posibilitatea distribuirii acestor sume </w:t>
      </w:r>
      <w:r w:rsidRPr="00E90FC3">
        <w:rPr>
          <w:rStyle w:val="Fontdeparagrafimplicit"/>
          <w:rFonts w:ascii="Tahoma" w:hAnsi="Tahoma"/>
          <w:lang w:val="ro-RO"/>
        </w:rPr>
        <w:t>ș</w:t>
      </w:r>
      <w:r>
        <w:t>i valoarea acesteia prin legea bugetului de stat, potrivit dispozi</w:t>
      </w:r>
      <w:r w:rsidRPr="00E90FC3">
        <w:rPr>
          <w:rStyle w:val="Fontdeparagrafimplicit"/>
          <w:rFonts w:ascii="Tahoma" w:hAnsi="Tahoma"/>
          <w:lang w:val="ro-RO"/>
        </w:rPr>
        <w:t>ț</w:t>
      </w:r>
      <w:r>
        <w:t>iei legale men</w:t>
      </w:r>
      <w:r w:rsidRPr="00E90FC3">
        <w:rPr>
          <w:rStyle w:val="Fontdeparagrafimplicit"/>
          <w:rFonts w:ascii="Tahoma" w:hAnsi="Tahoma"/>
          <w:lang w:val="ro-RO"/>
        </w:rPr>
        <w:t>ț</w:t>
      </w:r>
      <w:r>
        <w:t>ionate. În func</w:t>
      </w:r>
      <w:r w:rsidRPr="00E90FC3">
        <w:rPr>
          <w:rStyle w:val="Fontdeparagrafimplicit"/>
          <w:rFonts w:ascii="Tahoma" w:hAnsi="Tahoma"/>
          <w:lang w:val="ro-RO"/>
        </w:rPr>
        <w:t>ț</w:t>
      </w:r>
      <w:r>
        <w:t>ie de suma alocată se stabile</w:t>
      </w:r>
      <w:r w:rsidRPr="00E90FC3">
        <w:rPr>
          <w:rStyle w:val="Fontdeparagrafimplicit"/>
          <w:rFonts w:ascii="Tahoma" w:hAnsi="Tahoma"/>
          <w:lang w:val="ro-RO"/>
        </w:rPr>
        <w:t>ș</w:t>
      </w:r>
      <w:r>
        <w:t>te valoarea tichetelor acordate fiecărui angajat, care nu poate depă</w:t>
      </w:r>
      <w:r w:rsidRPr="00E90FC3">
        <w:rPr>
          <w:rStyle w:val="Fontdeparagrafimplicit"/>
          <w:rFonts w:ascii="Tahoma" w:hAnsi="Tahoma"/>
          <w:lang w:val="ro-RO"/>
        </w:rPr>
        <w:t>ș</w:t>
      </w:r>
      <w:r>
        <w:t xml:space="preserve">i plafonul maxim de sase salarii de bază minime brute pe </w:t>
      </w:r>
      <w:r w:rsidRPr="00E90FC3">
        <w:rPr>
          <w:rStyle w:val="Fontdeparagrafimplicit"/>
          <w:rFonts w:ascii="Tahoma" w:hAnsi="Tahoma"/>
          <w:lang w:val="ro-RO"/>
        </w:rPr>
        <w:t>ț</w:t>
      </w:r>
      <w:r>
        <w:t>ară, fără însă a fi reglementat vreun plafon minim.</w:t>
      </w:r>
    </w:p>
    <w:p w:rsidR="008079D4" w14:paraId="56D57947" w14:textId="6B26B50F">
      <w:pPr>
        <w:ind w:firstLine="851"/>
        <w:jc w:val="both"/>
      </w:pPr>
      <w:r>
        <w:t>Pe de altă parte tichetele de vacan</w:t>
      </w:r>
      <w:r w:rsidRPr="00E90FC3">
        <w:rPr>
          <w:rStyle w:val="Fontdeparagrafimplicit"/>
          <w:rFonts w:ascii="Tahoma" w:hAnsi="Tahoma"/>
          <w:lang w:val="pt-PT"/>
        </w:rPr>
        <w:t>ț</w:t>
      </w:r>
      <w:r>
        <w:t>ă se acordau în perioada 2012-2014 doar personalului cu ,, contract individual de muncă”, reclamanta,</w:t>
      </w:r>
      <w:r w:rsidR="00E209E0">
        <w:t xml:space="preserve"> </w:t>
      </w:r>
      <w:r>
        <w:t>magistrat, neavând un astfel de statut.</w:t>
      </w:r>
    </w:p>
    <w:p w:rsidR="008079D4" w14:paraId="569A6D3C" w14:textId="77777777">
      <w:pPr>
        <w:ind w:firstLine="851"/>
        <w:jc w:val="both"/>
      </w:pPr>
      <w:r>
        <w:t>Chiar dacă am re</w:t>
      </w:r>
      <w:r w:rsidRPr="00E90FC3">
        <w:rPr>
          <w:rStyle w:val="Fontdeparagrafimplicit"/>
          <w:rFonts w:ascii="Tahoma" w:hAnsi="Tahoma"/>
          <w:lang w:val="pt-PT"/>
        </w:rPr>
        <w:t>ț</w:t>
      </w:r>
      <w:r>
        <w:t>ine că dispozi</w:t>
      </w:r>
      <w:r w:rsidRPr="00E90FC3">
        <w:rPr>
          <w:rStyle w:val="Fontdeparagrafimplicit"/>
          <w:rFonts w:ascii="Tahoma" w:hAnsi="Tahoma"/>
          <w:lang w:val="pt-PT"/>
        </w:rPr>
        <w:t>ț</w:t>
      </w:r>
      <w:r>
        <w:t xml:space="preserve">iile legale ar fi aplicabile </w:t>
      </w:r>
      <w:r w:rsidRPr="00E90FC3">
        <w:rPr>
          <w:rStyle w:val="Fontdeparagrafimplicit"/>
          <w:rFonts w:ascii="Tahoma" w:hAnsi="Tahoma"/>
          <w:lang w:val="pt-PT"/>
        </w:rPr>
        <w:t>ș</w:t>
      </w:r>
      <w:r>
        <w:t xml:space="preserve">i magistraţilor, că acesta este </w:t>
      </w:r>
      <w:r w:rsidRPr="00E90FC3">
        <w:rPr>
          <w:rStyle w:val="Fontdeparagrafimplicit"/>
          <w:rFonts w:ascii="Tahoma" w:hAnsi="Tahoma"/>
          <w:lang w:val="pt-PT"/>
        </w:rPr>
        <w:t>ș</w:t>
      </w:r>
      <w:r>
        <w:t>i motivul modificării art. 1 alin. 2 al OUG 8/2009, prin legea 173/2015, în perioada în discu</w:t>
      </w:r>
      <w:r w:rsidRPr="00E90FC3">
        <w:rPr>
          <w:rStyle w:val="Fontdeparagrafimplicit"/>
          <w:rFonts w:ascii="Tahoma" w:hAnsi="Tahoma"/>
          <w:lang w:val="ro-RO"/>
        </w:rPr>
        <w:t>ț</w:t>
      </w:r>
      <w:r>
        <w:t xml:space="preserve">ie nici personalul contractual </w:t>
      </w:r>
      <w:r w:rsidRPr="00E90FC3">
        <w:rPr>
          <w:rStyle w:val="Fontdeparagrafimplicit"/>
          <w:rFonts w:ascii="Tahoma" w:hAnsi="Tahoma"/>
          <w:lang w:val="ro-RO"/>
        </w:rPr>
        <w:t>ș</w:t>
      </w:r>
      <w:r>
        <w:t>i nici func</w:t>
      </w:r>
      <w:r w:rsidRPr="00E90FC3">
        <w:rPr>
          <w:rStyle w:val="Fontdeparagrafimplicit"/>
          <w:rFonts w:ascii="Tahoma" w:hAnsi="Tahoma"/>
          <w:lang w:val="ro-RO"/>
        </w:rPr>
        <w:t>ț</w:t>
      </w:r>
      <w:r>
        <w:t>ionarii publici din institu</w:t>
      </w:r>
      <w:r w:rsidRPr="00E90FC3">
        <w:rPr>
          <w:rStyle w:val="Fontdeparagrafimplicit"/>
          <w:rFonts w:ascii="Tahoma" w:hAnsi="Tahoma"/>
          <w:lang w:val="ro-RO"/>
        </w:rPr>
        <w:t>ț</w:t>
      </w:r>
      <w:r>
        <w:t>iile finan</w:t>
      </w:r>
      <w:r w:rsidRPr="00E90FC3">
        <w:rPr>
          <w:rStyle w:val="Fontdeparagrafimplicit"/>
          <w:rFonts w:ascii="Tahoma" w:hAnsi="Tahoma"/>
          <w:lang w:val="ro-RO"/>
        </w:rPr>
        <w:t>ț</w:t>
      </w:r>
      <w:r>
        <w:t>ate de la bugetul de stat nu au primit astfel de tichete, întrucât prin art. 7 alin. 2 din OUG 80/2011 aprobată prin legea 283/2011 s-a stabilit ,, În anul 2012, autorită</w:t>
      </w:r>
      <w:r w:rsidRPr="00E90FC3">
        <w:rPr>
          <w:rStyle w:val="Fontdeparagrafimplicit"/>
          <w:rFonts w:ascii="Tahoma" w:hAnsi="Tahoma"/>
          <w:lang w:val="ro-RO"/>
        </w:rPr>
        <w:t>ț</w:t>
      </w:r>
      <w:r>
        <w:t xml:space="preserve">ile </w:t>
      </w:r>
      <w:r w:rsidRPr="00E90FC3">
        <w:rPr>
          <w:rStyle w:val="Fontdeparagrafimplicit"/>
          <w:rFonts w:ascii="Tahoma" w:hAnsi="Tahoma"/>
          <w:lang w:val="ro-RO"/>
        </w:rPr>
        <w:t>ș</w:t>
      </w:r>
      <w:r>
        <w:t>i institu</w:t>
      </w:r>
      <w:r w:rsidRPr="00E90FC3">
        <w:rPr>
          <w:rStyle w:val="Fontdeparagrafimplicit"/>
          <w:rFonts w:ascii="Tahoma" w:hAnsi="Tahoma"/>
          <w:lang w:val="ro-RO"/>
        </w:rPr>
        <w:t>ț</w:t>
      </w:r>
      <w:r>
        <w:t>iile publice, indiferent de modul de finan</w:t>
      </w:r>
      <w:r w:rsidRPr="00E90FC3">
        <w:rPr>
          <w:rStyle w:val="Fontdeparagrafimplicit"/>
          <w:rFonts w:ascii="Tahoma" w:hAnsi="Tahoma"/>
          <w:lang w:val="ro-RO"/>
        </w:rPr>
        <w:t>ț</w:t>
      </w:r>
      <w:r>
        <w:t xml:space="preserve">are, nu vor acorda premii </w:t>
      </w:r>
      <w:r w:rsidRPr="00E90FC3">
        <w:rPr>
          <w:rStyle w:val="Fontdeparagrafimplicit"/>
          <w:rFonts w:ascii="Tahoma" w:hAnsi="Tahoma"/>
          <w:lang w:val="ro-RO"/>
        </w:rPr>
        <w:t>ș</w:t>
      </w:r>
      <w:r>
        <w:t>i prime de vacan</w:t>
      </w:r>
      <w:r w:rsidRPr="00E90FC3">
        <w:rPr>
          <w:rStyle w:val="Fontdeparagrafimplicit"/>
          <w:rFonts w:ascii="Tahoma" w:hAnsi="Tahoma"/>
          <w:lang w:val="ro-RO"/>
        </w:rPr>
        <w:t>ț</w:t>
      </w:r>
      <w:r>
        <w:t xml:space="preserve">ă.", motive pentru care nu au fost stabilite nici în buget astfel de sume nici pentru personalul contractual </w:t>
      </w:r>
      <w:r w:rsidRPr="00E90FC3">
        <w:rPr>
          <w:rStyle w:val="Fontdeparagrafimplicit"/>
          <w:rFonts w:ascii="Tahoma" w:hAnsi="Tahoma"/>
          <w:lang w:val="ro-RO"/>
        </w:rPr>
        <w:t>ș</w:t>
      </w:r>
      <w:r>
        <w:t>i nici pentru func</w:t>
      </w:r>
      <w:r w:rsidRPr="00E90FC3">
        <w:rPr>
          <w:rStyle w:val="Fontdeparagrafimplicit"/>
          <w:rFonts w:ascii="Tahoma" w:hAnsi="Tahoma"/>
          <w:lang w:val="ro-RO"/>
        </w:rPr>
        <w:t>ț</w:t>
      </w:r>
      <w:r>
        <w:t>ionarii publici, cu atât mai puţin pentru magistraţi. Aceea</w:t>
      </w:r>
      <w:r w:rsidRPr="00E90FC3">
        <w:rPr>
          <w:rStyle w:val="Fontdeparagrafimplicit"/>
          <w:rFonts w:ascii="Tahoma" w:hAnsi="Tahoma"/>
          <w:lang w:val="ro-RO"/>
        </w:rPr>
        <w:t>ș</w:t>
      </w:r>
      <w:r>
        <w:t>i dispozi</w:t>
      </w:r>
      <w:r w:rsidRPr="00E90FC3">
        <w:rPr>
          <w:rStyle w:val="Fontdeparagrafimplicit"/>
          <w:rFonts w:ascii="Tahoma" w:hAnsi="Tahoma"/>
          <w:lang w:val="ro-RO"/>
        </w:rPr>
        <w:t>ț</w:t>
      </w:r>
      <w:r>
        <w:t>ie legală este reluată apoi de dispozi</w:t>
      </w:r>
      <w:r w:rsidRPr="00E90FC3">
        <w:rPr>
          <w:rStyle w:val="Fontdeparagrafimplicit"/>
          <w:rFonts w:ascii="Tahoma" w:hAnsi="Tahoma"/>
          <w:lang w:val="ro-RO"/>
        </w:rPr>
        <w:t>ț</w:t>
      </w:r>
      <w:r>
        <w:t xml:space="preserve">iile art. 2 din OUG 84 2012, pentru anul 2013 </w:t>
      </w:r>
      <w:r w:rsidRPr="00E90FC3">
        <w:rPr>
          <w:rStyle w:val="Fontdeparagrafimplicit"/>
          <w:rFonts w:ascii="Tahoma" w:hAnsi="Tahoma"/>
          <w:lang w:val="ro-RO"/>
        </w:rPr>
        <w:t>ș</w:t>
      </w:r>
      <w:r>
        <w:t>i art.9 alin. 2 din OUG 103/2013 pentru anul 2014.</w:t>
      </w:r>
    </w:p>
    <w:p w:rsidR="008079D4" w14:paraId="7D5D8BD5" w14:textId="77777777">
      <w:pPr>
        <w:ind w:firstLine="708"/>
        <w:jc w:val="both"/>
      </w:pPr>
      <w:r>
        <w:t>Potrivit prevederilor Ordonan</w:t>
      </w:r>
      <w:r w:rsidRPr="00E90FC3">
        <w:rPr>
          <w:rStyle w:val="Fontdeparagrafimplicit"/>
          <w:rFonts w:ascii="Tahoma" w:hAnsi="Tahoma"/>
          <w:lang w:val="ro-RO"/>
        </w:rPr>
        <w:t>ț</w:t>
      </w:r>
      <w:r>
        <w:t>ei de Urgen</w:t>
      </w:r>
      <w:r w:rsidRPr="00E90FC3">
        <w:rPr>
          <w:rStyle w:val="Fontdeparagrafimplicit"/>
          <w:rFonts w:ascii="Tahoma" w:hAnsi="Tahoma"/>
          <w:lang w:val="ro-RO"/>
        </w:rPr>
        <w:t>ț</w:t>
      </w:r>
      <w:r>
        <w:t>ă a Guvernului nr. 8/2009, aprobată prin Legea 94/2014, valoarea tichetelor de vacan</w:t>
      </w:r>
      <w:r w:rsidRPr="00E90FC3">
        <w:rPr>
          <w:rStyle w:val="Fontdeparagrafimplicit"/>
          <w:rFonts w:ascii="Tahoma" w:hAnsi="Tahoma"/>
          <w:lang w:val="ro-RO"/>
        </w:rPr>
        <w:t>ț</w:t>
      </w:r>
      <w:r>
        <w:t xml:space="preserve">ă, chiar </w:t>
      </w:r>
      <w:r w:rsidRPr="00E90FC3">
        <w:rPr>
          <w:rStyle w:val="Fontdeparagrafimplicit"/>
          <w:rFonts w:ascii="Tahoma" w:hAnsi="Tahoma"/>
          <w:lang w:val="ro-RO"/>
        </w:rPr>
        <w:t>ș</w:t>
      </w:r>
      <w:r>
        <w:t>i par</w:t>
      </w:r>
      <w:r w:rsidRPr="00E90FC3">
        <w:rPr>
          <w:rStyle w:val="Fontdeparagrafimplicit"/>
          <w:rFonts w:ascii="Tahoma" w:hAnsi="Tahoma"/>
          <w:lang w:val="ro-RO"/>
        </w:rPr>
        <w:t>ț</w:t>
      </w:r>
      <w:r>
        <w:t>ială, nu este acordată niciodată angajatului ci doar societă</w:t>
      </w:r>
      <w:r w:rsidRPr="00E90FC3">
        <w:rPr>
          <w:rStyle w:val="Fontdeparagrafimplicit"/>
          <w:rFonts w:ascii="Tahoma" w:hAnsi="Tahoma"/>
          <w:lang w:val="ro-RO"/>
        </w:rPr>
        <w:t>ț</w:t>
      </w:r>
      <w:r>
        <w:t>ilor turistice na</w:t>
      </w:r>
      <w:r w:rsidRPr="00E90FC3">
        <w:rPr>
          <w:rStyle w:val="Fontdeparagrafimplicit"/>
          <w:rFonts w:ascii="Tahoma" w:hAnsi="Tahoma"/>
          <w:lang w:val="ro-RO"/>
        </w:rPr>
        <w:t>ț</w:t>
      </w:r>
      <w:r>
        <w:t xml:space="preserve">ionale afiliate, angajatorul neputând decât să solicite emiterea unor </w:t>
      </w:r>
      <w:r>
        <w:t>astfel de tichete pe care le înmânează angajatului care nu le poate utiliza decât pentru valoarea unor astfel de servicii, valoare care insă este plătită de unitatea emitentă unită</w:t>
      </w:r>
      <w:r w:rsidRPr="00E90FC3">
        <w:rPr>
          <w:rStyle w:val="Fontdeparagrafimplicit"/>
          <w:rFonts w:ascii="Tahoma" w:hAnsi="Tahoma"/>
          <w:lang w:val="ro-RO"/>
        </w:rPr>
        <w:t>ț</w:t>
      </w:r>
      <w:r>
        <w:t>ii turistice afiliate.</w:t>
      </w:r>
    </w:p>
    <w:p w:rsidR="008079D4" w14:paraId="08CA5FF2" w14:textId="71AA6873">
      <w:pPr>
        <w:ind w:firstLine="851"/>
        <w:jc w:val="both"/>
      </w:pPr>
      <w:r>
        <w:t>Legiuitorul a exclus orice altă posibilitate de utilizare a valorii tichetelor de vacan</w:t>
      </w:r>
      <w:r w:rsidRPr="00E90FC3">
        <w:rPr>
          <w:rStyle w:val="Fontdeparagrafimplicit"/>
          <w:rFonts w:ascii="Tahoma" w:hAnsi="Tahoma"/>
          <w:lang w:val="pt-PT"/>
        </w:rPr>
        <w:t>ț</w:t>
      </w:r>
      <w:r>
        <w:t>ă, neinten</w:t>
      </w:r>
      <w:r w:rsidRPr="00E90FC3">
        <w:rPr>
          <w:rStyle w:val="Fontdeparagrafimplicit"/>
          <w:rFonts w:ascii="Tahoma" w:hAnsi="Tahoma"/>
          <w:lang w:val="pt-PT"/>
        </w:rPr>
        <w:t>ț</w:t>
      </w:r>
      <w:r>
        <w:t>ionând să reglementeze un drept salarial suplimentar în favoarea tuturor angaja</w:t>
      </w:r>
      <w:r w:rsidRPr="00E90FC3">
        <w:rPr>
          <w:rStyle w:val="Fontdeparagrafimplicit"/>
          <w:rFonts w:ascii="Tahoma" w:hAnsi="Tahoma"/>
          <w:lang w:val="pt-PT"/>
        </w:rPr>
        <w:t>ț</w:t>
      </w:r>
      <w:r>
        <w:t>ilor. Inten</w:t>
      </w:r>
      <w:r w:rsidRPr="00E90FC3">
        <w:rPr>
          <w:rStyle w:val="Fontdeparagrafimplicit"/>
          <w:rFonts w:ascii="Tahoma" w:hAnsi="Tahoma"/>
          <w:lang w:val="ro-RO"/>
        </w:rPr>
        <w:t>ț</w:t>
      </w:r>
      <w:r>
        <w:t>ia legiuitorului a fost enun</w:t>
      </w:r>
      <w:r w:rsidRPr="00E90FC3">
        <w:rPr>
          <w:rStyle w:val="Fontdeparagrafimplicit"/>
          <w:rFonts w:ascii="Tahoma" w:hAnsi="Tahoma"/>
          <w:lang w:val="ro-RO"/>
        </w:rPr>
        <w:t>ț</w:t>
      </w:r>
      <w:r>
        <w:t>ată în preambulul ordonan</w:t>
      </w:r>
      <w:r w:rsidRPr="00E90FC3">
        <w:rPr>
          <w:rStyle w:val="Fontdeparagrafimplicit"/>
          <w:rFonts w:ascii="Tahoma" w:hAnsi="Tahoma"/>
          <w:lang w:val="ro-RO"/>
        </w:rPr>
        <w:t>ț</w:t>
      </w:r>
      <w:r>
        <w:t>ei de urgen</w:t>
      </w:r>
      <w:r w:rsidRPr="00E90FC3">
        <w:rPr>
          <w:rStyle w:val="Fontdeparagrafimplicit"/>
          <w:rFonts w:ascii="Tahoma" w:hAnsi="Tahoma"/>
          <w:lang w:val="ro-RO"/>
        </w:rPr>
        <w:t>ț</w:t>
      </w:r>
      <w:r>
        <w:t xml:space="preserve">ă </w:t>
      </w:r>
      <w:r w:rsidRPr="00E90FC3">
        <w:rPr>
          <w:rStyle w:val="Fontdeparagrafimplicit"/>
          <w:rFonts w:ascii="Tahoma" w:hAnsi="Tahoma"/>
          <w:lang w:val="ro-RO"/>
        </w:rPr>
        <w:t>ș</w:t>
      </w:r>
      <w:r>
        <w:t>i a fost aceea de a asigura cre</w:t>
      </w:r>
      <w:r w:rsidRPr="00E90FC3">
        <w:rPr>
          <w:rStyle w:val="Fontdeparagrafimplicit"/>
          <w:rFonts w:ascii="Tahoma" w:hAnsi="Tahoma"/>
          <w:lang w:val="ro-RO"/>
        </w:rPr>
        <w:t>ș</w:t>
      </w:r>
      <w:r>
        <w:t>terea capacită</w:t>
      </w:r>
      <w:r w:rsidRPr="00E90FC3">
        <w:rPr>
          <w:rStyle w:val="Fontdeparagrafimplicit"/>
          <w:rFonts w:ascii="Tahoma" w:hAnsi="Tahoma"/>
          <w:lang w:val="ro-RO"/>
        </w:rPr>
        <w:t>ț</w:t>
      </w:r>
      <w:r>
        <w:t>ii de muncă a salariatului prin sus</w:t>
      </w:r>
      <w:r w:rsidRPr="00E90FC3">
        <w:rPr>
          <w:rStyle w:val="Fontdeparagrafimplicit"/>
          <w:rFonts w:ascii="Tahoma" w:hAnsi="Tahoma"/>
          <w:lang w:val="ro-RO"/>
        </w:rPr>
        <w:t>ț</w:t>
      </w:r>
      <w:r>
        <w:t xml:space="preserve">inerea anagajatului </w:t>
      </w:r>
      <w:r w:rsidRPr="00E90FC3">
        <w:rPr>
          <w:rStyle w:val="Fontdeparagrafimplicit"/>
          <w:rFonts w:ascii="Tahoma" w:hAnsi="Tahoma"/>
          <w:lang w:val="ro-RO"/>
        </w:rPr>
        <w:t>ș</w:t>
      </w:r>
      <w:r>
        <w:t>i angajatorului prin intermediul acestor tichete cu rol ,,de recuperare a capacită</w:t>
      </w:r>
      <w:r w:rsidRPr="00E90FC3">
        <w:rPr>
          <w:rStyle w:val="Fontdeparagrafimplicit"/>
          <w:rFonts w:ascii="Tahoma" w:hAnsi="Tahoma"/>
          <w:lang w:val="ro-RO"/>
        </w:rPr>
        <w:t>ț</w:t>
      </w:r>
      <w:r>
        <w:t>ii de muncă, de cre</w:t>
      </w:r>
      <w:r w:rsidRPr="00E90FC3">
        <w:rPr>
          <w:rStyle w:val="Fontdeparagrafimplicit"/>
          <w:rFonts w:ascii="Tahoma" w:hAnsi="Tahoma"/>
          <w:lang w:val="ro-RO"/>
        </w:rPr>
        <w:t>ș</w:t>
      </w:r>
      <w:r>
        <w:t>tere a productivită</w:t>
      </w:r>
      <w:r w:rsidRPr="00E90FC3">
        <w:rPr>
          <w:rStyle w:val="Fontdeparagrafimplicit"/>
          <w:rFonts w:ascii="Tahoma" w:hAnsi="Tahoma"/>
          <w:lang w:val="ro-RO"/>
        </w:rPr>
        <w:t>ț</w:t>
      </w:r>
      <w:r>
        <w:t xml:space="preserve">ii muncii salariatului </w:t>
      </w:r>
      <w:r w:rsidRPr="00E90FC3">
        <w:rPr>
          <w:rStyle w:val="Fontdeparagrafimplicit"/>
          <w:rFonts w:ascii="Tahoma" w:hAnsi="Tahoma"/>
          <w:lang w:val="ro-RO"/>
        </w:rPr>
        <w:t>ș</w:t>
      </w:r>
      <w:r>
        <w:t>i de motivare a acestuia pentru a-</w:t>
      </w:r>
      <w:r w:rsidRPr="00E90FC3">
        <w:rPr>
          <w:rStyle w:val="Fontdeparagrafimplicit"/>
          <w:rFonts w:ascii="Tahoma" w:hAnsi="Tahoma"/>
          <w:lang w:val="ro-RO"/>
        </w:rPr>
        <w:t>ș</w:t>
      </w:r>
      <w:r>
        <w:t>i men</w:t>
      </w:r>
      <w:r w:rsidRPr="00E90FC3">
        <w:rPr>
          <w:rStyle w:val="Fontdeparagrafimplicit"/>
          <w:rFonts w:ascii="Tahoma" w:hAnsi="Tahoma"/>
          <w:lang w:val="ro-RO"/>
        </w:rPr>
        <w:t>ț</w:t>
      </w:r>
      <w:r>
        <w:t xml:space="preserve">ine calitatea de salariat în respectiva întreprindere, ceea ce va genera stabilitate </w:t>
      </w:r>
      <w:r w:rsidRPr="00E90FC3">
        <w:rPr>
          <w:rStyle w:val="Fontdeparagrafimplicit"/>
          <w:rFonts w:ascii="Tahoma" w:hAnsi="Tahoma"/>
          <w:lang w:val="ro-RO"/>
        </w:rPr>
        <w:t>ș</w:t>
      </w:r>
      <w:r>
        <w:t>i eficien</w:t>
      </w:r>
      <w:r w:rsidRPr="00E90FC3">
        <w:rPr>
          <w:rStyle w:val="Fontdeparagrafimplicit"/>
          <w:rFonts w:ascii="Tahoma" w:hAnsi="Tahoma"/>
          <w:lang w:val="ro-RO"/>
        </w:rPr>
        <w:t>ț</w:t>
      </w:r>
      <w:r>
        <w:t xml:space="preserve">ă mărite la nivelul sectorului privat </w:t>
      </w:r>
      <w:r w:rsidRPr="00E90FC3">
        <w:rPr>
          <w:rStyle w:val="Fontdeparagrafimplicit"/>
          <w:rFonts w:ascii="Tahoma" w:hAnsi="Tahoma"/>
          <w:lang w:val="ro-RO"/>
        </w:rPr>
        <w:t>ș</w:t>
      </w:r>
      <w:r>
        <w:t xml:space="preserve">i în special în cazul întreprinderilor mici </w:t>
      </w:r>
      <w:r w:rsidRPr="00E90FC3">
        <w:rPr>
          <w:rStyle w:val="Fontdeparagrafimplicit"/>
          <w:rFonts w:ascii="Tahoma" w:hAnsi="Tahoma"/>
          <w:lang w:val="ro-RO"/>
        </w:rPr>
        <w:t>ș</w:t>
      </w:r>
      <w:r>
        <w:t xml:space="preserve">i mijlocii.”, în limita fondurilor de care atât întreprinderile din sectorul privat cât </w:t>
      </w:r>
      <w:r w:rsidRPr="00E90FC3">
        <w:rPr>
          <w:rStyle w:val="Fontdeparagrafimplicit"/>
          <w:rFonts w:ascii="Tahoma" w:hAnsi="Tahoma"/>
          <w:lang w:val="ro-RO"/>
        </w:rPr>
        <w:t>ș</w:t>
      </w:r>
      <w:r>
        <w:t>i bugetul de stat dispun.</w:t>
      </w:r>
    </w:p>
    <w:p w:rsidR="008079D4" w14:paraId="56CF7A3D" w14:textId="77777777">
      <w:pPr>
        <w:ind w:firstLine="851"/>
        <w:jc w:val="both"/>
      </w:pPr>
      <w:r>
        <w:t>Acordarea contravalorii tichetelor de vacan</w:t>
      </w:r>
      <w:r w:rsidRPr="00E90FC3">
        <w:rPr>
          <w:rStyle w:val="Fontdeparagrafimplicit"/>
          <w:rFonts w:ascii="Tahoma" w:hAnsi="Tahoma"/>
          <w:lang w:val="pt-PT"/>
        </w:rPr>
        <w:t>ț</w:t>
      </w:r>
      <w:r>
        <w:t>ă este contrară dispozi</w:t>
      </w:r>
      <w:r w:rsidRPr="00E90FC3">
        <w:rPr>
          <w:rStyle w:val="Fontdeparagrafimplicit"/>
          <w:rFonts w:ascii="Tahoma" w:hAnsi="Tahoma"/>
          <w:lang w:val="pt-PT"/>
        </w:rPr>
        <w:t>ț</w:t>
      </w:r>
      <w:r>
        <w:t xml:space="preserve">iilor legale </w:t>
      </w:r>
      <w:r w:rsidRPr="00E90FC3">
        <w:rPr>
          <w:rStyle w:val="Fontdeparagrafimplicit"/>
          <w:rFonts w:ascii="Tahoma" w:hAnsi="Tahoma"/>
          <w:lang w:val="pt-PT"/>
        </w:rPr>
        <w:t>ș</w:t>
      </w:r>
      <w:r>
        <w:t>i inten</w:t>
      </w:r>
      <w:r w:rsidRPr="00E90FC3">
        <w:rPr>
          <w:rStyle w:val="Fontdeparagrafimplicit"/>
          <w:rFonts w:ascii="Tahoma" w:hAnsi="Tahoma"/>
          <w:lang w:val="pt-PT"/>
        </w:rPr>
        <w:t>ț</w:t>
      </w:r>
      <w:r>
        <w:t>iei legiuitorului enun</w:t>
      </w:r>
      <w:r w:rsidRPr="00E90FC3">
        <w:rPr>
          <w:rStyle w:val="Fontdeparagrafimplicit"/>
          <w:rFonts w:ascii="Tahoma" w:hAnsi="Tahoma"/>
          <w:lang w:val="pt-PT"/>
        </w:rPr>
        <w:t>ț</w:t>
      </w:r>
      <w:r>
        <w:t xml:space="preserve">ate </w:t>
      </w:r>
      <w:r w:rsidRPr="00E90FC3">
        <w:rPr>
          <w:rStyle w:val="Fontdeparagrafimplicit"/>
          <w:rFonts w:ascii="Tahoma" w:hAnsi="Tahoma"/>
          <w:lang w:val="pt-PT"/>
        </w:rPr>
        <w:t>ș</w:t>
      </w:r>
      <w:r>
        <w:t>i chiar caracterului urgent al ordonan</w:t>
      </w:r>
      <w:r w:rsidRPr="00E90FC3">
        <w:rPr>
          <w:rStyle w:val="Fontdeparagrafimplicit"/>
          <w:rFonts w:ascii="Tahoma" w:hAnsi="Tahoma"/>
          <w:lang w:val="pt-PT"/>
        </w:rPr>
        <w:t>ț</w:t>
      </w:r>
      <w:r>
        <w:t>ei, justificat de necesitatea unor măsuri de sus</w:t>
      </w:r>
      <w:r w:rsidRPr="00E90FC3">
        <w:rPr>
          <w:rStyle w:val="Fontdeparagrafimplicit"/>
          <w:rFonts w:ascii="Tahoma" w:hAnsi="Tahoma"/>
          <w:lang w:val="pt-PT"/>
        </w:rPr>
        <w:t>ț</w:t>
      </w:r>
      <w:r>
        <w:t>inere a turismului na</w:t>
      </w:r>
      <w:r w:rsidRPr="00E90FC3">
        <w:rPr>
          <w:rStyle w:val="Fontdeparagrafimplicit"/>
          <w:rFonts w:ascii="Tahoma" w:hAnsi="Tahoma"/>
          <w:lang w:val="pt-PT"/>
        </w:rPr>
        <w:t>ț</w:t>
      </w:r>
      <w:r>
        <w:t>ional.</w:t>
      </w:r>
    </w:p>
    <w:p w:rsidR="008079D4" w14:paraId="70916042" w14:textId="77777777">
      <w:pPr>
        <w:ind w:firstLine="851"/>
        <w:jc w:val="both"/>
      </w:pPr>
      <w:r>
        <w:t>În consecinţă, faţă de ansamblul considerentelor mai sus arătate, Curtea reţine ca nefondate criticile aduse sentinţei tribunalului, astfel încât, în temeiul art. 480 C.pr.civilă,</w:t>
      </w:r>
    </w:p>
    <w:p w:rsidR="008079D4" w14:paraId="1426A59C" w14:textId="77777777">
      <w:pPr>
        <w:jc w:val="center"/>
      </w:pPr>
    </w:p>
    <w:p w:rsidR="008079D4" w14:paraId="29AC1F39" w14:textId="77777777">
      <w:pPr>
        <w:jc w:val="center"/>
      </w:pPr>
      <w:r>
        <w:t>PENTRU ACESTE MOTIVE</w:t>
      </w:r>
    </w:p>
    <w:p w:rsidR="008079D4" w14:paraId="4B36A779" w14:textId="77777777">
      <w:pPr>
        <w:jc w:val="center"/>
      </w:pPr>
      <w:r>
        <w:t>ÎN NUMELE LEGII</w:t>
      </w:r>
    </w:p>
    <w:p w:rsidR="008079D4" w14:paraId="0AC397AA" w14:textId="77777777">
      <w:pPr>
        <w:jc w:val="center"/>
      </w:pPr>
      <w:r>
        <w:t>D E C I D E :</w:t>
      </w:r>
    </w:p>
    <w:p w:rsidR="008079D4" w14:paraId="0C9E0BE9" w14:textId="77777777">
      <w:pPr>
        <w:jc w:val="center"/>
      </w:pPr>
    </w:p>
    <w:p w:rsidR="008079D4" w14:paraId="263B9122" w14:textId="6EC390F1">
      <w:pPr>
        <w:ind w:firstLine="708"/>
        <w:jc w:val="both"/>
      </w:pPr>
      <w:r>
        <w:t>Respinge ca nefondat apelul declarat de reclamanta 1, CNP .........., cu domiciliul în ......, str. .........., nr. ........, jud. .............. , împotriva sentinţei civile nr. ...... din .............. a Tribunalului .............. , pronunţată în dosar nr. 9, pe care o menţine.</w:t>
      </w:r>
    </w:p>
    <w:p w:rsidR="008079D4" w14:paraId="563B94A0" w14:textId="77777777">
      <w:pPr>
        <w:ind w:firstLine="708"/>
        <w:jc w:val="both"/>
      </w:pPr>
      <w:r>
        <w:t xml:space="preserve">Decizia este definitivă şi executorie. </w:t>
      </w:r>
    </w:p>
    <w:p w:rsidR="008079D4" w14:paraId="46C19EB5" w14:textId="5EF0007F">
      <w:pPr>
        <w:ind w:firstLine="708"/>
        <w:jc w:val="both"/>
      </w:pPr>
      <w:r>
        <w:t>Dată şi pronunţată în şedinţa publică  din ...........</w:t>
      </w:r>
    </w:p>
    <w:p w:rsidR="008079D4" w14:paraId="0CF264C4" w14:textId="77777777">
      <w:pPr>
        <w:jc w:val="both"/>
      </w:pPr>
    </w:p>
    <w:p w:rsidRPr="006319CB" w:rsidR="008079D4" w14:paraId="4A1072F8" w14:textId="77777777">
      <w:pPr>
        <w:rPr>
          <w:rStyle w:val="Fontdeparagrafimplicit"/>
          <w:b/>
          <w:lang w:val="ro-RO"/>
        </w:rPr>
      </w:pPr>
      <w:r w:rsidRPr="00E90FC3">
        <w:rPr>
          <w:rStyle w:val="Fontdeparagrafimplicit"/>
          <w:b/>
          <w:lang w:val="ro-RO"/>
        </w:rPr>
        <w:t xml:space="preserve">             </w:t>
      </w:r>
      <w:r w:rsidRPr="006319CB">
        <w:rPr>
          <w:rStyle w:val="Fontdeparagrafimplicit"/>
          <w:b/>
          <w:lang w:val="ro-RO"/>
        </w:rPr>
        <w:t>PREŞEDINTE                                   JUDECĂTOR                                   GREFIER</w:t>
      </w:r>
    </w:p>
    <w:p w:rsidRPr="006319CB" w:rsidR="008079D4" w:rsidP="000F6E21" w14:paraId="74175DAC" w14:textId="5463E631">
      <w:pPr>
        <w:ind w:left="720"/>
        <w:rPr>
          <w:rStyle w:val="Fontdeparagrafimplicit"/>
          <w:b/>
          <w:lang w:val="ro-RO"/>
        </w:rPr>
      </w:pPr>
      <w:r w:rsidRPr="006319CB">
        <w:rPr>
          <w:rStyle w:val="Fontdeparagrafimplicit"/>
          <w:b/>
          <w:lang w:val="ro-RO"/>
        </w:rPr>
        <w:t xml:space="preserve">           A0019                                       ............                                               ............ </w:t>
      </w:r>
    </w:p>
    <w:p w:rsidRPr="006319CB" w:rsidR="008079D4" w14:paraId="3F71778F" w14:textId="77777777">
      <w:pPr>
        <w:rPr>
          <w:rStyle w:val="Fontdeparagrafimplicit"/>
          <w:b/>
          <w:lang w:val="ro-RO"/>
        </w:rPr>
      </w:pPr>
    </w:p>
    <w:p w:rsidRPr="006319CB" w:rsidR="008079D4" w14:paraId="7F048E53" w14:textId="77777777">
      <w:pPr>
        <w:rPr>
          <w:rStyle w:val="Fontdeparagrafimplicit"/>
          <w:b/>
          <w:lang w:val="ro-RO"/>
        </w:rPr>
      </w:pPr>
    </w:p>
    <w:p w:rsidRPr="006319CB" w:rsidR="008079D4" w14:paraId="6CD4FD23" w14:textId="77777777">
      <w:pPr>
        <w:rPr>
          <w:rStyle w:val="Fontdeparagrafimplicit"/>
          <w:b/>
          <w:lang w:val="ro-RO"/>
        </w:rPr>
      </w:pPr>
    </w:p>
    <w:p w:rsidRPr="006319CB" w:rsidR="008079D4" w14:paraId="420012A3" w14:textId="77777777">
      <w:pPr>
        <w:jc w:val="both"/>
        <w:rPr>
          <w:rStyle w:val="Fontdeparagrafimplicit"/>
          <w:sz w:val="20"/>
          <w:lang w:val="ro-RO"/>
        </w:rPr>
      </w:pPr>
    </w:p>
    <w:p w:rsidRPr="006319CB" w:rsidR="008079D4" w14:paraId="17D7D8D9" w14:textId="5490EBE7">
      <w:pPr>
        <w:jc w:val="both"/>
        <w:rPr>
          <w:rStyle w:val="Fontdeparagrafimplicit"/>
          <w:sz w:val="20"/>
          <w:lang w:val="ro-RO"/>
        </w:rPr>
      </w:pPr>
      <w:r w:rsidRPr="006319CB">
        <w:rPr>
          <w:rStyle w:val="Fontdeparagrafimplicit"/>
          <w:sz w:val="20"/>
          <w:lang w:val="ro-RO"/>
        </w:rPr>
        <w:t>Red.A0019/dact.........</w:t>
      </w:r>
    </w:p>
    <w:p w:rsidRPr="00E90FC3" w:rsidR="008079D4" w14:paraId="4EA6CA4F" w14:textId="5737597D">
      <w:pPr>
        <w:jc w:val="both"/>
        <w:rPr>
          <w:rStyle w:val="Fontdeparagrafimplicit"/>
          <w:sz w:val="20"/>
          <w:lang w:val="pt-PT"/>
        </w:rPr>
      </w:pPr>
      <w:r w:rsidRPr="00E90FC3">
        <w:rPr>
          <w:rStyle w:val="Fontdeparagrafimplicit"/>
          <w:sz w:val="20"/>
          <w:lang w:val="pt-PT"/>
        </w:rPr>
        <w:t>7 ex./</w:t>
      </w:r>
      <w:r>
        <w:rPr>
          <w:rStyle w:val="Fontdeparagrafimplicit"/>
          <w:sz w:val="20"/>
          <w:lang w:val="pt-PT"/>
        </w:rPr>
        <w:t>............</w:t>
      </w:r>
    </w:p>
    <w:p w:rsidRPr="00E90FC3" w:rsidR="008079D4" w14:paraId="6FAC0B7E" w14:textId="36C3CC6C">
      <w:pPr>
        <w:jc w:val="both"/>
        <w:rPr>
          <w:rStyle w:val="Fontdeparagrafimplicit"/>
          <w:sz w:val="20"/>
          <w:lang w:val="pt-PT"/>
        </w:rPr>
      </w:pPr>
      <w:r w:rsidRPr="00E90FC3">
        <w:rPr>
          <w:rStyle w:val="Fontdeparagrafimplicit"/>
          <w:sz w:val="20"/>
          <w:lang w:val="pt-PT"/>
        </w:rPr>
        <w:t>Jud.fond:</w:t>
      </w:r>
      <w:r>
        <w:rPr>
          <w:rStyle w:val="Fontdeparagrafimplicit"/>
          <w:sz w:val="20"/>
          <w:lang w:val="pt-PT"/>
        </w:rPr>
        <w:t>...........</w:t>
      </w: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9D4" w14:paraId="0B4B77C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079D4" w14:paraId="693E83A0"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9D4" w14:paraId="77F4D1C4"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079D4" w14:paraId="062041FF"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D4"/>
    <w:rsid w:val="00065E60"/>
    <w:rsid w:val="000F6E21"/>
    <w:rsid w:val="00165922"/>
    <w:rsid w:val="002E15B1"/>
    <w:rsid w:val="00350CD2"/>
    <w:rsid w:val="003A059F"/>
    <w:rsid w:val="003A446B"/>
    <w:rsid w:val="00441910"/>
    <w:rsid w:val="006319CB"/>
    <w:rsid w:val="00646711"/>
    <w:rsid w:val="006951BB"/>
    <w:rsid w:val="008079D4"/>
    <w:rsid w:val="008A57AF"/>
    <w:rsid w:val="00D5414B"/>
    <w:rsid w:val="00E209E0"/>
    <w:rsid w:val="00E90FC3"/>
  </w:rsids>
  <w:docVars>
    <w:docVar w:name="url" w:val="http://bd-cjca:80/ecris_cdms/document_upload.aspx?id_document=3300000000792255&amp;id_departament=3&amp;id_sesiune=777229&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71B9751"/>
  <w15:docId w15:val="{FC2188C0-DDCA-45F1-8CB3-75ED5295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CaracterCaracter">
    <w:name w:val="Caracter Caracter"/>
    <w:basedOn w:val="Normal"/>
    <w:link w:val="Fontdeparagrafimplicit"/>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w:link w:val="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43</ap:TotalTime>
  <ap:Pages>6</ap:Pages>
  <ap:Words>3595</ap:Words>
  <ap:Characters>20497</ap:Characters>
  <ap:Application>Microsoft Office Word</ap:Application>
  <ap:DocSecurity>0</ap:DocSecurity>
  <ap:Lines>170</ap:Lines>
  <ap:Paragraphs>48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24044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2016-03-23T16:11:00.0000000Z</lastPrinted>
  <dc:subject/>
  <dc:description/>
  <keywords/>
  <category/>
  <contentStatus/>
  <dc:identifier/>
  <dc:language/>
  <version/>
</coreProperties>
</file>