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1F46A7" w14:paraId="02634E20" w14:textId="50F36B26">
      <w:r>
        <w:t xml:space="preserve"> </w:t>
      </w:r>
    </w:p>
    <w:p w:rsidR="001F46A7" w14:paraId="36B8DA0C" w14:textId="77777777"/>
    <w:p w:rsidR="001F46A7" w14:paraId="6C91CF95" w14:textId="77777777">
      <w:pPr>
        <w:jc w:val="center"/>
      </w:pPr>
    </w:p>
    <w:p w:rsidR="001F46A7" w14:paraId="30D57413" w14:textId="77777777">
      <w:pPr>
        <w:jc w:val="center"/>
        <w:rPr>
          <w:rStyle w:val="Fontdeparagrafimplicit"/>
          <w:b/>
          <w:i/>
        </w:rPr>
      </w:pPr>
      <w:r>
        <w:rPr>
          <w:rStyle w:val="Fontdeparagrafimplicit"/>
          <w:b/>
          <w:i/>
        </w:rPr>
        <w:t>ROMÂNIA</w:t>
      </w:r>
    </w:p>
    <w:p w:rsidR="001F46A7" w14:paraId="07D2DAF1" w14:textId="32015F5F">
      <w:pPr>
        <w:jc w:val="center"/>
        <w:rPr>
          <w:rStyle w:val="Fontdeparagrafimplicit"/>
          <w:b/>
          <w:i/>
        </w:rPr>
      </w:pPr>
      <w:r>
        <w:t xml:space="preserve">CURTEA DE APEL                     - SECŢIA  </w:t>
      </w:r>
    </w:p>
    <w:p w:rsidR="001F46A7" w14:paraId="3F260174" w14:textId="77777777">
      <w:pPr>
        <w:jc w:val="center"/>
        <w:rPr>
          <w:rStyle w:val="Fontdeparagrafimplicit"/>
        </w:rPr>
      </w:pPr>
    </w:p>
    <w:p w:rsidR="001F46A7" w14:paraId="545B68AA" w14:textId="2B31CA7B">
      <w:r>
        <w:t xml:space="preserve">Dosar nr.  </w:t>
      </w:r>
      <w:r w:rsidR="0004083D">
        <w:t>1</w:t>
      </w:r>
      <w:r>
        <w:t xml:space="preserve">                 *  </w:t>
      </w:r>
    </w:p>
    <w:p w:rsidR="001F46A7" w14:paraId="51CB2E7A" w14:textId="77777777"/>
    <w:p w:rsidR="001F46A7" w14:paraId="7AC2EDA9" w14:textId="3216319D">
      <w:pPr>
        <w:jc w:val="center"/>
        <w:rPr>
          <w:rStyle w:val="Fontdeparagrafimplicit"/>
          <w:b/>
          <w:u w:val="single"/>
        </w:rPr>
      </w:pPr>
      <w:r>
        <w:rPr>
          <w:rStyle w:val="Fontdeparagrafimplicit"/>
          <w:b/>
          <w:u w:val="single"/>
        </w:rPr>
        <w:t xml:space="preserve">DECIZIA </w:t>
      </w:r>
      <w:r w:rsidR="003A11EA">
        <w:rPr>
          <w:rStyle w:val="Fontdeparagrafimplicit"/>
          <w:b/>
          <w:u w:val="single"/>
        </w:rPr>
        <w:t xml:space="preserve"> </w:t>
      </w:r>
      <w:r>
        <w:rPr>
          <w:rStyle w:val="Fontdeparagrafimplicit"/>
          <w:b/>
          <w:u w:val="single"/>
        </w:rPr>
        <w:t xml:space="preserve"> NR. 21</w:t>
      </w:r>
    </w:p>
    <w:p w:rsidR="001F46A7" w14:paraId="23246974" w14:textId="77777777">
      <w:pPr>
        <w:jc w:val="center"/>
        <w:rPr>
          <w:rStyle w:val="Fontdeparagrafimplicit"/>
          <w:b/>
          <w:u w:val="single"/>
        </w:rPr>
      </w:pPr>
    </w:p>
    <w:p w:rsidR="001F46A7" w14:paraId="46EE40C3" w14:textId="15BC4696">
      <w:pPr>
        <w:jc w:val="center"/>
      </w:pPr>
      <w:r>
        <w:t xml:space="preserve">Şedinţa publică din data de  </w:t>
      </w:r>
    </w:p>
    <w:p w:rsidR="001F46A7" w14:paraId="3D374677" w14:textId="77777777">
      <w:pPr>
        <w:jc w:val="center"/>
        <w:rPr>
          <w:rStyle w:val="Fontdeparagrafimplicit"/>
          <w:i/>
        </w:rPr>
      </w:pPr>
      <w:r>
        <w:rPr>
          <w:rStyle w:val="Fontdeparagrafimplicit"/>
          <w:i/>
        </w:rPr>
        <w:t xml:space="preserve">Curtea constituită din: </w:t>
      </w:r>
    </w:p>
    <w:p w:rsidR="001F46A7" w14:paraId="0C9723F7" w14:textId="0DC5DFF9">
      <w:pPr>
        <w:jc w:val="center"/>
        <w:rPr>
          <w:rStyle w:val="Fontdeparagrafimplicit"/>
          <w:b/>
        </w:rPr>
      </w:pPr>
      <w:r>
        <w:rPr>
          <w:rStyle w:val="Fontdeparagrafimplicit"/>
          <w:b/>
        </w:rPr>
        <w:t>PREŞEDINTE: A0002</w:t>
      </w:r>
    </w:p>
    <w:p w:rsidR="001F46A7" w14:paraId="1D4B8151" w14:textId="2E6B4068">
      <w:pPr>
        <w:jc w:val="center"/>
        <w:rPr>
          <w:rStyle w:val="Fontdeparagrafimplicit"/>
          <w:b/>
        </w:rPr>
      </w:pPr>
      <w:r>
        <w:rPr>
          <w:rStyle w:val="Fontdeparagrafimplicit"/>
          <w:b/>
        </w:rPr>
        <w:t xml:space="preserve">JUDECĂTOR:  </w:t>
      </w:r>
    </w:p>
    <w:p w:rsidR="001F46A7" w14:paraId="74ACB7F2" w14:textId="08D36D34">
      <w:pPr>
        <w:jc w:val="center"/>
        <w:rPr>
          <w:rStyle w:val="Fontdeparagrafimplicit"/>
          <w:b/>
        </w:rPr>
      </w:pPr>
      <w:r>
        <w:rPr>
          <w:rStyle w:val="Fontdeparagrafimplicit"/>
          <w:b/>
        </w:rPr>
        <w:t xml:space="preserve">GREFIER:   </w:t>
      </w:r>
    </w:p>
    <w:p w:rsidR="001F46A7" w14:paraId="2119AF9C" w14:textId="77777777">
      <w:pPr>
        <w:jc w:val="center"/>
        <w:rPr>
          <w:rStyle w:val="Fontdeparagrafimplicit"/>
        </w:rPr>
      </w:pPr>
    </w:p>
    <w:p w:rsidR="001F46A7" w14:paraId="7172AE57" w14:textId="53AC0EFA">
      <w:pPr>
        <w:ind w:firstLine="851"/>
        <w:jc w:val="both"/>
        <w:rPr>
          <w:rStyle w:val="Fontdeparagrafimplicit"/>
        </w:rPr>
      </w:pPr>
      <w:r>
        <w:t>Ministerul Public – Parchetul de pe lângă Î.C.C.J. – D.I.I.C.O.T. a fost reprezentat prin procuror</w:t>
      </w:r>
      <w:r>
        <w:rPr>
          <w:rStyle w:val="Fontdeparagrafimplicit"/>
          <w:b/>
        </w:rPr>
        <w:t xml:space="preserve">  .</w:t>
      </w:r>
    </w:p>
    <w:p w:rsidR="001F46A7" w14:paraId="5797220F" w14:textId="3624E411">
      <w:pPr>
        <w:ind w:firstLine="851"/>
        <w:jc w:val="both"/>
      </w:pPr>
      <w:r>
        <w:t xml:space="preserve">Pe rol: pronunţarea în cauza penală de faţă având ca obiect apelul formulat de contestatorul </w:t>
      </w:r>
      <w:r>
        <w:rPr>
          <w:rStyle w:val="Fontdeparagrafimplicit"/>
          <w:b/>
          <w:i/>
        </w:rPr>
        <w:t xml:space="preserve">2   </w:t>
      </w:r>
      <w:r>
        <w:t xml:space="preserve"> împotriva încheierii de şedinţă din data de </w:t>
      </w:r>
      <w:r w:rsidR="0005728E">
        <w:t xml:space="preserve">        </w:t>
      </w:r>
      <w:r>
        <w:t xml:space="preserve">.  pronunţată de Tribunalul                     – Secţia   în dosarul nr.      </w:t>
      </w:r>
      <w:r w:rsidR="0004083D">
        <w:t>1</w:t>
      </w:r>
      <w:r>
        <w:t xml:space="preserve">              *.  </w:t>
      </w:r>
    </w:p>
    <w:p w:rsidR="001F46A7" w14:paraId="5C028D5D" w14:textId="02BDBF61">
      <w:pPr>
        <w:ind w:firstLine="851"/>
        <w:jc w:val="both"/>
      </w:pPr>
      <w:r>
        <w:t xml:space="preserve">Dezbaterile cu privire la fondul cauzei sunt cuprinse în încheierea de şedinţă din data de  , care face parte integrantă din prezenta Decizie, când Curtea, în temeiul disp. art. 391 alin. 1 C.p.p. a stabilit pronunţarea la data de  , când a hotărât următoarele: </w:t>
      </w:r>
    </w:p>
    <w:p w:rsidR="001F46A7" w14:paraId="68F6028C" w14:textId="77777777">
      <w:pPr>
        <w:jc w:val="both"/>
      </w:pPr>
    </w:p>
    <w:p w:rsidR="001F46A7" w14:paraId="40CCA5ED" w14:textId="77777777">
      <w:pPr>
        <w:jc w:val="center"/>
        <w:rPr>
          <w:rStyle w:val="Fontdeparagrafimplicit"/>
          <w:b/>
        </w:rPr>
      </w:pPr>
      <w:r>
        <w:rPr>
          <w:rStyle w:val="Fontdeparagrafimplicit"/>
          <w:b/>
        </w:rPr>
        <w:t>CURTEA,</w:t>
      </w:r>
    </w:p>
    <w:p w:rsidR="001F46A7" w14:paraId="0606529D" w14:textId="77777777">
      <w:pPr>
        <w:ind w:firstLine="851"/>
        <w:jc w:val="both"/>
        <w:rPr>
          <w:rStyle w:val="Fontdeparagrafimplicit"/>
        </w:rPr>
      </w:pPr>
    </w:p>
    <w:p w:rsidR="001F46A7" w14:paraId="3B9BF886" w14:textId="77777777">
      <w:pPr>
        <w:ind w:firstLine="851"/>
        <w:jc w:val="both"/>
        <w:rPr>
          <w:rStyle w:val="Fontdeparagrafimplicit"/>
          <w:b/>
        </w:rPr>
      </w:pPr>
      <w:r>
        <w:rPr>
          <w:rStyle w:val="Fontdeparagrafimplicit"/>
          <w:b/>
        </w:rPr>
        <w:t>Deliberând asupra apelului penal de faţă, din actele şi lucrările dosarului, constată şi reţine următoarele:</w:t>
      </w:r>
    </w:p>
    <w:p w:rsidR="001F46A7" w14:paraId="6999FBF4" w14:textId="3C21A857">
      <w:pPr>
        <w:tabs>
          <w:tab w:val="left" w:pos="720"/>
        </w:tabs>
        <w:ind w:firstLine="709"/>
        <w:jc w:val="both"/>
      </w:pPr>
      <w:r>
        <w:t xml:space="preserve">Prin Încheierea de şedinţă din data de </w:t>
      </w:r>
      <w:r w:rsidR="0005728E">
        <w:t xml:space="preserve">            </w:t>
      </w:r>
      <w:r>
        <w:t xml:space="preserve"> , pronunţată de Tribunalul                     – Secţia    în dosarul nr.             </w:t>
      </w:r>
      <w:r w:rsidR="0004083D">
        <w:t>1</w:t>
      </w:r>
      <w:r>
        <w:t xml:space="preserve">       *, în baza art. 29 alin. 5 din Legea nr. 47/1992 privind organizarea si funcționarea Curții Constituționale, a fost respinsă cererea de sesizare a Curții Constituționale cu privire la excepția de neconstituționalitate a Protocolului de cooperare instituțională încheiat între Ministerul Public - Parchetul de pe lângă Înalta Curte de Casație şi Justiție şi Serviciul Român de Informații, formulată de contestatorul 2   , fixându-se termen pentru continuarea judecății la data de   .</w:t>
      </w:r>
    </w:p>
    <w:p w:rsidR="001F46A7" w14:paraId="5363A039" w14:textId="7F71E2C6">
      <w:pPr>
        <w:tabs>
          <w:tab w:val="left" w:pos="720"/>
        </w:tabs>
        <w:ind w:firstLine="709"/>
        <w:jc w:val="both"/>
      </w:pPr>
      <w:r>
        <w:t>Pentru a dispune astfel, Tribunalul - analizând condiţiile de admisibilitate privind sesizarea Curţii Constituţionale cu excepţia de neconstituţionalitate a Protocolului de cooperare instituțională încheiat între Ministerul Public - Parchetul de pe lângă Înalta Curte de Casaţie și Justiție şi Serviciul Roman de Informaţii, în raport cu dispoziţiile art. 29 alin. 1 din Legea nr. 47/1992 - a constatat că aceasta este inadmisibilă, având în vedere că persoana condamnată 2    invocă constituţionalitatea unui act administrativ şi nu al unei legi sau ordonanţe, aşa cum impune textul de lege.</w:t>
      </w:r>
    </w:p>
    <w:p w:rsidR="001F46A7" w14:paraId="300689B8" w14:textId="0FDAC97C">
      <w:pPr>
        <w:tabs>
          <w:tab w:val="left" w:pos="720"/>
        </w:tabs>
        <w:ind w:firstLine="709"/>
        <w:jc w:val="both"/>
      </w:pPr>
      <w:r>
        <w:rPr>
          <w:rStyle w:val="Fontdeparagrafimplicit"/>
          <w:b/>
        </w:rPr>
        <w:t>Împotriva acestei încheieri</w:t>
      </w:r>
      <w:r>
        <w:t>, în termenul legal, a declarat apel condamnatul 2   , fără să arate în scris motivele pe care se întemeiază prezenta cale de atac.</w:t>
      </w:r>
    </w:p>
    <w:p w:rsidR="001F46A7" w14:paraId="05DE179D" w14:textId="1B8C01E8">
      <w:pPr>
        <w:tabs>
          <w:tab w:val="left" w:pos="720"/>
        </w:tabs>
        <w:ind w:firstLine="709"/>
        <w:jc w:val="both"/>
      </w:pPr>
      <w:r>
        <w:t>Cu ocazia dezbaterilor orale, ce au avut loc în şedinţa publică din data de     , apelantul – prin apărător ales – a criticat hotărârea atacată pentru netemeinicie, în esenţă, sub aspectul greşitei respingeri a cererii de sesizare a Curții Constituționale.</w:t>
      </w:r>
    </w:p>
    <w:p w:rsidR="001F46A7" w14:paraId="343C8541" w14:textId="77777777">
      <w:pPr>
        <w:ind w:firstLine="851"/>
        <w:jc w:val="both"/>
        <w:rPr>
          <w:rStyle w:val="Fontdeparagrafimplicit"/>
          <w:b/>
        </w:rPr>
      </w:pPr>
      <w:r>
        <w:rPr>
          <w:rStyle w:val="Fontdeparagrafimplicit"/>
          <w:b/>
        </w:rPr>
        <w:t>Examinând încheierea apelată prin prisma motivelor invocate şi din oficiu, Curtea constată că apelul promovat este nefondat, pentru următoarele considerente:</w:t>
      </w:r>
    </w:p>
    <w:p w:rsidR="001F46A7" w14:paraId="10D0D054" w14:textId="77777777">
      <w:pPr>
        <w:widowControl w:val="0"/>
        <w:shd w:val="clear" w:color="auto" w:fill="FFFFFF"/>
        <w:ind w:firstLine="851"/>
        <w:jc w:val="both"/>
      </w:pPr>
      <w:r>
        <w:t xml:space="preserve">În ceea ce priveşte admisibilitatea cererii de sesizare a Curţii Constituţionale, instanţa în virtutea atributului de verificare a condiţiilor prevăzute de dispoziţiile art. 29 alin.1-3 din Legea nr. 47/1992 privind organizarea şi funcţionarea Curţii Constituţionale, mai înainte de trimiterea spre </w:t>
      </w:r>
      <w:r>
        <w:t>judecare la Curtea Constituţională a excepţiei, trebuie să examineze pertinenţa acesteia. Analiza pertinenţei excepţiei nu se poate limita la constatarea unei legături formale cu soluţionarea cauzei a textului invocat ca neconstituţional.</w:t>
      </w:r>
    </w:p>
    <w:p w:rsidR="001F46A7" w14:paraId="35D4E575" w14:textId="77777777">
      <w:pPr>
        <w:widowControl w:val="0"/>
        <w:shd w:val="clear" w:color="auto" w:fill="FFFFFF"/>
        <w:ind w:firstLine="851"/>
        <w:jc w:val="both"/>
      </w:pPr>
      <w:r>
        <w:t xml:space="preserve">Totodată, condiţia relevanţei excepţiei, care impune ca normele criticate să aibă incidenţă în rezolvarea cauzei, nu trebuie analizată </w:t>
      </w:r>
      <w:r>
        <w:rPr>
          <w:rStyle w:val="Fontdeparagrafimplicit"/>
          <w:i/>
        </w:rPr>
        <w:t>in abstracto</w:t>
      </w:r>
      <w:r>
        <w:t xml:space="preserve"> şi dedusă din orice fel de tangenţă a prevederilor legale în discuţie cu litigiul aflat pe rolul instanţei, ci impune o analiză riguroasă.</w:t>
      </w:r>
    </w:p>
    <w:p w:rsidR="001F46A7" w14:paraId="43738329" w14:textId="77777777">
      <w:pPr>
        <w:widowControl w:val="0"/>
        <w:shd w:val="clear" w:color="auto" w:fill="FFFFFF"/>
        <w:ind w:firstLine="851"/>
        <w:jc w:val="both"/>
      </w:pPr>
      <w:r>
        <w:t xml:space="preserve">Din interpretarea raţională a art.29 din Legea nr.47/1992, rezultă că legătura dintre prevederea legală a cărei neconstituţionalitate se invocă şi modul de soluţionare a cauzei trebuie să fie evidentă şi de natură a produce consecinţe directe asupra </w:t>
      </w:r>
      <w:r>
        <w:rPr>
          <w:rStyle w:val="Fontdeparagrafimplicit"/>
          <w:i/>
        </w:rPr>
        <w:t xml:space="preserve">soluţiei </w:t>
      </w:r>
      <w:r>
        <w:t>ce urmează a fi dată în cauză, în eventualitatea admiterii excepţiei de neconstituţionalitate. Aceasta deoarece instrumentul excepţiei a fost pus de legiuitor la îndemâna părţilor pentru ca acestea, în raport cu interesele lor, să beneficieze de un control de constituţionalitate a acelor prevederi legale care au un rol hotărâtor asupra modului de soluţionare a cauzei, iar nu a oricărei dispoziţii legale ce poate fi incidentă în desfăşurarea unui proces penal.</w:t>
      </w:r>
    </w:p>
    <w:p w:rsidR="001F46A7" w14:paraId="417B8493" w14:textId="77777777">
      <w:pPr>
        <w:pStyle w:val="NormalWeb"/>
        <w:spacing w:before="0" w:beforeAutospacing="0" w:after="0" w:afterAutospacing="0"/>
        <w:ind w:firstLine="851"/>
        <w:jc w:val="both"/>
      </w:pPr>
      <w:r>
        <w:t>Totodată, examinarea acestor aspecte presupune stabilirea existenţei unui interes procesual al rezolvării excepţiei de neconstituţionalitate, incidenţa acestuia apreciindu-se din perspectiva relevanţei şi pertinenţei asupra soluţionării cauzei. Instanţa de judecată în faţa căreia s-a invocat o excepţie de neconstituţionalitate nu are competenţa examinării acesteia, ci se limitează exclusiv la analizarea pertinenţei excepţiei, în sensul unei legături cu soluţionarea cauzei, în orice fază a procesului şi oricare ar fi obiectul acestuia, precum şi a îndeplinirii celorlalte cerinţe legale.</w:t>
      </w:r>
    </w:p>
    <w:p w:rsidR="001F46A7" w14:paraId="3A99DC96" w14:textId="77777777">
      <w:pPr>
        <w:pStyle w:val="NormalWeb"/>
        <w:spacing w:before="0" w:beforeAutospacing="0" w:after="0" w:afterAutospacing="0"/>
        <w:ind w:firstLine="851"/>
        <w:jc w:val="both"/>
      </w:pPr>
      <w:r>
        <w:t>Cu privire la modul de soluţionare a cererii de sesizare a Curţii Constituţionale, art. 29 din Legea nr. 47/1992 prevede că aceasta se realizează printr-o încheiere motivată, art. 29 alin.6, prevăzând sancţiunea aplicabilă în situaţiile în care excepţia invocată nu îndeplineşte condiţiile prevăzute de alin.1, 2 sau 3 din articolul indicat, respectiv inadmisibilitatea excepţiei.</w:t>
      </w:r>
    </w:p>
    <w:p w:rsidR="001F46A7" w14:paraId="3BB03086" w14:textId="77777777">
      <w:pPr>
        <w:ind w:firstLine="851"/>
        <w:jc w:val="both"/>
      </w:pPr>
      <w:r>
        <w:t>Curtea constată – în acord cu judecătorul de la Tribunal - că excepţia de neconstituţionalitate invocată de condamnat nu întruneşte condiţiile de admisibilitate prevăzute de art.29 alin.1-3 din Legea nr.47/1992, republicată pentru a se dispune sesizarea Curţii Constituţionale şi anume nu sunt îndeplinite condiţiile cu privire la obiectul sesizării Curţii Constituţionale, protocolul invocat de apărare nefiind un act normativ în sensul legii, respectiv lege sau ordonanţă, astfel cum cere art. 29 din Legea nr. 147/1992.</w:t>
      </w:r>
    </w:p>
    <w:p w:rsidR="001F46A7" w14:paraId="714249D6" w14:textId="77777777">
      <w:pPr>
        <w:ind w:firstLine="851"/>
        <w:jc w:val="both"/>
      </w:pPr>
      <w:r>
        <w:t xml:space="preserve">De altfel, o eventuală sesizare a Curţii Constituţionale cu excepţia invocată şi o eventuală pronunţare asupra acestei excepţii nu ar putea avea nici o înrâurire asupra contestaţiei la executare promovată şi în cadrul căreia a fost invocată această excepţie de neconstituţionalitate, întrucât se tinde, în fapt, la constatarea că probele administrate pe fondul cauzei ar fi fost administrate de către un organ necompetent, ori pe calea contestaţiei la executare, nu pot fi puse în discuție aspecte ce vizează fondul cauzei sau nelegalitatea unei probe administrate în cauză. </w:t>
      </w:r>
    </w:p>
    <w:p w:rsidR="001F46A7" w14:paraId="171789AF" w14:textId="77777777">
      <w:pPr>
        <w:ind w:firstLine="709"/>
        <w:jc w:val="both"/>
      </w:pPr>
      <w:r>
        <w:t>Curtea constată că dispoziția legală a cărei neconstituționalitate a fost invocată trebuie să aibă legătură cu soluționarea cauzei, în caz contrar cererea de sesizare a Curții Constituționale fiind inadmisibilă.</w:t>
      </w:r>
    </w:p>
    <w:p w:rsidR="001F46A7" w14:paraId="7D09CA9F" w14:textId="77777777">
      <w:pPr>
        <w:ind w:firstLine="709"/>
        <w:jc w:val="both"/>
        <w:rPr>
          <w:rStyle w:val="Fontdeparagrafimplicit"/>
          <w:i/>
        </w:rPr>
      </w:pPr>
      <w:r>
        <w:t>Curtea reține că, potrivit art.581 Cod de procedură penală, c</w:t>
      </w:r>
      <w:r>
        <w:rPr>
          <w:rStyle w:val="Fontdeparagrafimplicit"/>
          <w:i/>
        </w:rPr>
        <w:t>ontestaţia împotriva executării hotărârii penale se poate face în următoarele cazuri:</w:t>
      </w:r>
    </w:p>
    <w:p w:rsidR="001F46A7" w14:paraId="7BAF43F9" w14:textId="77777777">
      <w:pPr>
        <w:ind w:firstLine="900"/>
        <w:jc w:val="both"/>
        <w:rPr>
          <w:rStyle w:val="Fontdeparagrafimplicit"/>
          <w:i/>
        </w:rPr>
      </w:pPr>
      <w:r>
        <w:rPr>
          <w:rStyle w:val="Fontdeparagrafimplicit"/>
          <w:i/>
        </w:rPr>
        <w:t>a) când s-a pus în executare o hotărâre care nu era definitivă;</w:t>
      </w:r>
    </w:p>
    <w:p w:rsidR="001F46A7" w14:paraId="0DCF9E5F" w14:textId="77777777">
      <w:pPr>
        <w:ind w:firstLine="900"/>
        <w:jc w:val="both"/>
        <w:rPr>
          <w:rStyle w:val="Fontdeparagrafimplicit"/>
          <w:i/>
        </w:rPr>
      </w:pPr>
      <w:r>
        <w:rPr>
          <w:rStyle w:val="Fontdeparagrafimplicit"/>
          <w:i/>
        </w:rPr>
        <w:t>b) când executarea este îndreptată împotriva altei persoane decât cea prevăzută în hotărârea de condamnare;</w:t>
      </w:r>
    </w:p>
    <w:p w:rsidR="001F46A7" w14:paraId="70FB602D" w14:textId="77777777">
      <w:pPr>
        <w:ind w:firstLine="900"/>
        <w:jc w:val="both"/>
        <w:rPr>
          <w:rStyle w:val="Fontdeparagrafimplicit"/>
          <w:i/>
        </w:rPr>
      </w:pPr>
      <w:r>
        <w:rPr>
          <w:rStyle w:val="Fontdeparagrafimplicit"/>
          <w:i/>
        </w:rPr>
        <w:t>c) când se iveşte vreo nelămurire cu privire la hotărârea care se execută sau vreo împiedicare la executare;</w:t>
      </w:r>
    </w:p>
    <w:p w:rsidR="001F46A7" w14:paraId="76A58AFE" w14:textId="77777777">
      <w:pPr>
        <w:ind w:firstLine="900"/>
        <w:jc w:val="both"/>
        <w:rPr>
          <w:rStyle w:val="Fontdeparagrafimplicit"/>
          <w:i/>
        </w:rPr>
      </w:pPr>
      <w:r>
        <w:rPr>
          <w:rStyle w:val="Fontdeparagrafimplicit"/>
          <w:i/>
        </w:rPr>
        <w:t>d) când se invocă amnistia, prescripţia, graţierea sau orice altă cauză de stingere ori de micşorare a pedepsei.</w:t>
      </w:r>
    </w:p>
    <w:p w:rsidR="001F46A7" w14:paraId="47D21ACC" w14:textId="77777777">
      <w:pPr>
        <w:ind w:firstLine="851"/>
        <w:jc w:val="both"/>
      </w:pPr>
      <w:r>
        <w:t xml:space="preserve">După cum se poate ușor constata contestaţia la executare nu este o cale de atac extraordinară, ci este doar un mijloc procesual, cu caracter jurisdicţional, care poate fi folosit înainte de punerea în executare a hotărârii penale definitive - dacă s-a ivit un incident prevăzut de lege până </w:t>
      </w:r>
      <w:r>
        <w:t xml:space="preserve">în acest moment, în cursul executării pedepsei - dacă incidentul s-a ivit în perioada executării şi chiar după ce s-a executat pedeapsa, dar în legătură cu executarea ei. </w:t>
      </w:r>
    </w:p>
    <w:p w:rsidR="001F46A7" w14:paraId="625AECEF" w14:textId="77777777">
      <w:pPr>
        <w:ind w:firstLine="851"/>
        <w:jc w:val="both"/>
      </w:pPr>
      <w:r>
        <w:t>Scopul acestui mijloc procesual este asigurarea punerii în executare a hotărârii penale definitive în conformitate cu legea, prin aplicarea acelor dispoziţii de drept penal şi de drept procesual penal care se referă la executarea unei condamnări penale. Prin urmare, pe calea contestaţiei la executare nu se poate schimba sau modifica soluţia care a căpătat autoritate de lucru judecat.</w:t>
      </w:r>
    </w:p>
    <w:p w:rsidR="001F46A7" w14:paraId="55406B15" w14:textId="6720A52A">
      <w:pPr>
        <w:ind w:firstLine="851"/>
        <w:jc w:val="both"/>
      </w:pPr>
      <w:r>
        <w:t>Faţă de aceste argumente, Curtea, în temeiul art. 421 pct. 1 lit. b C.p.p., va respinge ca nefondat apelul declarat de contestatorul 2    împotriva încheierii din data de   , pronunţată de Tribunalul                     Secţia    în dosarul cu numărul de mai sus.</w:t>
      </w:r>
    </w:p>
    <w:p w:rsidR="001F46A7" w14:paraId="2358F1CD" w14:textId="77777777">
      <w:pPr>
        <w:ind w:firstLine="851"/>
        <w:jc w:val="both"/>
      </w:pPr>
      <w:r>
        <w:t>Constatând culpa procesuală a apelantului, Curtea, în temeiul art. 275 alin. 2 c.p.p., îl va obliga pe acesta la plata cheltuielilor judiciare către stat.</w:t>
      </w:r>
    </w:p>
    <w:p w:rsidR="001F46A7" w14:paraId="264111E7" w14:textId="77777777">
      <w:pPr>
        <w:ind w:firstLine="709"/>
        <w:jc w:val="both"/>
      </w:pPr>
    </w:p>
    <w:p w:rsidR="001F46A7" w14:paraId="295888E3" w14:textId="77777777">
      <w:pPr>
        <w:ind w:firstLine="851"/>
        <w:jc w:val="both"/>
      </w:pPr>
    </w:p>
    <w:p w:rsidR="001F46A7" w14:paraId="44882842" w14:textId="77777777">
      <w:pPr>
        <w:pStyle w:val="Style1"/>
        <w:widowControl/>
        <w:tabs>
          <w:tab w:val="right" w:pos="8342"/>
        </w:tabs>
        <w:spacing w:line="240" w:lineRule="auto"/>
        <w:jc w:val="center"/>
        <w:rPr>
          <w:rStyle w:val="FontStyle11"/>
          <w:b/>
        </w:rPr>
      </w:pPr>
      <w:r>
        <w:rPr>
          <w:rStyle w:val="FontStyle11"/>
          <w:b/>
        </w:rPr>
        <w:t>PENTRU ACESTE MOTIVE,</w:t>
      </w:r>
    </w:p>
    <w:p w:rsidR="001F46A7" w14:paraId="367D43DE" w14:textId="77777777">
      <w:pPr>
        <w:pStyle w:val="Style1"/>
        <w:widowControl/>
        <w:tabs>
          <w:tab w:val="right" w:pos="8342"/>
        </w:tabs>
        <w:spacing w:line="240" w:lineRule="auto"/>
        <w:jc w:val="center"/>
        <w:rPr>
          <w:rStyle w:val="FontStyle11"/>
          <w:b/>
        </w:rPr>
      </w:pPr>
      <w:r>
        <w:rPr>
          <w:rStyle w:val="FontStyle11"/>
          <w:b/>
        </w:rPr>
        <w:t>ÎN NUMELE LEGII,</w:t>
      </w:r>
    </w:p>
    <w:p w:rsidR="001F46A7" w14:paraId="7EA177F5" w14:textId="77777777">
      <w:pPr>
        <w:pStyle w:val="Style1"/>
        <w:widowControl/>
        <w:tabs>
          <w:tab w:val="right" w:pos="8342"/>
        </w:tabs>
        <w:spacing w:line="240" w:lineRule="auto"/>
        <w:jc w:val="center"/>
        <w:rPr>
          <w:rStyle w:val="FontStyle11"/>
          <w:b/>
        </w:rPr>
      </w:pPr>
      <w:r>
        <w:rPr>
          <w:rStyle w:val="FontStyle11"/>
          <w:b/>
        </w:rPr>
        <w:t xml:space="preserve">DECIDE: </w:t>
      </w:r>
    </w:p>
    <w:p w:rsidR="001F46A7" w14:paraId="1383E9D1" w14:textId="77777777">
      <w:pPr>
        <w:ind w:firstLine="851"/>
        <w:jc w:val="both"/>
        <w:rPr>
          <w:rStyle w:val="FontStyle11"/>
        </w:rPr>
      </w:pPr>
    </w:p>
    <w:p w:rsidR="001F46A7" w14:paraId="46ADBB7C" w14:textId="77777777">
      <w:pPr>
        <w:ind w:firstLine="851"/>
        <w:jc w:val="both"/>
        <w:rPr>
          <w:rStyle w:val="FontStyle11"/>
        </w:rPr>
      </w:pPr>
    </w:p>
    <w:p w:rsidR="001F46A7" w14:paraId="11FE659B" w14:textId="77777777">
      <w:pPr>
        <w:ind w:firstLine="851"/>
        <w:jc w:val="both"/>
        <w:rPr>
          <w:rStyle w:val="FontStyle11"/>
        </w:rPr>
      </w:pPr>
    </w:p>
    <w:p w:rsidR="001F46A7" w14:paraId="678CB1D0" w14:textId="06D10CEB">
      <w:pPr>
        <w:ind w:firstLine="851"/>
        <w:jc w:val="both"/>
      </w:pPr>
      <w:r>
        <w:t>În baza art. 421 pct. 1 lit. b C.p.p. respinge ca nefondat apelul formulat de contestatorul 2    împotriva încheierii din data de    pronunţată de Tribunalul                     Secţia   în dosarul cu numărul de mai sus.</w:t>
      </w:r>
    </w:p>
    <w:p w:rsidR="001F46A7" w14:paraId="1B8E75D8" w14:textId="77777777">
      <w:pPr>
        <w:ind w:firstLine="851"/>
        <w:jc w:val="both"/>
      </w:pPr>
      <w:r>
        <w:t>În baza art. 275 al. 2 c.p.p. obligă apelantul la 400 lei cheltuieli judiciare către stat.</w:t>
      </w:r>
    </w:p>
    <w:p w:rsidR="001F46A7" w14:paraId="434BADEB" w14:textId="77777777">
      <w:pPr>
        <w:ind w:firstLine="851"/>
        <w:jc w:val="both"/>
      </w:pPr>
      <w:r>
        <w:t>Definitivă.</w:t>
      </w:r>
    </w:p>
    <w:p w:rsidR="001F46A7" w14:paraId="495BF107" w14:textId="3A3EDC4D">
      <w:pPr>
        <w:ind w:firstLine="851"/>
        <w:jc w:val="both"/>
      </w:pPr>
      <w:r>
        <w:t>Pronunţată în şedinţă publică, azi,  .</w:t>
      </w:r>
    </w:p>
    <w:p w:rsidR="001F46A7" w14:paraId="673A7F85" w14:textId="77777777">
      <w:pPr>
        <w:ind w:firstLine="851"/>
        <w:jc w:val="both"/>
        <w:rPr>
          <w:rStyle w:val="Fontdeparagrafimplicit"/>
          <w:b/>
        </w:rPr>
      </w:pPr>
      <w:r>
        <w:rPr>
          <w:rStyle w:val="Fontdeparagrafimplicit"/>
          <w:b/>
        </w:rPr>
        <w:t>PREŞEDINTE,                                        JUDECĂTOR,</w:t>
      </w:r>
    </w:p>
    <w:p w:rsidR="001F46A7" w14:paraId="4A3AF353" w14:textId="70316A18">
      <w:pPr>
        <w:ind w:right="-142" w:hanging="2"/>
        <w:jc w:val="both"/>
        <w:rPr>
          <w:rStyle w:val="Fontdeparagrafimplicit"/>
          <w:b/>
        </w:rPr>
      </w:pPr>
      <w:r>
        <w:rPr>
          <w:rStyle w:val="Fontdeparagrafimplicit"/>
          <w:b/>
        </w:rPr>
        <w:t>A0002</w:t>
      </w:r>
    </w:p>
    <w:p w:rsidR="001F46A7" w14:paraId="5295811B" w14:textId="77777777">
      <w:pPr>
        <w:ind w:right="-142" w:firstLine="576"/>
        <w:jc w:val="both"/>
        <w:rPr>
          <w:rStyle w:val="Fontdeparagrafimplicit"/>
          <w:b/>
        </w:rPr>
      </w:pPr>
    </w:p>
    <w:p w:rsidR="001F46A7" w14:paraId="4C86CD5D" w14:textId="77777777">
      <w:pPr>
        <w:ind w:right="-142" w:firstLine="576"/>
        <w:jc w:val="both"/>
        <w:rPr>
          <w:rStyle w:val="Fontdeparagrafimplicit"/>
          <w:b/>
        </w:rPr>
      </w:pPr>
    </w:p>
    <w:p w:rsidR="001F46A7" w14:paraId="6A81397B" w14:textId="77777777">
      <w:pPr>
        <w:ind w:right="-142" w:firstLine="576"/>
        <w:jc w:val="both"/>
        <w:rPr>
          <w:rStyle w:val="Fontdeparagrafimplicit"/>
          <w:b/>
        </w:rPr>
      </w:pPr>
    </w:p>
    <w:p w:rsidR="001F46A7" w14:paraId="7A871592" w14:textId="77777777">
      <w:pPr>
        <w:ind w:right="-142" w:firstLine="576"/>
        <w:jc w:val="both"/>
        <w:rPr>
          <w:rStyle w:val="Fontdeparagrafimplicit"/>
          <w:b/>
        </w:rPr>
      </w:pPr>
    </w:p>
    <w:p w:rsidR="001F46A7" w14:paraId="2B5385D7" w14:textId="77777777">
      <w:pPr>
        <w:ind w:right="-142" w:firstLine="576"/>
        <w:jc w:val="both"/>
        <w:rPr>
          <w:rStyle w:val="Fontdeparagrafimplicit"/>
          <w:b/>
        </w:rPr>
      </w:pPr>
      <w:r>
        <w:rPr>
          <w:rStyle w:val="Fontdeparagrafimplicit"/>
          <w:b/>
        </w:rPr>
        <w:t xml:space="preserve">                                                                                       GREFIER,</w:t>
      </w:r>
    </w:p>
    <w:p w:rsidR="001F46A7" w14:paraId="3E425010" w14:textId="0DC76DA4">
      <w:pPr>
        <w:ind w:right="-142" w:firstLine="576"/>
        <w:jc w:val="both"/>
        <w:rPr>
          <w:rStyle w:val="Fontdeparagrafimplicit"/>
          <w:b/>
        </w:rPr>
      </w:pPr>
      <w:r>
        <w:rPr>
          <w:rStyle w:val="Fontdeparagrafimplicit"/>
          <w:b/>
        </w:rPr>
        <w:t xml:space="preserve">                                                                                  </w:t>
      </w:r>
    </w:p>
    <w:p w:rsidR="001F46A7" w14:paraId="1106502E" w14:textId="77777777">
      <w:pPr>
        <w:jc w:val="both"/>
        <w:rPr>
          <w:rStyle w:val="Fontdeparagrafimplicit"/>
        </w:rPr>
      </w:pPr>
    </w:p>
    <w:p w:rsidR="001F46A7" w14:paraId="3A3EAA6F" w14:textId="77777777">
      <w:pPr>
        <w:jc w:val="both"/>
        <w:rPr>
          <w:rStyle w:val="Fontdeparagrafimplicit"/>
        </w:rPr>
      </w:pPr>
    </w:p>
    <w:p w:rsidR="001F46A7" w14:paraId="111D473C" w14:textId="79547825">
      <w:pPr>
        <w:jc w:val="both"/>
      </w:pPr>
      <w:r>
        <w:t>Red.A0002</w:t>
      </w:r>
    </w:p>
    <w:p w:rsidR="001F46A7" w14:paraId="2B427348" w14:textId="58B36B2B">
      <w:pPr>
        <w:jc w:val="both"/>
      </w:pPr>
      <w:r>
        <w:t xml:space="preserve">Dact. </w:t>
      </w:r>
    </w:p>
    <w:p w:rsidR="001F46A7" w14:paraId="2F4D6A9F" w14:textId="77777777">
      <w:pPr>
        <w:pBdr>
          <w:bottom w:val="single" w:color="auto" w:sz="6" w:space="0"/>
        </w:pBdr>
        <w:jc w:val="both"/>
      </w:pPr>
      <w:r>
        <w:t>Ex.4</w:t>
      </w:r>
    </w:p>
    <w:p w:rsidR="001F46A7" w14:paraId="48002AF4" w14:textId="73F71A5E">
      <w:pPr>
        <w:jc w:val="both"/>
      </w:pPr>
      <w:r>
        <w:t xml:space="preserve">Red. - </w:t>
      </w:r>
    </w:p>
    <w:p w:rsidR="001F46A7" w14:paraId="497CC0A3" w14:textId="77777777">
      <w:pPr>
        <w:ind w:firstLine="851"/>
        <w:jc w:val="both"/>
      </w:pPr>
    </w:p>
    <w:p w:rsidR="001F46A7" w14:paraId="51F6F991" w14:textId="77777777">
      <w:pPr>
        <w:ind w:firstLine="851"/>
        <w:jc w:val="both"/>
      </w:pPr>
    </w:p>
    <w:p w:rsidR="001F46A7" w14:paraId="0AD10D0A" w14:textId="77777777"/>
    <w:sectPr>
      <w:footerReference w:type="default" r:id="rId4"/>
      <w:pgSz w:w="11906" w:h="16838"/>
      <w:pgMar w:top="1134"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F46A7" w14:paraId="7E025B13" w14:textId="77777777">
    <w:pPr>
      <w:pStyle w:val="Subsol"/>
      <w:jc w:val="center"/>
    </w:pPr>
    <w:r>
      <w:fldChar w:fldCharType="begin"/>
    </w:r>
    <w:r>
      <w:instrText>PAGE   \* MERGEFORMAT</w:instrText>
    </w:r>
    <w:r>
      <w:fldChar w:fldCharType="separate"/>
    </w:r>
    <w:r>
      <w:t>#</w:t>
    </w:r>
    <w:r>
      <w:fldChar w:fldCharType="end"/>
    </w:r>
  </w:p>
  <w:p w:rsidR="001F46A7" w14:paraId="3B6CEDA6"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6A7"/>
    <w:rsid w:val="0004083D"/>
    <w:rsid w:val="0005728E"/>
    <w:rsid w:val="001F46A7"/>
    <w:rsid w:val="003A11EA"/>
    <w:rsid w:val="008E74FF"/>
    <w:rsid w:val="00A54174"/>
    <w:rsid w:val="00AF6936"/>
    <w:rsid w:val="00BE0D6F"/>
    <w:rsid w:val="00F23FDB"/>
  </w:rsids>
  <w:docVars>
    <w:docVar w:name="url" w:val="http://10.1.48.53:80/ecris_cdms/document_upload.aspx?id_document=200000002715483&amp;id_departament=2&amp;id_sesiune=2349222&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C4B3B52"/>
  <w15:docId w15:val="{5845C7ED-F7B0-4467-88F6-4DDA91C60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customStyle="1" w:styleId="Titlu3">
    <w:name w:val="Titlu 3"/>
    <w:basedOn w:val="Normal"/>
    <w:next w:val="Normal"/>
    <w:link w:val="Titlu3Caracter"/>
    <w:qFormat/>
    <w:pPr>
      <w:keepNext/>
      <w:spacing w:before="240" w:after="60"/>
      <w:outlineLvl w:val="2"/>
    </w:pPr>
    <w:rPr>
      <w:rFonts w:ascii="Cambria" w:hAnsi="Cambria"/>
      <w:b/>
      <w:sz w:val="26"/>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rPr>
      <w:rFonts w:ascii="Calibri" w:hAnsi="Calibri"/>
      <w:sz w:val="22"/>
    </w:rPr>
  </w:style>
  <w:style w:type="paragraph" w:customStyle="1" w:styleId="Style1">
    <w:name w:val="Style1"/>
    <w:basedOn w:val="Normal"/>
    <w:pPr>
      <w:widowControl w:val="0"/>
      <w:spacing w:line="331" w:lineRule="exact"/>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Titlu3Caracter">
    <w:name w:val="Titlu 3 Caracter"/>
    <w:link w:val="Titlu3"/>
    <w:rPr>
      <w:rFonts w:ascii="Cambria" w:hAnsi="Cambria"/>
      <w:b/>
      <w:sz w:val="26"/>
    </w:rPr>
  </w:style>
  <w:style w:type="character" w:customStyle="1" w:styleId="SubsolCaracter">
    <w:name w:val="Subsol Caracter"/>
    <w:link w:val="Subsol"/>
    <w:rPr>
      <w:rFonts w:ascii="Calibri" w:hAnsi="Calibri"/>
      <w:sz w:val="22"/>
    </w:rPr>
  </w:style>
  <w:style w:type="character" w:customStyle="1" w:styleId="FontStyle11">
    <w:name w:val="Font Style11"/>
    <w:rPr>
      <w:rFonts w:ascii="Times New Roman" w:hAnsi="Times New Roman"/>
      <w:sz w:val="24"/>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8</ap:TotalTime>
  <ap:Pages>1</ap:Pages>
  <ap:Words>1355</ap:Words>
  <ap:Characters>7729</ap:Characters>
  <ap:Application>Microsoft Office Word</ap:Application>
  <ap:DocSecurity>0</ap:DocSecurity>
  <ap:Lines>64</ap:Lines>
  <ap:Paragraphs>18</ap:Paragraphs>
  <ap:ScaleCrop>false</ap:ScaleCrop>
  <ap:CharactersWithSpaces>9066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