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190797" w14:paraId="09E0B8A7" w14:textId="457018F2">
      <w:pPr>
        <w:rPr>
          <w:rStyle w:val="Fontdeparagrafimplicit"/>
          <w:rFonts w:ascii="Garamond" w:hAnsi="Garamond"/>
        </w:rPr>
      </w:pPr>
      <w:r>
        <w:rPr>
          <w:rStyle w:val="Fontdeparagrafimplicit"/>
          <w:rFonts w:ascii="Garamond" w:hAnsi="Garamond"/>
        </w:rPr>
        <w:t xml:space="preserve">Dosar nr. </w:t>
      </w:r>
      <w:r w:rsidR="00862EBF">
        <w:rPr>
          <w:rStyle w:val="Fontdeparagrafimplicit"/>
          <w:rFonts w:ascii="Garamond" w:hAnsi="Garamond"/>
        </w:rPr>
        <w:t>...../..../2012</w:t>
      </w:r>
      <w:r w:rsidR="00FF1E92">
        <w:rPr>
          <w:rStyle w:val="Fontdeparagrafimplicit"/>
          <w:rFonts w:ascii="Garamond" w:hAnsi="Garamond"/>
        </w:rPr>
        <w:t xml:space="preserve">                                                                                                   Hotărârea 15</w:t>
      </w:r>
    </w:p>
    <w:p w:rsidR="00190797" w14:paraId="0D1891D9" w14:textId="77777777">
      <w:pPr>
        <w:jc w:val="center"/>
        <w:rPr>
          <w:rStyle w:val="Fontdeparagrafimplicit"/>
          <w:rFonts w:ascii="Garamond" w:hAnsi="Garamond"/>
        </w:rPr>
      </w:pPr>
      <w:r>
        <w:rPr>
          <w:rStyle w:val="Fontdeparagrafimplicit"/>
          <w:rFonts w:ascii="Garamond" w:hAnsi="Garamond"/>
        </w:rPr>
        <w:t>R O M Â N I A</w:t>
      </w:r>
    </w:p>
    <w:p w:rsidR="00190797" w14:paraId="029FE7A2" w14:textId="77777777">
      <w:pPr>
        <w:jc w:val="center"/>
        <w:rPr>
          <w:rStyle w:val="Fontdeparagrafimplicit"/>
          <w:rFonts w:ascii="Garamond" w:hAnsi="Garamond"/>
        </w:rPr>
      </w:pPr>
    </w:p>
    <w:p w:rsidR="00190797" w14:paraId="4B85F55D" w14:textId="11D110AE">
      <w:pPr>
        <w:jc w:val="center"/>
        <w:rPr>
          <w:rStyle w:val="Fontdeparagrafimplicit"/>
          <w:rFonts w:ascii="Garamond" w:hAnsi="Garamond"/>
        </w:rPr>
      </w:pPr>
      <w:r>
        <w:rPr>
          <w:rStyle w:val="Fontdeparagrafimplicit"/>
          <w:rFonts w:ascii="Garamond" w:hAnsi="Garamond"/>
        </w:rPr>
        <w:t xml:space="preserve">CURTEA DE APEL </w:t>
      </w:r>
      <w:r w:rsidR="00862EBF">
        <w:rPr>
          <w:rStyle w:val="Fontdeparagrafimplicit"/>
          <w:rFonts w:ascii="Garamond" w:hAnsi="Garamond"/>
        </w:rPr>
        <w:t>.........</w:t>
      </w:r>
    </w:p>
    <w:p w:rsidR="00190797" w14:paraId="6D22BD83" w14:textId="77777777">
      <w:pPr>
        <w:jc w:val="center"/>
        <w:rPr>
          <w:rStyle w:val="Fontdeparagrafimplicit"/>
          <w:rFonts w:ascii="Garamond" w:hAnsi="Garamond"/>
          <w:lang w:val="en-US"/>
        </w:rPr>
      </w:pPr>
      <w:r>
        <w:rPr>
          <w:rStyle w:val="Fontdeparagrafimplicit"/>
          <w:rFonts w:ascii="Garamond" w:hAnsi="Garamond"/>
        </w:rPr>
        <w:t>SECŢIA CONTENCIOS ADMINISTRATIV SI FISCAL</w:t>
      </w:r>
    </w:p>
    <w:p w:rsidR="00190797" w14:paraId="68CD3B6E" w14:textId="77777777">
      <w:pPr>
        <w:rPr>
          <w:rStyle w:val="Fontdeparagrafimplicit"/>
          <w:rFonts w:ascii="Garamond" w:hAnsi="Garamond"/>
        </w:rPr>
      </w:pPr>
    </w:p>
    <w:p w:rsidR="00190797" w14:paraId="246DDA15" w14:textId="76B904D6">
      <w:pPr>
        <w:jc w:val="center"/>
        <w:rPr>
          <w:rStyle w:val="Fontdeparagrafimplicit"/>
          <w:rFonts w:ascii="Garamond" w:hAnsi="Garamond"/>
        </w:rPr>
      </w:pPr>
      <w:r>
        <w:rPr>
          <w:rStyle w:val="Fontdeparagrafimplicit"/>
          <w:rFonts w:ascii="Garamond" w:hAnsi="Garamond"/>
        </w:rPr>
      </w:r>
      <w:bookmarkStart w:name="tip_incheiere" w:id="0"/>
      <w:r>
        <w:rPr>
          <w:rStyle w:val="Fontdeparagrafimplicit"/>
          <w:rFonts w:ascii="Garamond" w:hAnsi="Garamond"/>
        </w:rPr>
      </w:r>
      <w:r>
        <w:rPr>
          <w:rStyle w:val="Fontdeparagrafimplicit"/>
          <w:rFonts w:ascii="Garamond" w:hAnsi="Garamond"/>
        </w:rPr>
      </w:r>
      <w:r>
        <w:rPr>
          <w:rStyle w:val="Fontdeparagrafimplicit"/>
          <w:rFonts w:ascii="Garamond" w:hAnsi="Garamond"/>
        </w:rPr>
        <w:t>DECIZIE</w:t>
      </w:r>
      <w:r>
        <w:rPr>
          <w:rStyle w:val="Fontdeparagrafimplicit"/>
          <w:rFonts w:ascii="Garamond" w:hAnsi="Garamond"/>
        </w:rPr>
      </w:r>
      <w:bookmarkEnd w:id="0"/>
      <w:r>
        <w:rPr>
          <w:rStyle w:val="Fontdeparagrafimplicit"/>
          <w:rFonts w:ascii="Garamond" w:hAnsi="Garamond"/>
        </w:rPr>
        <w:t xml:space="preserve"> Nr. </w:t>
      </w:r>
      <w:r w:rsidR="00862EBF">
        <w:rPr>
          <w:rStyle w:val="Fontdeparagrafimplicit"/>
          <w:rFonts w:ascii="Garamond" w:hAnsi="Garamond"/>
        </w:rPr>
        <w:t>.....</w:t>
      </w:r>
      <w:r>
        <w:rPr>
          <w:rStyle w:val="Fontdeparagrafimplicit"/>
          <w:rFonts w:ascii="Garamond" w:hAnsi="Garamond"/>
        </w:rPr>
        <w:t>/</w:t>
      </w:r>
      <w:r w:rsidR="00862EBF">
        <w:rPr>
          <w:rStyle w:val="Fontdeparagrafimplicit"/>
          <w:rFonts w:ascii="Garamond" w:hAnsi="Garamond"/>
        </w:rPr>
        <w:t>......</w:t>
      </w:r>
    </w:p>
    <w:p w:rsidR="00190797" w14:paraId="2554196B" w14:textId="2CE52504">
      <w:pPr>
        <w:jc w:val="center"/>
        <w:rPr>
          <w:rStyle w:val="Fontdeparagrafimplicit"/>
          <w:rFonts w:ascii="Garamond" w:hAnsi="Garamond"/>
        </w:rPr>
      </w:pPr>
      <w:r>
        <w:rPr>
          <w:rStyle w:val="Fontdeparagrafimplicit"/>
          <w:rFonts w:ascii="Garamond" w:hAnsi="Garamond"/>
        </w:rPr>
        <w:t>Şedinţa </w:t>
      </w:r>
      <w:r>
        <w:rPr>
          <w:rStyle w:val="Fontdeparagrafimplicit"/>
          <w:rFonts w:ascii="Garamond" w:hAnsi="Garamond"/>
        </w:rPr>
      </w:r>
      <w:bookmarkStart w:name="tip_sedinta" w:id="1"/>
      <w:r>
        <w:rPr>
          <w:rStyle w:val="Fontdeparagrafimplicit"/>
          <w:rFonts w:ascii="Garamond" w:hAnsi="Garamond"/>
        </w:rPr>
      </w:r>
      <w:r>
        <w:rPr>
          <w:rStyle w:val="Fontdeparagrafimplicit"/>
          <w:rFonts w:ascii="Garamond" w:hAnsi="Garamond"/>
        </w:rPr>
      </w:r>
      <w:r>
        <w:rPr>
          <w:rStyle w:val="Fontdeparagrafimplicit"/>
          <w:rFonts w:ascii="Garamond" w:hAnsi="Garamond"/>
        </w:rPr>
        <w:t>publică</w:t>
      </w:r>
      <w:r>
        <w:rPr>
          <w:rStyle w:val="Fontdeparagrafimplicit"/>
          <w:rFonts w:ascii="Garamond" w:hAnsi="Garamond"/>
        </w:rPr>
      </w:r>
      <w:bookmarkEnd w:id="1"/>
      <w:r>
        <w:rPr>
          <w:rStyle w:val="Fontdeparagrafimplicit"/>
          <w:rFonts w:ascii="Garamond" w:hAnsi="Garamond"/>
        </w:rPr>
        <w:t xml:space="preserve"> de la </w:t>
      </w:r>
      <w:r w:rsidR="00862EBF">
        <w:rPr>
          <w:rStyle w:val="Fontdeparagrafimplicit"/>
          <w:rFonts w:ascii="Garamond" w:hAnsi="Garamond"/>
        </w:rPr>
        <w:t>...............</w:t>
      </w:r>
      <w:r>
        <w:rPr>
          <w:rStyle w:val="Fontdeparagrafimplicit"/>
          <w:rFonts w:ascii="Garamond" w:hAnsi="Garamond"/>
        </w:rPr>
        <w:t xml:space="preserve"> </w:t>
      </w:r>
    </w:p>
    <w:p w:rsidR="00190797" w14:paraId="265FE3C8" w14:textId="77777777">
      <w:pPr>
        <w:jc w:val="center"/>
        <w:rPr>
          <w:rStyle w:val="Fontdeparagrafimplicit"/>
          <w:rFonts w:ascii="Garamond" w:hAnsi="Garamond"/>
        </w:rPr>
      </w:pPr>
      <w:r>
        <w:rPr>
          <w:rStyle w:val="Fontdeparagrafimplicit"/>
          <w:rFonts w:ascii="Garamond" w:hAnsi="Garamond"/>
        </w:rPr>
        <w:t>Completul compus din:</w:t>
      </w:r>
    </w:p>
    <w:p w:rsidR="00190797" w14:paraId="47B23531" w14:textId="36898EC8">
      <w:pPr>
        <w:jc w:val="center"/>
        <w:rPr>
          <w:rStyle w:val="Fontdeparagrafimplicit"/>
          <w:rFonts w:ascii="Garamond" w:hAnsi="Garamond"/>
        </w:rPr>
      </w:pPr>
      <w:r>
        <w:rPr>
          <w:rStyle w:val="Fontdeparagrafimplicit"/>
          <w:rFonts w:ascii="Garamond" w:hAnsi="Garamond"/>
        </w:rPr>
        <w:t xml:space="preserve">PREŞEDINTE </w:t>
      </w:r>
      <w:r w:rsidR="00862EBF">
        <w:rPr>
          <w:rStyle w:val="Fontdeparagrafimplicit"/>
          <w:rFonts w:ascii="Garamond" w:hAnsi="Garamond"/>
        </w:rPr>
        <w:t>...............</w:t>
      </w:r>
      <w:r>
        <w:rPr>
          <w:rStyle w:val="Fontdeparagrafimplicit"/>
          <w:rFonts w:ascii="Garamond" w:hAnsi="Garamond"/>
        </w:rPr>
        <w:t xml:space="preserve"> – Preşedinte Secţie</w:t>
      </w:r>
    </w:p>
    <w:p w:rsidR="00190797" w14:paraId="1AAF61DC" w14:textId="3A1E13ED">
      <w:pPr>
        <w:jc w:val="center"/>
        <w:rPr>
          <w:rStyle w:val="Fontdeparagrafimplicit"/>
          <w:rFonts w:ascii="Garamond" w:hAnsi="Garamond"/>
        </w:rPr>
      </w:pPr>
      <w:r>
        <w:rPr>
          <w:rStyle w:val="Fontdeparagrafimplicit"/>
          <w:rFonts w:ascii="Garamond" w:hAnsi="Garamond"/>
        </w:rPr>
        <w:t xml:space="preserve">Judecător </w:t>
      </w:r>
      <w:r w:rsidR="00862EBF">
        <w:rPr>
          <w:rStyle w:val="Fontdeparagrafimplicit"/>
          <w:rFonts w:ascii="Garamond" w:hAnsi="Garamond"/>
        </w:rPr>
        <w:t>...............</w:t>
      </w:r>
      <w:r>
        <w:rPr>
          <w:rStyle w:val="Fontdeparagrafimplicit"/>
          <w:rFonts w:ascii="Garamond" w:hAnsi="Garamond"/>
        </w:rPr>
        <w:t xml:space="preserve"> – Vicepreşedinte Curte</w:t>
      </w:r>
    </w:p>
    <w:p w:rsidR="00190797" w14:paraId="5549EC38" w14:textId="744EBDAE">
      <w:pPr>
        <w:jc w:val="center"/>
        <w:rPr>
          <w:rStyle w:val="Fontdeparagrafimplicit"/>
          <w:rFonts w:ascii="Garamond" w:hAnsi="Garamond"/>
        </w:rPr>
      </w:pPr>
      <w:r>
        <w:rPr>
          <w:rStyle w:val="Fontdeparagrafimplicit"/>
          <w:rFonts w:ascii="Garamond" w:hAnsi="Garamond"/>
        </w:rPr>
        <w:t xml:space="preserve">Judecător </w:t>
      </w:r>
      <w:r w:rsidR="00862EBF">
        <w:rPr>
          <w:rStyle w:val="Fontdeparagrafimplicit"/>
          <w:rFonts w:ascii="Garamond" w:hAnsi="Garamond"/>
        </w:rPr>
        <w:t>A0001</w:t>
      </w:r>
      <w:r>
        <w:rPr>
          <w:rStyle w:val="Fontdeparagrafimplicit"/>
          <w:rFonts w:ascii="Garamond" w:hAnsi="Garamond"/>
        </w:rPr>
        <w:t xml:space="preserve"> – Vicepreşedinte Curte</w:t>
      </w:r>
    </w:p>
    <w:p w:rsidR="00190797" w14:paraId="0FF7FC22" w14:textId="72970010">
      <w:pPr>
        <w:jc w:val="center"/>
        <w:rPr>
          <w:rStyle w:val="Fontdeparagrafimplicit"/>
          <w:rFonts w:ascii="Garamond" w:hAnsi="Garamond"/>
        </w:rPr>
      </w:pPr>
      <w:r>
        <w:rPr>
          <w:rStyle w:val="Fontdeparagrafimplicit"/>
          <w:rFonts w:ascii="Garamond" w:hAnsi="Garamond"/>
        </w:rPr>
        <w:t xml:space="preserve">Grefier </w:t>
      </w:r>
      <w:r w:rsidR="00862EBF">
        <w:rPr>
          <w:rStyle w:val="Fontdeparagrafimplicit"/>
          <w:rFonts w:ascii="Garamond" w:hAnsi="Garamond"/>
        </w:rPr>
        <w:t>...............</w:t>
      </w:r>
    </w:p>
    <w:p w:rsidR="00190797" w14:paraId="37906B62" w14:textId="77777777">
      <w:pPr>
        <w:jc w:val="center"/>
        <w:rPr>
          <w:rStyle w:val="Fontdeparagrafimplicit"/>
          <w:rFonts w:ascii="Garamond" w:hAnsi="Garamond"/>
        </w:rPr>
      </w:pPr>
    </w:p>
    <w:p w:rsidR="00190797" w14:paraId="3A746FEF" w14:textId="77777777">
      <w:pPr>
        <w:jc w:val="center"/>
        <w:rPr>
          <w:rStyle w:val="Fontdeparagrafimplicit"/>
          <w:rFonts w:ascii="Garamond" w:hAnsi="Garamond"/>
        </w:rPr>
      </w:pPr>
      <w:r>
        <w:rPr>
          <w:rStyle w:val="Fontdeparagrafimplicit"/>
          <w:rFonts w:ascii="Garamond" w:hAnsi="Garamond"/>
        </w:rPr>
        <w:t>x.x.x.x.x</w:t>
      </w:r>
    </w:p>
    <w:p w:rsidR="00190797" w14:paraId="1FF6FBCB" w14:textId="77777777">
      <w:pPr>
        <w:jc w:val="center"/>
        <w:rPr>
          <w:rStyle w:val="Fontdeparagrafimplicit"/>
          <w:rFonts w:ascii="Garamond" w:hAnsi="Garamond"/>
        </w:rPr>
      </w:pPr>
    </w:p>
    <w:p w:rsidR="00190797" w14:paraId="612657A9" w14:textId="79DEB815">
      <w:pPr>
        <w:jc w:val="both"/>
        <w:rPr>
          <w:rStyle w:val="Fontdeparagrafimplicit"/>
          <w:rFonts w:ascii="Garamond" w:hAnsi="Garamond"/>
        </w:rPr>
      </w:pPr>
      <w:r>
        <w:rPr>
          <w:rStyle w:val="Fontdeparagrafimplicit"/>
          <w:rFonts w:ascii="Garamond" w:hAnsi="Garamond"/>
        </w:rPr>
        <w:tab/>
        <w:t xml:space="preserve">S-a luat în examinare recursul declarat de pârâta DIRECŢIA GENERALĂ A FINANŢELOR PUBLICE </w:t>
      </w:r>
      <w:r w:rsidR="00862EBF">
        <w:rPr>
          <w:rStyle w:val="Fontdeparagrafimplicit"/>
          <w:rFonts w:ascii="Garamond" w:hAnsi="Garamond"/>
        </w:rPr>
        <w:t>...A...</w:t>
      </w:r>
      <w:r>
        <w:rPr>
          <w:rStyle w:val="Fontdeparagrafimplicit"/>
          <w:rFonts w:ascii="Garamond" w:hAnsi="Garamond"/>
        </w:rPr>
        <w:t xml:space="preserve"> ÎN NUMELE ADMINISTRATIEI FINANTELOR PUBLICE </w:t>
      </w:r>
      <w:r w:rsidR="00862EBF">
        <w:rPr>
          <w:rStyle w:val="Fontdeparagrafimplicit"/>
          <w:rFonts w:ascii="Garamond" w:hAnsi="Garamond"/>
        </w:rPr>
        <w:t>...B...</w:t>
      </w:r>
      <w:r>
        <w:rPr>
          <w:rStyle w:val="Fontdeparagrafimplicit"/>
          <w:rFonts w:ascii="Garamond" w:hAnsi="Garamond"/>
        </w:rPr>
        <w:t xml:space="preserve">, împotriva sentinţei nr. </w:t>
      </w:r>
      <w:r w:rsidR="00862EBF">
        <w:rPr>
          <w:rStyle w:val="Fontdeparagrafimplicit"/>
          <w:rFonts w:ascii="Garamond" w:hAnsi="Garamond"/>
        </w:rPr>
        <w:t>...../...............</w:t>
      </w:r>
      <w:r>
        <w:rPr>
          <w:rStyle w:val="Fontdeparagrafimplicit"/>
          <w:rFonts w:ascii="Garamond" w:hAnsi="Garamond"/>
        </w:rPr>
        <w:t xml:space="preserve">, pronunţată de Tribunalul </w:t>
      </w:r>
      <w:r w:rsidR="00862EBF">
        <w:rPr>
          <w:rStyle w:val="Fontdeparagrafimplicit"/>
          <w:rFonts w:ascii="Garamond" w:hAnsi="Garamond"/>
        </w:rPr>
        <w:t>...A...</w:t>
      </w:r>
      <w:r>
        <w:rPr>
          <w:rStyle w:val="Fontdeparagrafimplicit"/>
          <w:rFonts w:ascii="Garamond" w:hAnsi="Garamond"/>
        </w:rPr>
        <w:t xml:space="preserve">, în dosar nr. </w:t>
      </w:r>
      <w:r w:rsidR="00862EBF">
        <w:rPr>
          <w:rStyle w:val="Fontdeparagrafimplicit"/>
          <w:rFonts w:ascii="Garamond" w:hAnsi="Garamond"/>
        </w:rPr>
        <w:t>...../..../2012</w:t>
      </w:r>
      <w:r>
        <w:rPr>
          <w:rStyle w:val="Fontdeparagrafimplicit"/>
          <w:rFonts w:ascii="Garamond" w:hAnsi="Garamond"/>
        </w:rPr>
        <w:t xml:space="preserve">, în contradictoriu cu intimatul </w:t>
      </w:r>
      <w:bookmarkStart w:name="_Hlk236581670" w:id="2"/>
      <w:r>
        <w:rPr>
          <w:rStyle w:val="Fontdeparagrafimplicit"/>
          <w:rFonts w:ascii="Garamond" w:hAnsi="Garamond"/>
        </w:rPr>
        <w:t xml:space="preserve">reclamant </w:t>
      </w:r>
      <w:r w:rsidR="00862EBF">
        <w:rPr>
          <w:rStyle w:val="Fontdeparagrafimplicit"/>
          <w:rFonts w:ascii="Garamond" w:hAnsi="Garamond"/>
        </w:rPr>
        <w:t>...Y...</w:t>
      </w:r>
      <w:r>
        <w:rPr>
          <w:rStyle w:val="Fontdeparagrafimplicit"/>
          <w:rFonts w:ascii="Garamond" w:hAnsi="Garamond"/>
        </w:rPr>
        <w:t xml:space="preserve"> </w:t>
      </w:r>
      <w:bookmarkEnd w:id="2"/>
      <w:r>
        <w:rPr>
          <w:rStyle w:val="Fontdeparagrafimplicit"/>
          <w:rFonts w:ascii="Garamond" w:hAnsi="Garamond"/>
        </w:rPr>
        <w:t xml:space="preserve">şi intimata pârâtă ADMINISTRAŢIA FONDULUI PENTRU MEDIU </w:t>
      </w:r>
      <w:r w:rsidR="00862EBF">
        <w:rPr>
          <w:rStyle w:val="Fontdeparagrafimplicit"/>
          <w:rFonts w:ascii="Garamond" w:hAnsi="Garamond"/>
        </w:rPr>
        <w:t>...C...</w:t>
      </w:r>
      <w:r>
        <w:rPr>
          <w:rStyle w:val="Fontdeparagrafimplicit"/>
          <w:rFonts w:ascii="Garamond" w:hAnsi="Garamond"/>
        </w:rPr>
        <w:t>.</w:t>
      </w:r>
    </w:p>
    <w:p w:rsidR="00190797" w14:paraId="16FDE216" w14:textId="77777777">
      <w:pPr>
        <w:ind w:firstLine="708"/>
        <w:jc w:val="both"/>
        <w:rPr>
          <w:rStyle w:val="Fontdeparagrafimplicit"/>
          <w:rFonts w:ascii="Garamond" w:hAnsi="Garamond"/>
        </w:rPr>
      </w:pPr>
      <w:r>
        <w:rPr>
          <w:rStyle w:val="Fontdeparagrafimplicit"/>
          <w:rFonts w:ascii="Garamond" w:hAnsi="Garamond"/>
        </w:rPr>
        <w:t xml:space="preserve">La apelul nominal făcut în şedinţa </w:t>
      </w:r>
      <w:r>
        <w:rPr>
          <w:rStyle w:val="Fontdeparagrafimplicit"/>
          <w:rFonts w:ascii="Garamond" w:hAnsi="Garamond"/>
        </w:rPr>
      </w:r>
      <w:bookmarkStart w:name="tip_sedinta_copie_1" w:id="3"/>
      <w:r>
        <w:rPr>
          <w:rStyle w:val="Fontdeparagrafimplicit"/>
          <w:rFonts w:ascii="Garamond" w:hAnsi="Garamond"/>
        </w:rPr>
      </w:r>
      <w:r>
        <w:rPr>
          <w:rStyle w:val="Fontdeparagrafimplicit"/>
          <w:rFonts w:ascii="Garamond" w:hAnsi="Garamond"/>
        </w:rPr>
      </w:r>
      <w:r>
        <w:rPr>
          <w:rStyle w:val="Fontdeparagrafimplicit"/>
          <w:rFonts w:ascii="Garamond" w:hAnsi="Garamond"/>
        </w:rPr>
        <w:t>publică</w:t>
      </w:r>
      <w:r>
        <w:rPr>
          <w:rStyle w:val="Fontdeparagrafimplicit"/>
          <w:rFonts w:ascii="Garamond" w:hAnsi="Garamond"/>
        </w:rPr>
      </w:r>
      <w:bookmarkEnd w:id="3"/>
      <w:r>
        <w:rPr>
          <w:rStyle w:val="Fontdeparagrafimplicit"/>
          <w:rFonts w:ascii="Garamond" w:hAnsi="Garamond"/>
        </w:rPr>
        <w:t>, au lipsit părţile.</w:t>
      </w:r>
    </w:p>
    <w:p w:rsidR="00190797" w14:paraId="24D72ADA" w14:textId="77777777">
      <w:pPr>
        <w:ind w:firstLine="708"/>
        <w:jc w:val="both"/>
        <w:rPr>
          <w:rStyle w:val="Fontdeparagrafimplicit"/>
          <w:rFonts w:ascii="Garamond" w:hAnsi="Garamond"/>
        </w:rPr>
      </w:pPr>
      <w:r>
        <w:rPr>
          <w:rStyle w:val="Fontdeparagrafimplicit"/>
          <w:rFonts w:ascii="Garamond" w:hAnsi="Garamond"/>
        </w:rPr>
        <w:t xml:space="preserve">Procedura </w:t>
      </w:r>
      <w:r>
        <w:rPr>
          <w:rStyle w:val="Fontdeparagrafimplicit"/>
          <w:rFonts w:ascii="Garamond" w:hAnsi="Garamond"/>
        </w:rPr>
      </w:r>
      <w:bookmarkStart w:name="tip_procedura" w:id="4"/>
      <w:r>
        <w:rPr>
          <w:rStyle w:val="Fontdeparagrafimplicit"/>
          <w:rFonts w:ascii="Garamond" w:hAnsi="Garamond"/>
        </w:rPr>
      </w:r>
      <w:r>
        <w:rPr>
          <w:rStyle w:val="Fontdeparagrafimplicit"/>
          <w:rFonts w:ascii="Garamond" w:hAnsi="Garamond"/>
        </w:rPr>
      </w:r>
      <w:r>
        <w:rPr>
          <w:rStyle w:val="Fontdeparagrafimplicit"/>
          <w:rFonts w:ascii="Garamond" w:hAnsi="Garamond"/>
        </w:rPr>
        <w:t>legal</w:t>
      </w:r>
      <w:r>
        <w:rPr>
          <w:rStyle w:val="Fontdeparagrafimplicit"/>
          <w:rFonts w:ascii="Garamond" w:hAnsi="Garamond"/>
        </w:rPr>
      </w:r>
      <w:bookmarkEnd w:id="4"/>
      <w:r>
        <w:rPr>
          <w:rStyle w:val="Fontdeparagrafimplicit"/>
          <w:rFonts w:ascii="Garamond" w:hAnsi="Garamond"/>
        </w:rPr>
        <w:t xml:space="preserve"> îndeplinită.</w:t>
      </w:r>
    </w:p>
    <w:p w:rsidR="00190797" w14:paraId="6D93C442" w14:textId="77777777">
      <w:pPr>
        <w:ind w:firstLine="708"/>
        <w:jc w:val="both"/>
        <w:rPr>
          <w:rStyle w:val="Fontdeparagrafimplicit"/>
          <w:rFonts w:ascii="Garamond" w:hAnsi="Garamond"/>
        </w:rPr>
      </w:pPr>
      <w:r>
        <w:rPr>
          <w:rStyle w:val="Fontdeparagrafimplicit"/>
          <w:rFonts w:ascii="Garamond" w:hAnsi="Garamond"/>
        </w:rPr>
        <w:t xml:space="preserve">S-a făcut </w:t>
      </w:r>
      <w:r>
        <w:rPr>
          <w:rStyle w:val="Fontdeparagrafimplicit"/>
          <w:rFonts w:ascii="Garamond" w:hAnsi="Garamond"/>
        </w:rPr>
      </w:r>
      <w:bookmarkStart w:name="tip_doc_despre_cauza" w:id="5"/>
      <w:r>
        <w:rPr>
          <w:rStyle w:val="Fontdeparagrafimplicit"/>
          <w:rFonts w:ascii="Garamond" w:hAnsi="Garamond"/>
        </w:rPr>
      </w:r>
      <w:r>
        <w:rPr>
          <w:rStyle w:val="Fontdeparagrafimplicit"/>
          <w:rFonts w:ascii="Garamond" w:hAnsi="Garamond"/>
        </w:rPr>
      </w:r>
      <w:r>
        <w:rPr>
          <w:rStyle w:val="Fontdeparagrafimplicit"/>
          <w:rFonts w:ascii="Garamond" w:hAnsi="Garamond"/>
        </w:rPr>
        <w:t>referatul</w:t>
      </w:r>
      <w:r>
        <w:rPr>
          <w:rStyle w:val="Fontdeparagrafimplicit"/>
          <w:rFonts w:ascii="Garamond" w:hAnsi="Garamond"/>
        </w:rPr>
      </w:r>
      <w:bookmarkEnd w:id="5"/>
      <w:r>
        <w:rPr>
          <w:rStyle w:val="Fontdeparagrafimplicit"/>
          <w:rFonts w:ascii="Garamond" w:hAnsi="Garamond"/>
        </w:rPr>
        <w:t xml:space="preserve"> cauzei de către </w:t>
      </w:r>
      <w:r>
        <w:rPr>
          <w:rStyle w:val="Fontdeparagrafimplicit"/>
          <w:rFonts w:ascii="Garamond" w:hAnsi="Garamond"/>
        </w:rPr>
      </w:r>
      <w:bookmarkStart w:name="functia_celui_care_f" w:id="6"/>
      <w:r>
        <w:rPr>
          <w:rStyle w:val="Fontdeparagrafimplicit"/>
          <w:rFonts w:ascii="Garamond" w:hAnsi="Garamond"/>
        </w:rPr>
      </w:r>
      <w:r>
        <w:rPr>
          <w:rStyle w:val="Fontdeparagrafimplicit"/>
          <w:rFonts w:ascii="Garamond" w:hAnsi="Garamond"/>
        </w:rPr>
      </w:r>
      <w:r>
        <w:rPr>
          <w:rStyle w:val="Fontdeparagrafimplicit"/>
          <w:rFonts w:ascii="Garamond" w:hAnsi="Garamond"/>
        </w:rPr>
        <w:t>grefier</w:t>
      </w:r>
      <w:r>
        <w:rPr>
          <w:rStyle w:val="Fontdeparagrafimplicit"/>
          <w:rFonts w:ascii="Garamond" w:hAnsi="Garamond"/>
        </w:rPr>
      </w:r>
      <w:bookmarkEnd w:id="6"/>
      <w:r>
        <w:rPr>
          <w:rStyle w:val="Fontdeparagrafimplicit"/>
          <w:rFonts w:ascii="Garamond" w:hAnsi="Garamond"/>
        </w:rPr>
        <w:t>ul de şedinţă, învederându-se că recursul a fost declarat şi motivat în termenul legal, iar recurenta a solicitat judecarea cauzei în lipsă conform art.242(2) cod proc. civilă .</w:t>
      </w:r>
    </w:p>
    <w:p w:rsidR="00190797" w14:paraId="58DD1ABA" w14:textId="77777777">
      <w:pPr>
        <w:ind w:firstLine="708"/>
        <w:jc w:val="both"/>
        <w:rPr>
          <w:rStyle w:val="Fontdeparagrafimplicit"/>
          <w:rFonts w:ascii="Garamond" w:hAnsi="Garamond"/>
        </w:rPr>
      </w:pPr>
      <w:r>
        <w:rPr>
          <w:rStyle w:val="Fontdeparagrafimplicit"/>
          <w:rFonts w:ascii="Garamond" w:hAnsi="Garamond"/>
        </w:rPr>
        <w:t>Constatând că nu mai sunt alte cereri din partea părţilor şi că s-a solicitat judecarea cauzei în lipsă, instanţa declară închisă faza probatorie şi  apreciind îndeplinite dispoziţiile art. 150 Codul de procedură civilă, reţine cauza spre soluţionare şi trece la deliberări.</w:t>
      </w:r>
    </w:p>
    <w:p w:rsidR="00190797" w14:paraId="35572A10" w14:textId="77777777">
      <w:pPr>
        <w:jc w:val="both"/>
        <w:rPr>
          <w:rStyle w:val="Fontdeparagrafimplicit"/>
          <w:rFonts w:ascii="Garamond" w:hAnsi="Garamond"/>
        </w:rPr>
      </w:pPr>
      <w:r>
        <w:rPr>
          <w:rStyle w:val="Fontdeparagrafimplicit"/>
          <w:rFonts w:ascii="Garamond" w:hAnsi="Garamond"/>
        </w:rPr>
      </w:r>
      <w:bookmarkStart w:name="ce_se_invedereaza" w:id="7"/>
      <w:r>
        <w:rPr>
          <w:rStyle w:val="Fontdeparagrafimplicit"/>
          <w:rFonts w:ascii="Garamond" w:hAnsi="Garamond"/>
        </w:rPr>
      </w:r>
      <w:r>
        <w:rPr>
          <w:rStyle w:val="Fontdeparagrafimplicit"/>
          <w:rFonts w:ascii="Garamond" w:hAnsi="Garamond"/>
        </w:rPr>
      </w:r>
      <w:r>
        <w:rPr>
          <w:rStyle w:val="Fontdeparagrafimplicit"/>
          <w:rFonts w:ascii="Garamond" w:hAnsi="Garamond"/>
        </w:rPr>
      </w:r>
      <w:bookmarkEnd w:id="7"/>
    </w:p>
    <w:p w:rsidR="00190797" w14:paraId="6BF56F24" w14:textId="77777777">
      <w:pPr>
        <w:jc w:val="center"/>
        <w:rPr>
          <w:rStyle w:val="Fontdeparagrafimplicit"/>
          <w:rFonts w:ascii="Garamond" w:hAnsi="Garamond"/>
        </w:rPr>
      </w:pPr>
      <w:r>
        <w:rPr>
          <w:rStyle w:val="Fontdeparagrafimplicit"/>
          <w:rFonts w:ascii="Garamond" w:hAnsi="Garamond"/>
        </w:rPr>
        <w:t>C U R T E A</w:t>
      </w:r>
    </w:p>
    <w:p w:rsidR="00190797" w14:paraId="41B5B549" w14:textId="77777777">
      <w:pPr>
        <w:jc w:val="center"/>
        <w:rPr>
          <w:rStyle w:val="Fontdeparagrafimplicit"/>
          <w:rFonts w:ascii="Garamond" w:hAnsi="Garamond"/>
        </w:rPr>
      </w:pPr>
    </w:p>
    <w:p w:rsidR="00190797" w14:paraId="72F87913" w14:textId="77777777">
      <w:pPr>
        <w:ind w:firstLine="708"/>
        <w:jc w:val="both"/>
        <w:rPr>
          <w:rStyle w:val="Fontdeparagrafimplicit"/>
          <w:rFonts w:ascii="Garamond" w:hAnsi="Garamond"/>
        </w:rPr>
      </w:pPr>
      <w:r>
        <w:rPr>
          <w:rStyle w:val="Fontdeparagrafimplicit"/>
          <w:rFonts w:ascii="Garamond" w:hAnsi="Garamond"/>
        </w:rPr>
        <w:t>Asupra cauzei de faţă:</w:t>
      </w:r>
    </w:p>
    <w:p w:rsidR="00190797" w14:paraId="4149B9A6" w14:textId="29E41419">
      <w:pPr>
        <w:ind w:firstLine="708"/>
        <w:jc w:val="both"/>
        <w:rPr>
          <w:rStyle w:val="Fontdeparagrafimplicit"/>
          <w:rFonts w:ascii="Garamond" w:hAnsi="Garamond"/>
        </w:rPr>
      </w:pPr>
      <w:r>
        <w:rPr>
          <w:rStyle w:val="Fontdeparagrafimplicit"/>
          <w:rFonts w:ascii="Garamond" w:hAnsi="Garamond"/>
        </w:rPr>
        <w:t xml:space="preserve">Prin sentinţa nr. </w:t>
      </w:r>
      <w:r w:rsidR="00862EBF">
        <w:rPr>
          <w:rStyle w:val="Fontdeparagrafimplicit"/>
          <w:rFonts w:ascii="Garamond" w:hAnsi="Garamond"/>
        </w:rPr>
        <w:t>...../...............</w:t>
      </w:r>
      <w:r>
        <w:rPr>
          <w:rStyle w:val="Fontdeparagrafimplicit"/>
          <w:rFonts w:ascii="Garamond" w:hAnsi="Garamond"/>
        </w:rPr>
        <w:t xml:space="preserve">, pronunţată de Tribunalul </w:t>
      </w:r>
      <w:r w:rsidR="00862EBF">
        <w:rPr>
          <w:rStyle w:val="Fontdeparagrafimplicit"/>
          <w:rFonts w:ascii="Garamond" w:hAnsi="Garamond"/>
        </w:rPr>
        <w:t>...A...</w:t>
      </w:r>
      <w:r>
        <w:rPr>
          <w:rStyle w:val="Fontdeparagrafimplicit"/>
          <w:rFonts w:ascii="Garamond" w:hAnsi="Garamond"/>
        </w:rPr>
        <w:t xml:space="preserve">, în dosar nr. </w:t>
      </w:r>
      <w:r w:rsidR="00862EBF">
        <w:rPr>
          <w:rStyle w:val="Fontdeparagrafimplicit"/>
          <w:rFonts w:ascii="Garamond" w:hAnsi="Garamond"/>
        </w:rPr>
        <w:t>...../..../2012</w:t>
      </w:r>
      <w:r>
        <w:rPr>
          <w:rStyle w:val="Fontdeparagrafimplicit"/>
          <w:rFonts w:ascii="Garamond" w:hAnsi="Garamond"/>
        </w:rPr>
        <w:t xml:space="preserve">, s-a admis acţiunea formulată de reclamantul </w:t>
      </w:r>
      <w:r w:rsidR="00862EBF">
        <w:rPr>
          <w:rStyle w:val="Fontdeparagrafimplicit"/>
          <w:rFonts w:ascii="Garamond" w:hAnsi="Garamond"/>
        </w:rPr>
        <w:t>...Y...</w:t>
      </w:r>
      <w:r>
        <w:rPr>
          <w:rStyle w:val="Fontdeparagrafimplicit"/>
          <w:rFonts w:ascii="Garamond" w:hAnsi="Garamond"/>
        </w:rPr>
        <w:t xml:space="preserve">, în contradictoriu cu pârâţii Administraţia Finanţelor Publice </w:t>
      </w:r>
      <w:r w:rsidR="00862EBF">
        <w:rPr>
          <w:rStyle w:val="Fontdeparagrafimplicit"/>
          <w:rFonts w:ascii="Garamond" w:hAnsi="Garamond"/>
        </w:rPr>
        <w:t>...B...</w:t>
      </w:r>
      <w:r>
        <w:rPr>
          <w:rStyle w:val="Fontdeparagrafimplicit"/>
          <w:rFonts w:ascii="Garamond" w:hAnsi="Garamond"/>
        </w:rPr>
        <w:t xml:space="preserve"> şi Administraţia Fondului pentru Mediu </w:t>
      </w:r>
      <w:r w:rsidR="00862EBF">
        <w:rPr>
          <w:rStyle w:val="Fontdeparagrafimplicit"/>
          <w:rFonts w:ascii="Garamond" w:hAnsi="Garamond"/>
        </w:rPr>
        <w:t>...C...</w:t>
      </w:r>
      <w:r>
        <w:rPr>
          <w:rStyle w:val="Fontdeparagrafimplicit"/>
          <w:rFonts w:ascii="Garamond" w:hAnsi="Garamond"/>
        </w:rPr>
        <w:t>.</w:t>
      </w:r>
    </w:p>
    <w:p w:rsidR="00190797" w14:paraId="4463F6F0" w14:textId="3369AB25">
      <w:pPr>
        <w:ind w:firstLine="708"/>
        <w:jc w:val="both"/>
        <w:rPr>
          <w:rStyle w:val="Fontdeparagrafimplicit"/>
          <w:rFonts w:ascii="Garamond" w:hAnsi="Garamond"/>
        </w:rPr>
      </w:pPr>
      <w:r>
        <w:rPr>
          <w:rStyle w:val="Fontdeparagrafimplicit"/>
          <w:rFonts w:ascii="Garamond" w:hAnsi="Garamond"/>
        </w:rPr>
        <w:t xml:space="preserve">Au fost obligaţi pârâţii să restituie reclamantului suma de 5238 lei, achitată cu chitanţa seria </w:t>
      </w:r>
      <w:r w:rsidR="00E320E7">
        <w:rPr>
          <w:rStyle w:val="Fontdeparagrafimplicit"/>
          <w:rFonts w:ascii="Garamond" w:hAnsi="Garamond"/>
        </w:rPr>
        <w:t>...</w:t>
      </w:r>
      <w:r>
        <w:rPr>
          <w:rStyle w:val="Fontdeparagrafimplicit"/>
          <w:rFonts w:ascii="Garamond" w:hAnsi="Garamond"/>
        </w:rPr>
        <w:t>, nr.</w:t>
      </w:r>
      <w:r w:rsidR="00E320E7">
        <w:rPr>
          <w:rStyle w:val="Fontdeparagrafimplicit"/>
          <w:rFonts w:ascii="Garamond" w:hAnsi="Garamond"/>
        </w:rPr>
        <w:t>....</w:t>
      </w:r>
      <w:r>
        <w:rPr>
          <w:rStyle w:val="Fontdeparagrafimplicit"/>
          <w:rFonts w:ascii="Garamond" w:hAnsi="Garamond"/>
        </w:rPr>
        <w:t>/17.10.2010 reprezentând taxă de poluare.</w:t>
      </w:r>
    </w:p>
    <w:p w:rsidR="00190797" w14:paraId="4A0522AA" w14:textId="77777777">
      <w:pPr>
        <w:jc w:val="both"/>
        <w:rPr>
          <w:rStyle w:val="Fontdeparagrafimplicit"/>
          <w:rFonts w:ascii="Garamond" w:hAnsi="Garamond"/>
        </w:rPr>
      </w:pPr>
      <w:r>
        <w:rPr>
          <w:rStyle w:val="Fontdeparagrafimplicit"/>
          <w:rFonts w:ascii="Garamond" w:hAnsi="Garamond"/>
        </w:rPr>
        <w:tab/>
        <w:t>Au fost obligaţi pârâţii la plata sumei de 39,3 lei, cu titlu de cheltuieli de judecată către reclamant.</w:t>
      </w:r>
    </w:p>
    <w:p w:rsidR="00190797" w14:paraId="420FA68E" w14:textId="4B226B63">
      <w:pPr>
        <w:ind w:firstLine="708"/>
        <w:jc w:val="both"/>
        <w:rPr>
          <w:rStyle w:val="Fontdeparagrafimplicit"/>
          <w:rFonts w:ascii="Garamond" w:hAnsi="Garamond"/>
        </w:rPr>
      </w:pPr>
      <w:r>
        <w:rPr>
          <w:rStyle w:val="Fontdeparagrafimplicit"/>
          <w:rFonts w:ascii="Garamond" w:hAnsi="Garamond"/>
        </w:rPr>
        <w:t xml:space="preserve">Împotriva acestei sentinţe a declarat recurs pârâta DIRECŢIA GENERALĂ A FINANŢELOR PUBLICE </w:t>
      </w:r>
      <w:r w:rsidR="00862EBF">
        <w:rPr>
          <w:rStyle w:val="Fontdeparagrafimplicit"/>
          <w:rFonts w:ascii="Garamond" w:hAnsi="Garamond"/>
        </w:rPr>
        <w:t>...A...</w:t>
      </w:r>
      <w:r>
        <w:rPr>
          <w:rStyle w:val="Fontdeparagrafimplicit"/>
          <w:rFonts w:ascii="Garamond" w:hAnsi="Garamond"/>
        </w:rPr>
        <w:t xml:space="preserve"> ÎN NUMELE ADMINISTRATIEI FINANTELOR PUBLICE </w:t>
      </w:r>
      <w:r w:rsidR="00862EBF">
        <w:rPr>
          <w:rStyle w:val="Fontdeparagrafimplicit"/>
          <w:rFonts w:ascii="Garamond" w:hAnsi="Garamond"/>
        </w:rPr>
        <w:t>...B...</w:t>
      </w:r>
      <w:r>
        <w:rPr>
          <w:rStyle w:val="Fontdeparagrafimplicit"/>
          <w:rFonts w:ascii="Garamond" w:hAnsi="Garamond"/>
        </w:rPr>
        <w:t>, criticând-o pentru nelegalitate şi netemeinicie.</w:t>
      </w:r>
    </w:p>
    <w:p w:rsidR="00190797" w14:paraId="6D756468" w14:textId="77777777">
      <w:pPr>
        <w:jc w:val="both"/>
        <w:rPr>
          <w:rStyle w:val="Fontdeparagrafimplicit"/>
          <w:rFonts w:ascii="Garamond" w:hAnsi="Garamond"/>
        </w:rPr>
      </w:pPr>
      <w:r>
        <w:rPr>
          <w:rStyle w:val="Fontdeparagrafimplicit"/>
          <w:rFonts w:ascii="Garamond" w:hAnsi="Garamond"/>
        </w:rPr>
        <w:tab/>
        <w:t xml:space="preserve">În motivarea recursului, pârâta a  invocat  următoarele: </w:t>
      </w:r>
    </w:p>
    <w:p w:rsidR="00190797" w14:paraId="4B99ED48" w14:textId="77777777">
      <w:pPr>
        <w:jc w:val="both"/>
        <w:rPr>
          <w:rStyle w:val="Fontdeparagrafimplicit"/>
          <w:rFonts w:ascii="Garamond" w:hAnsi="Garamond"/>
        </w:rPr>
      </w:pPr>
      <w:r>
        <w:rPr>
          <w:rStyle w:val="Fontdeparagrafimplicit"/>
          <w:rFonts w:ascii="Garamond" w:hAnsi="Garamond"/>
        </w:rPr>
        <w:t xml:space="preserve">            Reţinerea greşită a faptului că OUG nr. 50/2008 este contrară dispoziţiilor art. 110 din TFUE, pe motiv că taxa este destinată să diminueze introducerea în România a unor autoturisme second-hand deja înmatriculate în alt stat membru UE, favorizând producţia internă. Astfel, CJUE a considerat că prevederile art.,110 alin.1 din TFUE vizează garantarea  neutralităţii depline a impozitelor interne faţă de produsele care se află deja pe piaţa internă şi cele de import şi că în aceste condiţii reclamantul trebuia să dovedească că taxa de poluare aplicată în România  este superioară taxei din satul din care acesta a procurat  autoturismul, pentru care s-a plătit o taxă inferioară. Astfel, nu este incompatibil cu dreptul comunitar  un impozit impus autoturismelor second hand importate dintr-un stat membru UE,  cu prilejul primei înmatriculări în România, dacă aceasta se percepe doar o singură dată  la data primei înmatriculări în România  pentru toate autoturismele.</w:t>
      </w:r>
    </w:p>
    <w:p w:rsidR="00190797" w14:paraId="6B30B49A" w14:textId="6B1D03C7">
      <w:pPr>
        <w:ind w:firstLine="708"/>
        <w:jc w:val="both"/>
        <w:rPr>
          <w:rStyle w:val="Fontdeparagrafimplicit"/>
          <w:rFonts w:ascii="Garamond" w:hAnsi="Garamond"/>
        </w:rPr>
      </w:pPr>
      <w:r>
        <w:rPr>
          <w:rStyle w:val="Fontdeparagrafimplicit"/>
          <w:rFonts w:ascii="Garamond" w:hAnsi="Garamond"/>
        </w:rPr>
        <w:t xml:space="preserve">De asemenea, recurenta a susţinut că, după intrarea în vigoare a Tratatului de la Lisabona, s-a adoptat OUG 117/2009 şi în consecinţă, Comisia pentru petiţii din cadrul Parlamentului European, prin răspunsul la petiţia nr. 1717/2008, adresată de </w:t>
      </w:r>
      <w:r w:rsidR="00A97AC2">
        <w:rPr>
          <w:rStyle w:val="Fontdeparagrafimplicit"/>
          <w:rFonts w:ascii="Garamond" w:hAnsi="Garamond"/>
        </w:rPr>
        <w:t>...X...</w:t>
      </w:r>
      <w:r>
        <w:rPr>
          <w:rStyle w:val="Fontdeparagrafimplicit"/>
          <w:rFonts w:ascii="Garamond" w:hAnsi="Garamond"/>
        </w:rPr>
        <w:t>, a constatat că prin adoptarea acestui act normativ, legislaţia României în materia taxei de poluare este conformă cu dreptul comunitar. Prin urmare, nu se mai poate dispune restituirea taxei.</w:t>
      </w:r>
    </w:p>
    <w:p w:rsidR="00190797" w14:paraId="468D62CB" w14:textId="77777777">
      <w:pPr>
        <w:ind w:firstLine="708"/>
        <w:jc w:val="both"/>
        <w:rPr>
          <w:rStyle w:val="Fontdeparagrafimplicit"/>
          <w:rFonts w:ascii="Garamond" w:hAnsi="Garamond"/>
        </w:rPr>
      </w:pPr>
      <w:r>
        <w:rPr>
          <w:rStyle w:val="Fontdeparagrafimplicit"/>
          <w:rFonts w:ascii="Garamond" w:hAnsi="Garamond"/>
        </w:rPr>
        <w:t>Recurenta a solicitat admiterea recursului, modificarea sentinţei şi respingerea acţiunii.</w:t>
      </w:r>
    </w:p>
    <w:p w:rsidR="00190797" w14:paraId="3913E07C" w14:textId="77777777">
      <w:pPr>
        <w:ind w:firstLine="708"/>
        <w:jc w:val="both"/>
        <w:rPr>
          <w:rStyle w:val="Fontdeparagrafimplicit"/>
          <w:rFonts w:ascii="Garamond" w:hAnsi="Garamond"/>
        </w:rPr>
      </w:pPr>
      <w:r>
        <w:rPr>
          <w:rStyle w:val="Fontdeparagrafimplicit"/>
          <w:rFonts w:ascii="Garamond" w:hAnsi="Garamond"/>
        </w:rPr>
        <w:t>S-a solicitat judecarea cauzei în lipsă, conform art. 242 C.Pr.Civ.</w:t>
      </w:r>
    </w:p>
    <w:p w:rsidR="00190797" w14:paraId="4A97CD9D" w14:textId="77777777">
      <w:pPr>
        <w:ind w:firstLine="708"/>
        <w:jc w:val="both"/>
        <w:rPr>
          <w:rStyle w:val="Fontdeparagrafimplicit"/>
          <w:rFonts w:ascii="Garamond" w:hAnsi="Garamond"/>
        </w:rPr>
      </w:pPr>
      <w:r>
        <w:rPr>
          <w:rStyle w:val="Fontdeparagrafimplicit"/>
          <w:rFonts w:ascii="Garamond" w:hAnsi="Garamond"/>
        </w:rPr>
        <w:t xml:space="preserve">Intimatul reclamant a depus concluzii scrise. </w:t>
      </w:r>
    </w:p>
    <w:p w:rsidR="00190797" w14:paraId="3CB7CE56" w14:textId="77777777">
      <w:pPr>
        <w:ind w:firstLine="708"/>
        <w:jc w:val="both"/>
        <w:rPr>
          <w:rStyle w:val="Fontdeparagrafimplicit"/>
          <w:rFonts w:ascii="Garamond" w:hAnsi="Garamond"/>
          <w:b/>
          <w:i/>
        </w:rPr>
      </w:pPr>
      <w:r>
        <w:rPr>
          <w:rStyle w:val="Fontdeparagrafimplicit"/>
          <w:rFonts w:ascii="Garamond" w:hAnsi="Garamond"/>
          <w:b/>
          <w:i/>
        </w:rPr>
        <w:t>Recursul este  nefondat  si se va  respinge  pentru următoarele considerente:</w:t>
      </w:r>
    </w:p>
    <w:p w:rsidR="00190797" w14:paraId="72738BF6" w14:textId="77777777">
      <w:pPr>
        <w:ind w:firstLine="708"/>
        <w:jc w:val="both"/>
        <w:rPr>
          <w:rStyle w:val="Fontdeparagrafimplicit"/>
          <w:rFonts w:ascii="Garamond" w:hAnsi="Garamond"/>
        </w:rPr>
      </w:pPr>
      <w:r>
        <w:rPr>
          <w:rStyle w:val="Fontdeparagrafimplicit"/>
          <w:rFonts w:ascii="Garamond" w:hAnsi="Garamond"/>
        </w:rPr>
        <w:t>Reclamantul a cumpărat un autoturism second-hand, înmatriculat pentru prima dată într-un stat membru al UE, iar pentru înmatricularea acestuia în România a achitat o taxă de poluare, înmatricularea autoturismului făcându-se doar în condiţiile achitării acestei obligaţii.</w:t>
      </w:r>
    </w:p>
    <w:p w:rsidR="00190797" w14:paraId="55CD4A96" w14:textId="77777777">
      <w:pPr>
        <w:ind w:firstLine="708"/>
        <w:jc w:val="both"/>
        <w:rPr>
          <w:rStyle w:val="Fontdeparagrafimplicit"/>
          <w:rFonts w:ascii="Garamond" w:hAnsi="Garamond"/>
        </w:rPr>
      </w:pPr>
      <w:r>
        <w:rPr>
          <w:rStyle w:val="Fontdeparagrafimplicit"/>
          <w:rFonts w:ascii="Garamond" w:hAnsi="Garamond"/>
        </w:rPr>
        <w:t>Reclamantul a solicitat restituirea integrală a taxei,  pârâta  comunicându-i refuzul cu motivarea că taxa este prevăzută de  legea internă.</w:t>
      </w:r>
    </w:p>
    <w:p w:rsidR="00190797" w14:paraId="3FB33DD3" w14:textId="77777777">
      <w:pPr>
        <w:ind w:firstLine="708"/>
        <w:jc w:val="both"/>
        <w:rPr>
          <w:rStyle w:val="Fontdeparagrafimplicit"/>
          <w:rFonts w:ascii="Garamond" w:hAnsi="Garamond"/>
        </w:rPr>
      </w:pPr>
      <w:r>
        <w:rPr>
          <w:rStyle w:val="Fontdeparagrafimplicit"/>
          <w:rFonts w:ascii="Garamond" w:hAnsi="Garamond"/>
        </w:rPr>
        <w:t xml:space="preserve"> Compatibilitatea O.U.G. nr. 50/2008 cu prevederile comunitare incidente a fost analizată de instanţa de fond.</w:t>
      </w:r>
    </w:p>
    <w:p w:rsidR="00190797" w14:paraId="5A579F9E" w14:textId="77777777">
      <w:pPr>
        <w:ind w:firstLine="708"/>
        <w:jc w:val="both"/>
        <w:rPr>
          <w:rStyle w:val="Fontdeparagrafimplicit"/>
          <w:rFonts w:ascii="Garamond" w:hAnsi="Garamond"/>
        </w:rPr>
      </w:pPr>
      <w:r>
        <w:rPr>
          <w:rStyle w:val="Fontdeparagrafimplicit"/>
          <w:rFonts w:ascii="Garamond" w:hAnsi="Garamond"/>
        </w:rPr>
        <w:t>Conform jurisprudenţei Curţii Europene de Justiţie, noţiunea de taxă cu echivalent constă în orice taxă pecuniară impusă unilateral asupra mărfurilor în temeiul faptului că trec frontiera, oricare ar fi denumirea şi modul de aplicare al acesteia, iar un sistem de taxare care să fie considerat compatibil cu art. 90 din Tratatul Comunităţii Europene, trebuie să excludă orice posibilitate ca produsele importate să fie supuse unor taxe mai mari decât produsele similare, naţionale şi să nu producă în nici un caz efecte discriminatorii.</w:t>
      </w:r>
    </w:p>
    <w:p w:rsidR="00190797" w14:paraId="6E9353AD" w14:textId="77777777">
      <w:pPr>
        <w:ind w:firstLine="708"/>
        <w:jc w:val="both"/>
        <w:rPr>
          <w:rStyle w:val="Fontdeparagrafimplicit"/>
          <w:rFonts w:ascii="Garamond" w:hAnsi="Garamond"/>
        </w:rPr>
      </w:pPr>
      <w:r>
        <w:rPr>
          <w:rStyle w:val="Fontdeparagrafimplicit"/>
          <w:rFonts w:ascii="Garamond" w:hAnsi="Garamond"/>
        </w:rPr>
        <w:t>Textul art. 90 din Tratatul C.E se referă la produsele provenind din alte state membre şi supuse unor impozite interne, de orice natură, superioare celor care se aplică direct sau indirect produselor naţionale similare, or Statul Român nu percepe taxa de poluare produselor naţionale similare, respectiv pentru autovehiculele deja înmatriculate în România (second-hand) cu ocazia vânzărilor ulterioare.</w:t>
      </w:r>
    </w:p>
    <w:p w:rsidR="00190797" w14:paraId="24FE078A" w14:textId="77777777">
      <w:pPr>
        <w:ind w:firstLine="708"/>
        <w:jc w:val="both"/>
        <w:rPr>
          <w:rStyle w:val="Fontdeparagrafimplicit"/>
          <w:rFonts w:ascii="Garamond" w:hAnsi="Garamond"/>
        </w:rPr>
      </w:pPr>
      <w:r>
        <w:rPr>
          <w:rStyle w:val="Fontdeparagrafimplicit"/>
          <w:rFonts w:ascii="Garamond" w:hAnsi="Garamond"/>
        </w:rPr>
        <w:t>La data de 7 aprilie 2011, Curtea de Justiţie a Uniunii Europene a pronunţat o hotărâre preliminară în cauza Ioan Tatu c. Statul Român prin Ministerul Economiei şi Finanţelor, Direcţia Generală a Finanţelor Publice Sibiu, Administraţia Finanţelor Publice Sibiu, Administraţia Fondului pentru Mediu şi Ministerul Mediului, afacerea C-402/09, ca urmare a cererii de pronunţare a unei hotărâri preliminare formulate de Tribunalul Sibiu la 18 iunie 2009.</w:t>
      </w:r>
    </w:p>
    <w:p w:rsidR="00190797" w14:paraId="4073FDFE" w14:textId="77777777">
      <w:pPr>
        <w:ind w:firstLine="708"/>
        <w:jc w:val="both"/>
        <w:rPr>
          <w:rStyle w:val="Fontdeparagrafimplicit"/>
          <w:rFonts w:ascii="Garamond" w:hAnsi="Garamond"/>
        </w:rPr>
      </w:pPr>
      <w:r>
        <w:rPr>
          <w:rStyle w:val="Fontdeparagrafimplicit"/>
          <w:rFonts w:ascii="Garamond" w:hAnsi="Garamond"/>
        </w:rPr>
        <w:t xml:space="preserve">Instanţa europeană a înţeles să interpreteze întrebarea Tribunalului Sibiu în sensul că aceasta viza conformitatea O.U.G. nr. 50/2008 în forma iniţială cu fostul art. 90 CE, actualul art. 110 TFUE, ţinând cont de faptul că în litigiul principal domnul Tatu achitase taxa de poluare la data de 27 octombrie 2008. Interpretarea instanţei europene priveşte compatibilitatea cu art. 110 TFUE a taxei de poluare percepute în temeiul O.U.G. nr. 50/2008 în forma sa iniţială, aplicabilă în perioada 1 iulie 2008 - 14 decembrie 2008. </w:t>
      </w:r>
    </w:p>
    <w:p w:rsidR="00190797" w14:paraId="3CE3D057" w14:textId="77777777">
      <w:pPr>
        <w:ind w:firstLine="708"/>
        <w:jc w:val="both"/>
        <w:rPr>
          <w:rStyle w:val="Fontdeparagrafimplicit"/>
          <w:rFonts w:ascii="Garamond" w:hAnsi="Garamond"/>
        </w:rPr>
      </w:pPr>
      <w:r>
        <w:rPr>
          <w:rStyle w:val="Fontdeparagrafimplicit"/>
          <w:rFonts w:ascii="Garamond" w:hAnsi="Garamond"/>
        </w:rPr>
        <w:t>Curtea de Justiţie a Uniunii Europene în cauza C-402/09 Tatu contra României, a decis că „articolul 110 TFUE trebuie interpretat în sensul că se opune ca un stat membru să instituie o taxă pe poluare aplicată autovehiculelor cu ocazia primei lor înmatriculări în acest stat membru, dacă regimul acestei măsuri fiscale este astfel stabilit încât descurajează punerea în circulaţie, în statul membru menţionat, a unor vehicule de ocazie cumpărate în alte state membre, fără însă a descuraja cumpărarea unor vehicule de ocazie având aceeaşi vechime şi aceeaşi uzură de pe piaţa naţională”.</w:t>
      </w:r>
    </w:p>
    <w:p w:rsidR="00190797" w14:paraId="0ABC75FF" w14:textId="77777777">
      <w:pPr>
        <w:ind w:firstLine="708"/>
        <w:jc w:val="both"/>
        <w:rPr>
          <w:rStyle w:val="Fontdeparagrafimplicit"/>
          <w:rFonts w:ascii="Garamond" w:hAnsi="Garamond"/>
        </w:rPr>
      </w:pPr>
      <w:r>
        <w:rPr>
          <w:rStyle w:val="Fontdeparagrafimplicit"/>
          <w:rFonts w:ascii="Garamond" w:hAnsi="Garamond"/>
        </w:rPr>
        <w:t>La data de 07 iulie 2011, Curtea de Justiţie a Uniunii Europene s-a pronunţat în Cauza C-263/10, cauza Nisipeanu, asupra interpretării art. 110 din Tratatul privind Funcţionarea Uniunii Europene (TFUE) pornind de la mai multe întrebări adresate Curţii de Tribunalul Gorj sesizat cu o cerere de restituire a taxei pe poluare în care reclamantul a invocat că taxa în cauză este incompatibilă cu articolul 110 TFUE.</w:t>
      </w:r>
    </w:p>
    <w:p w:rsidR="00190797" w14:paraId="7B0769AF" w14:textId="77777777">
      <w:pPr>
        <w:ind w:firstLine="708"/>
        <w:jc w:val="both"/>
        <w:rPr>
          <w:rStyle w:val="Fontdeparagrafimplicit"/>
          <w:rFonts w:ascii="Garamond" w:hAnsi="Garamond"/>
        </w:rPr>
      </w:pPr>
      <w:r>
        <w:rPr>
          <w:rStyle w:val="Fontdeparagrafimplicit"/>
          <w:rFonts w:ascii="Garamond" w:hAnsi="Garamond"/>
        </w:rPr>
        <w:t>Prin această hotărâre, Curtea a reluat considerentele expuse în hotărârea în cauza C-402/09 Tatu, considerând că modificările succesive aduse O.U.G. nr. 50/2008 prin O.U.G. nr. 208/2008, O.U.G. nr. 218/2008, O.U.G. nr. 7/2009 şi O.U.G. nr. 117/2009 menţin un regim de impozitare care descurajează înmatricularea în România a unor autovehicule de ocazie cumpărate din alte state membre şi care se caracterizează printr-o uzură şi o vechime importante, în timp ce vehiculele similare puse în vânzare pe piaţa naţională a vehiculelor de ocazie nu sunt în niciun fel grevate de o astfel de sarcină fiscală, condiţii în care reglementarea menţionată are ca efect descurajarea importării şi punerii în circulaţie în România a unor autovehicule de ocazie cumpărate din alte state membre.</w:t>
      </w:r>
    </w:p>
    <w:p w:rsidR="00190797" w14:paraId="666E6BAA" w14:textId="77777777">
      <w:pPr>
        <w:ind w:firstLine="708"/>
        <w:jc w:val="both"/>
        <w:rPr>
          <w:rStyle w:val="Fontdeparagrafimplicit"/>
          <w:rFonts w:ascii="Garamond" w:hAnsi="Garamond"/>
        </w:rPr>
      </w:pPr>
      <w:r>
        <w:rPr>
          <w:rStyle w:val="Fontdeparagrafimplicit"/>
          <w:rFonts w:ascii="Garamond" w:hAnsi="Garamond"/>
        </w:rPr>
        <w:t>În opinia Curţii, competenţa statelor membre de a stabili noi taxe nu este nelimitată, interdicţia de a aplica impozite mai mari produselor provenind din alte state membre în raport cu taxele aplicate produselor naţionale, prevăzută de art. 110 TFUE, trebuie să se aplice de fiecare dată când taxa respectivă este de natură să descurajeze importul de bunuri provenite din alte state membre, favorizând producţia naţională.</w:t>
      </w:r>
    </w:p>
    <w:p w:rsidR="00190797" w14:paraId="352533CC" w14:textId="77777777">
      <w:pPr>
        <w:ind w:firstLine="708"/>
        <w:jc w:val="both"/>
        <w:rPr>
          <w:rStyle w:val="Fontdeparagrafimplicit"/>
          <w:rFonts w:ascii="Garamond" w:hAnsi="Garamond"/>
        </w:rPr>
      </w:pPr>
      <w:r>
        <w:rPr>
          <w:rStyle w:val="Fontdeparagrafimplicit"/>
          <w:rFonts w:ascii="Garamond" w:hAnsi="Garamond"/>
        </w:rPr>
        <w:t xml:space="preserve">Curtea a apreciat că </w:t>
      </w:r>
      <w:r>
        <w:rPr>
          <w:rStyle w:val="Fontdeparagrafimplicit"/>
          <w:rFonts w:ascii="Garamond" w:hAnsi="Garamond"/>
          <w:i/>
        </w:rPr>
        <w:t>toate versiunile de modificare a O.U.G. 50/2008</w:t>
      </w:r>
      <w:r>
        <w:rPr>
          <w:rStyle w:val="Fontdeparagrafimplicit"/>
          <w:rFonts w:ascii="Garamond" w:hAnsi="Garamond"/>
        </w:rPr>
        <w:t xml:space="preserve"> menţin un regim de impozitare care descurajează înmatricularea în România a unor autovehicule de ocazie cumpărate din alte state membre, similare cu cele puse în vânzare pe piaţa naţională a vehiculelor de ocazie.</w:t>
      </w:r>
    </w:p>
    <w:p w:rsidR="00190797" w14:paraId="6F40E72F" w14:textId="77777777">
      <w:pPr>
        <w:ind w:firstLine="708"/>
        <w:jc w:val="both"/>
        <w:rPr>
          <w:rStyle w:val="Fontdeparagrafimplicit"/>
          <w:rFonts w:ascii="Garamond" w:hAnsi="Garamond"/>
        </w:rPr>
      </w:pPr>
      <w:r>
        <w:rPr>
          <w:rStyle w:val="Fontdeparagrafimplicit"/>
          <w:rFonts w:ascii="Garamond" w:hAnsi="Garamond"/>
        </w:rPr>
        <w:t>Curtea a reamintit că obiectivul protecţiei mediului ar putea fi realizat, fără favorizarea produselor naţionale, prin stabilirea unei taxe anuale, aplicabilă oricărui vehicul pus în circulaţie în România.</w:t>
      </w:r>
    </w:p>
    <w:p w:rsidR="00190797" w14:paraId="27F1DA41" w14:textId="77777777">
      <w:pPr>
        <w:ind w:firstLine="708"/>
        <w:jc w:val="both"/>
        <w:rPr>
          <w:rStyle w:val="Fontdeparagrafimplicit"/>
          <w:rFonts w:ascii="Garamond" w:hAnsi="Garamond"/>
        </w:rPr>
      </w:pPr>
      <w:r>
        <w:rPr>
          <w:rStyle w:val="Fontdeparagrafimplicit"/>
          <w:rFonts w:ascii="Garamond" w:hAnsi="Garamond"/>
        </w:rPr>
        <w:t>Astfel, Curtea a decis că art. 110 TFUE trebuie interpretat în sensul că impunerea unei taxe fiscale (taxa de poluare) doar autovehiculelor înmatriculate pentru prima dată în România după intrarea în vigoare a O.U.G. nr. 50/2008, deşi nediscriminatorie, creează un efect protecţionist pe piaţă, descurajând importul de maşini de ocazie fără a descuraja în egală măsură şi cumpărarea de maşini de ocazie existente pe piaţa naţională anterior O.U.G. nr. 50/2008.</w:t>
      </w:r>
    </w:p>
    <w:p w:rsidR="00190797" w14:paraId="044EC3E9" w14:textId="77777777">
      <w:pPr>
        <w:ind w:firstLine="708"/>
        <w:jc w:val="both"/>
        <w:rPr>
          <w:rStyle w:val="Fontdeparagrafimplicit"/>
          <w:rFonts w:ascii="Garamond" w:hAnsi="Garamond"/>
        </w:rPr>
      </w:pPr>
      <w:r>
        <w:rPr>
          <w:rStyle w:val="Fontdeparagrafimplicit"/>
          <w:rFonts w:ascii="Garamond" w:hAnsi="Garamond"/>
        </w:rPr>
        <w:t>Dispoziţiile din dreptul comunitar au prioritate faţă de dreptul naţional, potrivit art. 148 alin. 2 din Constituţia României, care statuează că prevederile tratatelor constituţionale ale U.E. au prioritate faţă de dispoziţiile contrare din legile interne, iar alin. 4 al aceluiaşi articol prevede că între alte instituţii, autoritatea judecătorească garantează aducerea la îndeplinire a obligaţiilor rezultate din alin. 2, prin Legea nr. 157/2005 de ratificare a Tratatului de aderare a României şi Bulgariei la U.E., statul nostru asumându-şi obligaţia de a respecta dispoziţiile din tratatele originare ale Comunităţii Europene dinainte de aderare.</w:t>
      </w:r>
    </w:p>
    <w:p w:rsidR="00190797" w14:paraId="5CBE8262" w14:textId="77777777">
      <w:pPr>
        <w:ind w:firstLine="708"/>
        <w:jc w:val="both"/>
        <w:rPr>
          <w:rStyle w:val="Fontdeparagrafimplicit"/>
          <w:rFonts w:ascii="Garamond" w:hAnsi="Garamond"/>
        </w:rPr>
      </w:pPr>
      <w:r>
        <w:rPr>
          <w:rStyle w:val="Fontdeparagrafimplicit"/>
          <w:rFonts w:ascii="Garamond" w:hAnsi="Garamond"/>
        </w:rPr>
        <w:t>Cum dispoziţiile din legea internă sunt contrare dispoziţiilor din legislaţia comunitară, în mod corect prima instanţă, prin sentinţa recurată, a dispus restituirea către reclamant a taxei de poluare.</w:t>
      </w:r>
    </w:p>
    <w:p w:rsidR="00190797" w14:paraId="139CC10C" w14:textId="77777777">
      <w:pPr>
        <w:ind w:firstLine="708"/>
        <w:jc w:val="both"/>
        <w:rPr>
          <w:rStyle w:val="Fontdeparagrafimplicit"/>
          <w:rFonts w:ascii="Garamond" w:hAnsi="Garamond"/>
        </w:rPr>
      </w:pPr>
      <w:r>
        <w:rPr>
          <w:rStyle w:val="Fontdeparagrafimplicit"/>
          <w:rFonts w:ascii="Garamond" w:hAnsi="Garamond"/>
        </w:rPr>
        <w:t xml:space="preserve">Instanţa de fond a dat o corectă şi justă aplicare prevederilor art. 148 din Constituţia României, în sensul că autoritatea judecătorească garantează aducerea la îndeplinire a obligaţiilor rezultate din actul aderării, aşa încât judecătorul naţional trebuie să aplice, în caz de conflict între norma naţională şi norma comunitară, dreptul comunitar. </w:t>
      </w:r>
    </w:p>
    <w:p w:rsidR="00190797" w14:paraId="7FA69BDC" w14:textId="77777777">
      <w:pPr>
        <w:ind w:firstLine="708"/>
        <w:jc w:val="both"/>
        <w:rPr>
          <w:rStyle w:val="Fontdeparagrafimplicit"/>
          <w:rFonts w:ascii="Garamond" w:hAnsi="Garamond"/>
        </w:rPr>
      </w:pPr>
      <w:r>
        <w:rPr>
          <w:rStyle w:val="Fontdeparagrafimplicit"/>
          <w:rFonts w:ascii="Garamond" w:hAnsi="Garamond"/>
        </w:rPr>
        <w:t>Pentru a respecta efectele deciziei pronunţate de C.J.U.E., prevederile O.U.G. nr. 50/2008 fiind contrare dreptului U.E. şi fiind întrunite condiţiile art. 117 lit. d din O.G. nr. 92/2003, Curtea apreciază că sunt neîntemeiate criticile referitoare la inadmisibilitatea acţiunii şi la conformitatea taxei cu dreptul comunitar.</w:t>
      </w:r>
    </w:p>
    <w:p w:rsidR="00190797" w14:paraId="35B63119" w14:textId="77777777">
      <w:pPr>
        <w:ind w:firstLine="708"/>
        <w:rPr>
          <w:rStyle w:val="Fontdeparagrafimplicit"/>
          <w:rFonts w:ascii="Garamond" w:hAnsi="Garamond"/>
          <w:sz w:val="16"/>
        </w:rPr>
      </w:pPr>
      <w:r>
        <w:rPr>
          <w:rStyle w:val="Fontdeparagrafimplicit"/>
          <w:rFonts w:ascii="Garamond" w:hAnsi="Garamond"/>
        </w:rPr>
        <w:t>Faţă de considerentele expuse şi potrivit dispoziţiilor art. 304</w:t>
      </w:r>
      <w:r>
        <w:rPr>
          <w:rStyle w:val="Fontdeparagrafimplicit"/>
          <w:rFonts w:ascii="Garamond" w:hAnsi="Garamond"/>
          <w:vertAlign w:val="superscript"/>
        </w:rPr>
        <w:t>1</w:t>
      </w:r>
      <w:r>
        <w:rPr>
          <w:rStyle w:val="Fontdeparagrafimplicit"/>
          <w:rFonts w:ascii="Garamond" w:hAnsi="Garamond"/>
        </w:rPr>
        <w:t xml:space="preserve"> şi art. 312 C. proc. civ., Curtea va respinge recursul  ca nefondat.</w:t>
      </w:r>
    </w:p>
    <w:p w:rsidR="00190797" w14:paraId="29864E65" w14:textId="77777777">
      <w:pPr>
        <w:rPr>
          <w:rStyle w:val="Fontdeparagrafimplicit"/>
          <w:rFonts w:ascii="Garamond" w:hAnsi="Garamond"/>
        </w:rPr>
      </w:pPr>
    </w:p>
    <w:p w:rsidR="00190797" w14:paraId="207A4904" w14:textId="77777777">
      <w:pPr>
        <w:rPr>
          <w:rStyle w:val="Fontdeparagrafimplicit"/>
          <w:rFonts w:ascii="Garamond" w:hAnsi="Garamond"/>
        </w:rPr>
      </w:pPr>
    </w:p>
    <w:p w:rsidR="00190797" w14:paraId="0E4FED81" w14:textId="77777777">
      <w:pPr>
        <w:jc w:val="center"/>
        <w:rPr>
          <w:rStyle w:val="Fontdeparagrafimplicit"/>
          <w:rFonts w:ascii="Garamond" w:hAnsi="Garamond"/>
          <w:sz w:val="26"/>
        </w:rPr>
      </w:pPr>
      <w:r>
        <w:rPr>
          <w:rStyle w:val="Fontdeparagrafimplicit"/>
          <w:rFonts w:ascii="Garamond" w:hAnsi="Garamond"/>
          <w:sz w:val="26"/>
        </w:rPr>
        <w:t>PENTRU ACESTE MOTIVE,</w:t>
      </w:r>
      <w:r>
        <w:rPr>
          <w:rStyle w:val="Fontdeparagrafimplicit"/>
          <w:rFonts w:ascii="Garamond" w:hAnsi="Garamond"/>
          <w:sz w:val="26"/>
        </w:rPr>
        <w:br/>
        <w:t>ÎN NUMELE LEGII</w:t>
      </w:r>
    </w:p>
    <w:p w:rsidR="00190797" w14:paraId="2B57398B" w14:textId="77777777">
      <w:pPr>
        <w:jc w:val="center"/>
        <w:rPr>
          <w:rStyle w:val="Fontdeparagrafimplicit"/>
          <w:rFonts w:ascii="Garamond" w:hAnsi="Garamond"/>
        </w:rPr>
      </w:pPr>
      <w:r>
        <w:rPr>
          <w:rStyle w:val="Fontdeparagrafimplicit"/>
          <w:rFonts w:ascii="Garamond" w:hAnsi="Garamond"/>
        </w:rPr>
        <w:t>DECIDE:</w:t>
      </w:r>
    </w:p>
    <w:p w:rsidR="00190797" w14:paraId="4C474E81" w14:textId="77777777">
      <w:pPr>
        <w:rPr>
          <w:rStyle w:val="Fontdeparagrafimplicit"/>
          <w:rFonts w:ascii="Garamond" w:hAnsi="Garamond"/>
        </w:rPr>
      </w:pPr>
    </w:p>
    <w:p w:rsidR="00190797" w14:paraId="669B8FDD" w14:textId="160D0489">
      <w:pPr>
        <w:jc w:val="both"/>
        <w:rPr>
          <w:rStyle w:val="Fontdeparagrafimplicit"/>
          <w:rFonts w:ascii="Garamond" w:hAnsi="Garamond"/>
        </w:rPr>
      </w:pPr>
      <w:r>
        <w:rPr>
          <w:rStyle w:val="Fontdeparagrafimplicit"/>
          <w:rFonts w:ascii="Garamond" w:hAnsi="Garamond"/>
        </w:rPr>
        <w:tab/>
        <w:t xml:space="preserve">Respinge ca nefondat recursul declarat de pârâta DIRECŢIA GENERALĂ A FINANŢELOR PUBLICE </w:t>
      </w:r>
      <w:r w:rsidR="00862EBF">
        <w:rPr>
          <w:rStyle w:val="Fontdeparagrafimplicit"/>
          <w:rFonts w:ascii="Garamond" w:hAnsi="Garamond"/>
        </w:rPr>
        <w:t>...A...</w:t>
      </w:r>
      <w:r>
        <w:rPr>
          <w:rStyle w:val="Fontdeparagrafimplicit"/>
          <w:rFonts w:ascii="Garamond" w:hAnsi="Garamond"/>
        </w:rPr>
        <w:t xml:space="preserve"> ÎN NUMELE ADMINISTRATIEI FINANTELOR PUBLICE </w:t>
      </w:r>
      <w:r w:rsidR="00862EBF">
        <w:rPr>
          <w:rStyle w:val="Fontdeparagrafimplicit"/>
          <w:rFonts w:ascii="Garamond" w:hAnsi="Garamond"/>
        </w:rPr>
        <w:t>...B...</w:t>
      </w:r>
      <w:r>
        <w:rPr>
          <w:rStyle w:val="Fontdeparagrafimplicit"/>
          <w:rFonts w:ascii="Garamond" w:hAnsi="Garamond"/>
        </w:rPr>
        <w:t xml:space="preserve">, împotriva sentinţei nr. </w:t>
      </w:r>
      <w:r w:rsidR="00862EBF">
        <w:rPr>
          <w:rStyle w:val="Fontdeparagrafimplicit"/>
          <w:rFonts w:ascii="Garamond" w:hAnsi="Garamond"/>
        </w:rPr>
        <w:t>...../...............</w:t>
      </w:r>
      <w:r>
        <w:rPr>
          <w:rStyle w:val="Fontdeparagrafimplicit"/>
          <w:rFonts w:ascii="Garamond" w:hAnsi="Garamond"/>
        </w:rPr>
        <w:t xml:space="preserve">, pronunţată de Tribunalul </w:t>
      </w:r>
      <w:r w:rsidR="00862EBF">
        <w:rPr>
          <w:rStyle w:val="Fontdeparagrafimplicit"/>
          <w:rFonts w:ascii="Garamond" w:hAnsi="Garamond"/>
        </w:rPr>
        <w:t>...A...</w:t>
      </w:r>
      <w:r>
        <w:rPr>
          <w:rStyle w:val="Fontdeparagrafimplicit"/>
          <w:rFonts w:ascii="Garamond" w:hAnsi="Garamond"/>
        </w:rPr>
        <w:t xml:space="preserve">, în dosar nr. </w:t>
      </w:r>
      <w:r w:rsidR="00862EBF">
        <w:rPr>
          <w:rStyle w:val="Fontdeparagrafimplicit"/>
          <w:rFonts w:ascii="Garamond" w:hAnsi="Garamond"/>
        </w:rPr>
        <w:t>...../..../2012</w:t>
      </w:r>
      <w:r>
        <w:rPr>
          <w:rStyle w:val="Fontdeparagrafimplicit"/>
          <w:rFonts w:ascii="Garamond" w:hAnsi="Garamond"/>
        </w:rPr>
        <w:t xml:space="preserve">, în contradictoriu cu intimatul reclamant </w:t>
      </w:r>
      <w:r w:rsidR="00862EBF">
        <w:rPr>
          <w:rStyle w:val="Fontdeparagrafimplicit"/>
          <w:rFonts w:ascii="Garamond" w:hAnsi="Garamond"/>
        </w:rPr>
        <w:t>...Y...</w:t>
      </w:r>
      <w:r>
        <w:rPr>
          <w:rStyle w:val="Fontdeparagrafimplicit"/>
          <w:rFonts w:ascii="Garamond" w:hAnsi="Garamond"/>
        </w:rPr>
        <w:t xml:space="preserve"> şi intimata pârâtă ADMINISTRAŢIA FONDULUI PENTRU MEDIU </w:t>
      </w:r>
      <w:r w:rsidR="00862EBF">
        <w:rPr>
          <w:rStyle w:val="Fontdeparagrafimplicit"/>
          <w:rFonts w:ascii="Garamond" w:hAnsi="Garamond"/>
        </w:rPr>
        <w:t>...C...</w:t>
      </w:r>
      <w:r>
        <w:rPr>
          <w:rStyle w:val="Fontdeparagrafimplicit"/>
          <w:rFonts w:ascii="Garamond" w:hAnsi="Garamond"/>
        </w:rPr>
        <w:t>.</w:t>
      </w:r>
    </w:p>
    <w:p w:rsidR="00190797" w14:paraId="78EB0BCA" w14:textId="77777777">
      <w:pPr>
        <w:jc w:val="both"/>
        <w:rPr>
          <w:rStyle w:val="Fontdeparagrafimplicit"/>
          <w:rFonts w:ascii="Garamond" w:hAnsi="Garamond"/>
        </w:rPr>
      </w:pPr>
      <w:r>
        <w:rPr>
          <w:rStyle w:val="Fontdeparagrafimplicit"/>
          <w:rFonts w:ascii="Garamond" w:hAnsi="Garamond"/>
        </w:rPr>
        <w:tab/>
        <w:t>Irevocabilă.</w:t>
      </w:r>
    </w:p>
    <w:p w:rsidR="00190797" w14:paraId="6C3043E9" w14:textId="73D233BA">
      <w:pPr>
        <w:ind w:firstLine="708"/>
        <w:rPr>
          <w:rStyle w:val="Fontdeparagrafimplicit"/>
          <w:rFonts w:ascii="Garamond" w:hAnsi="Garamond"/>
        </w:rPr>
      </w:pPr>
      <w:r>
        <w:rPr>
          <w:rStyle w:val="Fontdeparagrafimplicit"/>
          <w:rFonts w:ascii="Garamond" w:hAnsi="Garamond"/>
        </w:rPr>
        <w:t xml:space="preserve">Pronunţată în şedinţa </w:t>
      </w:r>
      <w:r>
        <w:rPr>
          <w:rStyle w:val="Fontdeparagrafimplicit"/>
          <w:rFonts w:ascii="Garamond" w:hAnsi="Garamond"/>
        </w:rPr>
      </w:r>
      <w:bookmarkStart w:name="tip_sedinta_copie_2" w:id="8"/>
      <w:r>
        <w:rPr>
          <w:rStyle w:val="Fontdeparagrafimplicit"/>
          <w:rFonts w:ascii="Garamond" w:hAnsi="Garamond"/>
        </w:rPr>
      </w:r>
      <w:r>
        <w:rPr>
          <w:rStyle w:val="Fontdeparagrafimplicit"/>
          <w:rFonts w:ascii="Garamond" w:hAnsi="Garamond"/>
        </w:rPr>
      </w:r>
      <w:r>
        <w:rPr>
          <w:rStyle w:val="Fontdeparagrafimplicit"/>
          <w:rFonts w:ascii="Garamond" w:hAnsi="Garamond"/>
        </w:rPr>
        <w:t>publică</w:t>
      </w:r>
      <w:r>
        <w:rPr>
          <w:rStyle w:val="Fontdeparagrafimplicit"/>
          <w:rFonts w:ascii="Garamond" w:hAnsi="Garamond"/>
        </w:rPr>
      </w:r>
      <w:bookmarkEnd w:id="8"/>
      <w:r>
        <w:rPr>
          <w:rStyle w:val="Fontdeparagrafimplicit"/>
          <w:rFonts w:ascii="Garamond" w:hAnsi="Garamond"/>
        </w:rPr>
        <w:t xml:space="preserve"> de la </w:t>
      </w:r>
      <w:r w:rsidR="00862EBF">
        <w:rPr>
          <w:rStyle w:val="Fontdeparagrafimplicit"/>
          <w:rFonts w:ascii="Garamond" w:hAnsi="Garamond"/>
        </w:rPr>
        <w:t>...............</w:t>
      </w:r>
      <w:r>
        <w:rPr>
          <w:rStyle w:val="Fontdeparagrafimplicit"/>
          <w:rFonts w:ascii="Garamond" w:hAnsi="Garamond"/>
        </w:rPr>
        <w:t>.</w:t>
      </w:r>
      <w:r>
        <w:rPr>
          <w:rStyle w:val="Fontdeparagrafimplicit"/>
          <w:rFonts w:ascii="Garamond" w:hAnsi="Garamond"/>
        </w:rPr>
      </w:r>
      <w:bookmarkStart w:name="completul_1" w:id="9"/>
      <w:r>
        <w:rPr>
          <w:rStyle w:val="Fontdeparagrafimplicit"/>
          <w:rFonts w:ascii="Garamond" w:hAnsi="Garamond"/>
        </w:rPr>
      </w:r>
      <w:r>
        <w:rPr>
          <w:rStyle w:val="Fontdeparagrafimplicit"/>
          <w:rFonts w:ascii="Garamond" w:hAnsi="Garamond"/>
        </w:rPr>
      </w:r>
    </w:p>
    <w:tbl>
      <w:tblPr>
        <w:tblStyle w:val="Tabel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tblPr>
      <w:tblGrid>
        <w:gridCol w:w="3095"/>
        <w:gridCol w:w="3096"/>
        <w:gridCol w:w="3096"/>
      </w:tblGrid>
      <w:tr w14:paraId="79593081" w14:textId="77777777">
        <w:tblPrEx>
          <w:tblW w:w="0" w:type="auto"/>
          <w:tblLook w:val="04A0"/>
        </w:tblPrEx>
        <w:tc>
          <w:tcPr>
            <w:tcW w:w="3096" w:type="dxa"/>
          </w:tcPr>
          <w:p w:rsidR="00190797" w14:paraId="12AA217B" w14:textId="77777777">
            <w:pPr>
              <w:jc w:val="center"/>
              <w:rPr>
                <w:rStyle w:val="Fontdeparagrafimplicit"/>
                <w:rFonts w:ascii="Garamond" w:hAnsi="Garamond"/>
              </w:rPr>
            </w:pPr>
            <w:r>
              <w:rPr>
                <w:rStyle w:val="Fontdeparagrafimplicit"/>
                <w:rFonts w:ascii="Garamond" w:hAnsi="Garamond"/>
              </w:rPr>
              <w:t>Preşedinte,</w:t>
            </w:r>
          </w:p>
          <w:p w:rsidR="00190797" w14:paraId="23D32B73" w14:textId="253DD27E">
            <w:pPr>
              <w:jc w:val="center"/>
              <w:rPr>
                <w:rStyle w:val="Fontdeparagrafimplicit"/>
                <w:rFonts w:ascii="Garamond" w:hAnsi="Garamond"/>
              </w:rPr>
            </w:pPr>
            <w:r>
              <w:rPr>
                <w:rStyle w:val="Fontdeparagrafimplicit"/>
                <w:rFonts w:ascii="Garamond" w:hAnsi="Garamond"/>
              </w:rPr>
              <w:t>...............</w:t>
            </w:r>
          </w:p>
        </w:tc>
        <w:tc>
          <w:tcPr>
            <w:tcW w:w="3096" w:type="dxa"/>
          </w:tcPr>
          <w:p w:rsidR="00190797" w14:paraId="7736A45B" w14:textId="77777777">
            <w:pPr>
              <w:jc w:val="center"/>
              <w:rPr>
                <w:rStyle w:val="Fontdeparagrafimplicit"/>
                <w:rFonts w:ascii="Garamond" w:hAnsi="Garamond"/>
              </w:rPr>
            </w:pPr>
            <w:r>
              <w:rPr>
                <w:rStyle w:val="Fontdeparagrafimplicit"/>
                <w:rFonts w:ascii="Garamond" w:hAnsi="Garamond"/>
              </w:rPr>
              <w:t>Judecător,</w:t>
            </w:r>
          </w:p>
          <w:p w:rsidR="00190797" w14:paraId="064C1F23" w14:textId="292F3FA6">
            <w:pPr>
              <w:jc w:val="center"/>
              <w:rPr>
                <w:rStyle w:val="Fontdeparagrafimplicit"/>
                <w:rFonts w:ascii="Garamond" w:hAnsi="Garamond"/>
              </w:rPr>
            </w:pPr>
            <w:r>
              <w:rPr>
                <w:rStyle w:val="Fontdeparagrafimplicit"/>
                <w:rFonts w:ascii="Garamond" w:hAnsi="Garamond"/>
              </w:rPr>
              <w:t>...............</w:t>
            </w:r>
          </w:p>
        </w:tc>
        <w:tc>
          <w:tcPr>
            <w:tcW w:w="3096" w:type="dxa"/>
          </w:tcPr>
          <w:p w:rsidR="00190797" w14:paraId="315340BB" w14:textId="77777777">
            <w:pPr>
              <w:jc w:val="center"/>
              <w:rPr>
                <w:rStyle w:val="Fontdeparagrafimplicit"/>
                <w:rFonts w:ascii="Garamond" w:hAnsi="Garamond"/>
              </w:rPr>
            </w:pPr>
            <w:r>
              <w:rPr>
                <w:rStyle w:val="Fontdeparagrafimplicit"/>
                <w:rFonts w:ascii="Garamond" w:hAnsi="Garamond"/>
              </w:rPr>
              <w:t>Judecător,</w:t>
            </w:r>
          </w:p>
          <w:p w:rsidR="00190797" w14:paraId="61E7168E" w14:textId="37688F20">
            <w:pPr>
              <w:jc w:val="center"/>
              <w:rPr>
                <w:rStyle w:val="Fontdeparagrafimplicit"/>
                <w:rFonts w:ascii="Garamond" w:hAnsi="Garamond"/>
              </w:rPr>
            </w:pPr>
            <w:r>
              <w:rPr>
                <w:rStyle w:val="Fontdeparagrafimplicit"/>
                <w:rFonts w:ascii="Garamond" w:hAnsi="Garamond"/>
              </w:rPr>
              <w:t>A0001</w:t>
            </w:r>
          </w:p>
        </w:tc>
      </w:tr>
      <w:tr w14:paraId="20FAB9E2" w14:textId="77777777">
        <w:tblPrEx>
          <w:tblW w:w="0" w:type="auto"/>
          <w:tblLook w:val="04A0"/>
        </w:tblPrEx>
        <w:tc>
          <w:tcPr>
            <w:tcW w:w="3096" w:type="dxa"/>
          </w:tcPr>
          <w:p w:rsidR="00190797" w14:paraId="6DA6CCC8" w14:textId="77777777">
            <w:pPr>
              <w:jc w:val="center"/>
              <w:rPr>
                <w:rStyle w:val="Fontdeparagrafimplicit"/>
                <w:rFonts w:ascii="Garamond" w:hAnsi="Garamond"/>
              </w:rPr>
            </w:pPr>
          </w:p>
        </w:tc>
        <w:tc>
          <w:tcPr>
            <w:tcW w:w="3096" w:type="dxa"/>
          </w:tcPr>
          <w:p w:rsidR="00190797" w14:paraId="330B01AE" w14:textId="77777777">
            <w:pPr>
              <w:jc w:val="center"/>
              <w:rPr>
                <w:rStyle w:val="Fontdeparagrafimplicit"/>
                <w:rFonts w:ascii="Garamond" w:hAnsi="Garamond"/>
              </w:rPr>
            </w:pPr>
            <w:r>
              <w:rPr>
                <w:rStyle w:val="Fontdeparagrafimplicit"/>
                <w:rFonts w:ascii="Garamond" w:hAnsi="Garamond"/>
              </w:rPr>
              <w:t>Grefier,</w:t>
            </w:r>
          </w:p>
          <w:p w:rsidR="00190797" w14:paraId="484C2EC7" w14:textId="2C165C1A">
            <w:pPr>
              <w:jc w:val="center"/>
              <w:rPr>
                <w:rStyle w:val="Fontdeparagrafimplicit"/>
                <w:rFonts w:ascii="Garamond" w:hAnsi="Garamond"/>
              </w:rPr>
            </w:pPr>
            <w:r>
              <w:rPr>
                <w:rStyle w:val="Fontdeparagrafimplicit"/>
                <w:rFonts w:ascii="Garamond" w:hAnsi="Garamond"/>
              </w:rPr>
              <w:t>...............</w:t>
            </w:r>
          </w:p>
        </w:tc>
        <w:tc>
          <w:tcPr>
            <w:tcW w:w="3096" w:type="dxa"/>
          </w:tcPr>
          <w:p w:rsidR="00190797" w14:paraId="2DAB5578" w14:textId="77777777">
            <w:pPr>
              <w:jc w:val="center"/>
              <w:rPr>
                <w:rStyle w:val="Fontdeparagrafimplicit"/>
                <w:rFonts w:ascii="Garamond" w:hAnsi="Garamond"/>
              </w:rPr>
            </w:pPr>
          </w:p>
        </w:tc>
      </w:tr>
    </w:tbl>
    <w:p w:rsidR="00190797" w14:paraId="4DB9CC0C" w14:textId="77777777">
      <w:pPr>
        <w:jc w:val="center"/>
        <w:rPr>
          <w:rStyle w:val="Fontdeparagrafimplicit"/>
          <w:rFonts w:ascii="Garamond" w:hAnsi="Garamond"/>
        </w:rPr>
      </w:pPr>
      <w:r>
        <w:rPr>
          <w:rStyle w:val="Fontdeparagrafimplicit"/>
          <w:rFonts w:ascii="Garamond" w:hAnsi="Garamond"/>
        </w:rPr>
      </w:r>
      <w:bookmarkEnd w:id="9"/>
    </w:p>
    <w:p w:rsidR="00190797" w14:paraId="6BD5C3FF" w14:textId="4AFD3329">
      <w:pPr>
        <w:rPr>
          <w:rStyle w:val="Fontdeparagrafimplicit"/>
          <w:rFonts w:ascii="Garamond" w:hAnsi="Garamond"/>
        </w:rPr>
      </w:pPr>
      <w:r>
        <w:rPr>
          <w:rStyle w:val="Fontdeparagrafimplicit"/>
          <w:rFonts w:ascii="Garamond" w:hAnsi="Garamond"/>
        </w:rPr>
        <w:t xml:space="preserve">Red.Jud. </w:t>
      </w:r>
      <w:r w:rsidR="00A97AC2">
        <w:rPr>
          <w:rStyle w:val="Fontdeparagrafimplicit"/>
          <w:rFonts w:ascii="Garamond" w:hAnsi="Garamond"/>
        </w:rPr>
        <w:t>A0001</w:t>
      </w:r>
    </w:p>
    <w:p w:rsidR="00190797" w14:paraId="02CCED19" w14:textId="5044F63C">
      <w:pPr>
        <w:rPr>
          <w:rStyle w:val="Fontdeparagrafimplicit"/>
          <w:rFonts w:ascii="Garamond" w:hAnsi="Garamond"/>
        </w:rPr>
      </w:pPr>
      <w:r>
        <w:rPr>
          <w:rStyle w:val="Fontdeparagrafimplicit"/>
          <w:rFonts w:ascii="Garamond" w:hAnsi="Garamond"/>
        </w:rPr>
        <w:t xml:space="preserve">Jud.fond </w:t>
      </w:r>
      <w:r w:rsidR="00A97AC2">
        <w:rPr>
          <w:rStyle w:val="Fontdeparagrafimplicit"/>
          <w:rFonts w:ascii="Garamond" w:hAnsi="Garamond"/>
        </w:rPr>
        <w:t>......</w:t>
      </w:r>
      <w:r>
        <w:rPr>
          <w:rStyle w:val="Fontdeparagrafimplicit"/>
          <w:rFonts w:ascii="Garamond" w:hAnsi="Garamond"/>
        </w:rPr>
        <w:t>.</w:t>
      </w:r>
    </w:p>
    <w:p w:rsidR="00190797" w14:paraId="0AB09B72" w14:textId="0EF1EB23">
      <w:pPr>
        <w:rPr>
          <w:rStyle w:val="Fontdeparagrafimplicit"/>
          <w:rFonts w:ascii="Garamond" w:hAnsi="Garamond"/>
          <w:sz w:val="16"/>
        </w:rPr>
      </w:pPr>
      <w:r>
        <w:rPr>
          <w:rStyle w:val="Fontdeparagrafimplicit"/>
          <w:rFonts w:ascii="Garamond" w:hAnsi="Garamond"/>
        </w:rPr>
        <w:t>Thn.Red.</w:t>
      </w:r>
      <w:r w:rsidR="00A97AC2">
        <w:rPr>
          <w:rStyle w:val="Fontdeparagrafimplicit"/>
          <w:rFonts w:ascii="Garamond" w:hAnsi="Garamond"/>
        </w:rPr>
        <w:t>....</w:t>
      </w:r>
      <w:r>
        <w:rPr>
          <w:rStyle w:val="Fontdeparagrafimplicit"/>
          <w:rFonts w:ascii="Garamond" w:hAnsi="Garamond"/>
        </w:rPr>
        <w:t>/2ex./</w:t>
      </w:r>
      <w:r w:rsidR="00A97AC2">
        <w:rPr>
          <w:rStyle w:val="Fontdeparagrafimplicit"/>
          <w:rFonts w:ascii="Garamond" w:hAnsi="Garamond"/>
        </w:rPr>
        <w:t>.............</w:t>
      </w:r>
    </w:p>
    <w:p w:rsidR="00190797" w14:paraId="34482335" w14:textId="77777777">
      <w:pPr>
        <w:rPr>
          <w:rStyle w:val="Fontdeparagrafimplicit"/>
          <w:rFonts w:ascii="Garamond" w:hAnsi="Garamond"/>
          <w:sz w:val="16"/>
        </w:rPr>
      </w:pPr>
    </w:p>
    <w:p w:rsidR="00190797" w14:paraId="4E7B7AF7" w14:textId="77777777">
      <w:pPr>
        <w:jc w:val="center"/>
        <w:rPr>
          <w:rStyle w:val="Fontdeparagrafimplicit"/>
          <w:rFonts w:ascii="Garamond" w:hAnsi="Garamond"/>
        </w:rPr>
      </w:pPr>
    </w:p>
    <w:p w:rsidR="00190797" w14:paraId="722934B3" w14:textId="77777777">
      <w:pPr>
        <w:rPr>
          <w:rStyle w:val="Fontdeparagrafimplicit"/>
        </w:rPr>
      </w:pPr>
    </w:p>
    <w:p w:rsidR="00190797" w14:paraId="31D7ACD1" w14:textId="77777777">
      <w:pPr>
        <w:jc w:val="center"/>
        <w:rPr>
          <w:rStyle w:val="Fontdeparagrafimplicit"/>
        </w:rPr>
      </w:pPr>
    </w:p>
    <w:p w:rsidR="00190797" w14:paraId="3A0D9615" w14:textId="77777777">
      <w:pPr>
        <w:jc w:val="center"/>
        <w:rPr>
          <w:rStyle w:val="Fontdeparagrafimplicit"/>
        </w:rPr>
      </w:pPr>
    </w:p>
    <w:p w:rsidR="00190797" w14:paraId="36437A66" w14:textId="77777777">
      <w:pPr>
        <w:jc w:val="center"/>
        <w:rPr>
          <w:rStyle w:val="Fontdeparagrafimplicit"/>
        </w:rPr>
      </w:pPr>
    </w:p>
    <w:p w:rsidR="00190797" w14:paraId="55BB5B91" w14:textId="77777777">
      <w:pPr>
        <w:jc w:val="center"/>
        <w:rPr>
          <w:rStyle w:val="Fontdeparagrafimplicit"/>
        </w:rPr>
      </w:pPr>
    </w:p>
    <w:p w:rsidR="00190797" w14:paraId="0FB4B294" w14:textId="77777777">
      <w:pPr>
        <w:jc w:val="center"/>
        <w:rPr>
          <w:rStyle w:val="Fontdeparagrafimplicit"/>
        </w:rPr>
      </w:pPr>
    </w:p>
    <w:sectPr>
      <w:footerReference w:type="even" r:id="rId4"/>
      <w:footerReference w:type="default" r:id="rId5"/>
      <w:pgSz w:w="11906" w:h="16838"/>
      <w:pgMar w:top="1134" w:right="1134"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90797" w14:paraId="7EA18A35"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190797" w14:paraId="16401A34"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90797" w14:paraId="2E904EC5"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190797" w14:paraId="712AA106"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797"/>
    <w:rsid w:val="00190797"/>
    <w:rsid w:val="00862EBF"/>
    <w:rsid w:val="00A97AC2"/>
    <w:rsid w:val="00C0687E"/>
    <w:rsid w:val="00E320E7"/>
    <w:rsid w:val="00F96E19"/>
    <w:rsid w:val="00FF1E92"/>
  </w:rsids>
  <w:docVars>
    <w:docVar w:name="url" w:val="http://server3:80/ecris_cdms/document_upload.aspx?id_document=5400000000742409&amp;id_departament=5&amp;id_sesiune=678697&amp;id_user=175&amp;id_institutie=54&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25D7402C"/>
  <w15:docId w15:val="{1B164EF9-5359-41A3-B1F6-C0110771A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
    <w:name w:val="a"/>
    <w:basedOn w:val="Normal"/>
    <w:link w:val="Fontdeparagrafimplicit"/>
    <w:rPr>
      <w:sz w:val="20"/>
      <w:lang w:val="pl-PL"/>
    </w:rPr>
  </w:style>
  <w:style w:type="paragraph" w:customStyle="1" w:styleId="Subsol">
    <w:name w:val="Subsol"/>
    <w:basedOn w:val="Normal"/>
    <w:pPr>
      <w:tabs>
        <w:tab w:val="center" w:pos="4320"/>
        <w:tab w:val="right" w:pos="8640"/>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aliases w:val=" Caracter Caracter"/>
    <w:link w:val="a"/>
    <w:rPr>
      <w:sz w:val="20"/>
      <w:lang w:val="pl-PL"/>
    </w:rPr>
  </w:style>
  <w:style w:type="character" w:customStyle="1" w:styleId="Numrdepagin">
    <w:name w:val="Număr de pagină"/>
    <w:basedOn w:val="Fontdeparagrafimplicit"/>
    <w:rPr>
      <w:sz w:val="20"/>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22</ap:TotalTime>
  <ap:Pages>3</ap:Pages>
  <ap:Words>1768</ap:Words>
  <ap:Characters>10261</ap:Characters>
  <ap:Application>Microsoft Office Word</ap:Application>
  <ap:DocSecurity>0</ap:DocSecurity>
  <ap:Lines>85</ap:Lines>
  <ap:Paragraphs>24</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12005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