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86510" w14:paraId="0E280B5A" w14:textId="77777777">
      <w:pPr>
        <w:jc w:val="center"/>
      </w:pPr>
      <w:r>
        <w:t>R O M Â N I A</w:t>
      </w:r>
    </w:p>
    <w:p w:rsidR="00386510" w14:paraId="3148352B" w14:textId="001A63D6">
      <w:pPr>
        <w:jc w:val="center"/>
      </w:pPr>
      <w:r>
        <w:t xml:space="preserve">CURTEA DE APEL </w:t>
      </w:r>
      <w:r w:rsidR="0076770E">
        <w:t>...........</w:t>
      </w:r>
    </w:p>
    <w:p w:rsidR="00386510" w14:paraId="3A2C7250" w14:textId="158D3EB3">
      <w:pPr>
        <w:jc w:val="center"/>
      </w:pPr>
      <w:r>
        <w:t xml:space="preserve">SECŢIA </w:t>
      </w:r>
      <w:r w:rsidR="0076770E">
        <w:t xml:space="preserve">............ </w:t>
      </w:r>
    </w:p>
    <w:p w:rsidR="00386510" w14:paraId="562A29AC" w14:textId="3B0E55F1">
      <w:pPr>
        <w:jc w:val="center"/>
      </w:pPr>
      <w:r>
        <w:t xml:space="preserve">Complet </w:t>
      </w:r>
      <w:r w:rsidR="0076770E">
        <w:t>........</w:t>
      </w:r>
    </w:p>
    <w:p w:rsidR="00386510" w14:paraId="2A8D97AF" w14:textId="77777777"/>
    <w:p w:rsidR="00386510" w14:paraId="1500D324" w14:textId="77777777"/>
    <w:p w:rsidR="00386510" w14:paraId="5BB0D941" w14:textId="0B1A2018">
      <w:r>
        <w:t>Cod ECLI    ECLI:RO:</w:t>
      </w:r>
      <w:r w:rsidR="0076770E">
        <w:t>.............</w:t>
      </w:r>
    </w:p>
    <w:p w:rsidRPr="0076770E" w:rsidR="00386510" w14:paraId="2A8B6FE7" w14:textId="7B848AA3">
      <w:pPr>
        <w:rPr>
          <w:rStyle w:val="Fontdeparagrafimplicit"/>
          <w:b/>
          <w:lang w:val="pt-PT"/>
        </w:rPr>
      </w:pPr>
      <w:r w:rsidRPr="0076770E">
        <w:rPr>
          <w:rStyle w:val="Fontdeparagrafimplicit"/>
          <w:b/>
          <w:lang w:val="pt-PT"/>
        </w:rPr>
        <w:t xml:space="preserve">Dosar nr. </w:t>
      </w:r>
      <w:r w:rsidR="0076770E">
        <w:rPr>
          <w:rStyle w:val="Fontdeparagrafimplicit"/>
          <w:b/>
          <w:lang w:val="pt-PT"/>
        </w:rPr>
        <w:t>5</w:t>
      </w:r>
    </w:p>
    <w:p w:rsidRPr="0076770E" w:rsidR="00386510" w14:paraId="4250A9DD" w14:textId="77777777">
      <w:pPr>
        <w:rPr>
          <w:rStyle w:val="Fontdeparagrafimplicit"/>
          <w:lang w:val="pt-PT"/>
        </w:rPr>
      </w:pPr>
    </w:p>
    <w:p w:rsidRPr="0076770E" w:rsidR="00386510" w14:paraId="2B915EED" w14:textId="77777777">
      <w:pPr>
        <w:rPr>
          <w:rStyle w:val="Fontdeparagrafimplicit"/>
          <w:b/>
          <w:lang w:val="pt-PT"/>
        </w:rPr>
      </w:pPr>
    </w:p>
    <w:p w:rsidRPr="0076770E" w:rsidR="00386510" w14:paraId="02F36332" w14:textId="08ED6055">
      <w:pPr>
        <w:jc w:val="center"/>
        <w:rPr>
          <w:rStyle w:val="Fontdeparagrafimplicit"/>
          <w:b/>
          <w:lang w:val="pt-PT"/>
        </w:rPr>
      </w:pPr>
      <w:r w:rsidRPr="0076770E">
        <w:rPr>
          <w:rStyle w:val="Fontdeparagrafimplicit"/>
          <w:b/>
          <w:lang w:val="pt-PT"/>
        </w:rPr>
        <w:t xml:space="preserve">DECIZIA CIVILĂ NR. </w:t>
      </w:r>
      <w:r w:rsidR="0076770E">
        <w:rPr>
          <w:rStyle w:val="Fontdeparagrafimplicit"/>
          <w:b/>
          <w:lang w:val="pt-PT"/>
        </w:rPr>
        <w:t>5</w:t>
      </w:r>
    </w:p>
    <w:p w:rsidR="00386510" w14:paraId="4E313860" w14:textId="60A70D10">
      <w:pPr>
        <w:jc w:val="center"/>
      </w:pPr>
      <w:r>
        <w:t xml:space="preserve">Şedinţa publică din data de </w:t>
      </w:r>
      <w:r w:rsidR="0076770E">
        <w:t xml:space="preserve">............ </w:t>
      </w:r>
    </w:p>
    <w:p w:rsidR="00386510" w14:paraId="514C9218" w14:textId="77777777">
      <w:pPr>
        <w:jc w:val="center"/>
      </w:pPr>
      <w:r>
        <w:t>Instanţa constituită din:</w:t>
      </w:r>
    </w:p>
    <w:p w:rsidR="00386510" w14:paraId="018D7DB0" w14:textId="1CB1D9C5">
      <w:pPr>
        <w:jc w:val="center"/>
      </w:pPr>
      <w:r>
        <w:t xml:space="preserve">PREŞEDINTE: </w:t>
      </w:r>
      <w:r w:rsidR="0076770E">
        <w:t xml:space="preserve">.............. </w:t>
      </w:r>
    </w:p>
    <w:p w:rsidR="00386510" w14:paraId="2C1B69AF" w14:textId="07F12E4D">
      <w:pPr>
        <w:jc w:val="center"/>
      </w:pPr>
      <w:r>
        <w:t xml:space="preserve">JUDECĂTOR: </w:t>
      </w:r>
      <w:r w:rsidR="0076770E">
        <w:t>A0019</w:t>
      </w:r>
    </w:p>
    <w:p w:rsidR="00386510" w14:paraId="32B22083" w14:textId="5129D8D8">
      <w:pPr>
        <w:jc w:val="center"/>
      </w:pPr>
      <w:r>
        <w:t xml:space="preserve">GREFIER: </w:t>
      </w:r>
      <w:r w:rsidR="0076770E">
        <w:t xml:space="preserve">................ </w:t>
      </w:r>
    </w:p>
    <w:p w:rsidR="00386510" w14:paraId="769620EF" w14:textId="77777777">
      <w:pPr>
        <w:jc w:val="center"/>
      </w:pPr>
    </w:p>
    <w:p w:rsidR="00386510" w14:paraId="787A6320" w14:textId="2A62659D">
      <w:pPr>
        <w:ind w:firstLine="720"/>
        <w:jc w:val="both"/>
      </w:pPr>
      <w:r>
        <w:t xml:space="preserve">S-a luat în examinare, în vederea pronunţării, contestaţia în anulare formulată de contestatorul </w:t>
      </w:r>
      <w:r w:rsidR="0076770E">
        <w:t xml:space="preserve">1 </w:t>
      </w:r>
      <w:r>
        <w:t xml:space="preserve"> împotriva deciziei civile nr. </w:t>
      </w:r>
      <w:r w:rsidR="0076770E">
        <w:t xml:space="preserve">......... </w:t>
      </w:r>
      <w:r>
        <w:t xml:space="preserve">din </w:t>
      </w:r>
      <w:r w:rsidR="0076770E">
        <w:t xml:space="preserve">......... </w:t>
      </w:r>
      <w:r>
        <w:t xml:space="preserve"> pronunţată de Curtea de Apel </w:t>
      </w:r>
      <w:r w:rsidR="0076770E">
        <w:t xml:space="preserve">......... </w:t>
      </w:r>
      <w:r>
        <w:t xml:space="preserve">în dosarul nr. </w:t>
      </w:r>
      <w:r w:rsidR="0076770E">
        <w:t xml:space="preserve">5.1 </w:t>
      </w:r>
      <w:r>
        <w:t xml:space="preserve">, privind şi pe intimata CASA JUDEŢEANĂ DE PENSII </w:t>
      </w:r>
      <w:r w:rsidR="0076770E">
        <w:t xml:space="preserve">........ </w:t>
      </w:r>
      <w:r>
        <w:t>, având ca obiect asigurări sociale - recalculare pensie.</w:t>
      </w:r>
    </w:p>
    <w:p w:rsidR="00386510" w14:paraId="0A39B33F" w14:textId="20795519">
      <w:pPr>
        <w:ind w:firstLine="720"/>
        <w:jc w:val="both"/>
      </w:pPr>
      <w:r>
        <w:t xml:space="preserve">Dezbaterea cauzei şi susţinerile orale ale părţilor prezente s-au consemnat în încheierea şedinţei publice din data de </w:t>
      </w:r>
      <w:r w:rsidR="0076770E">
        <w:t xml:space="preserve">............ </w:t>
      </w:r>
      <w:r>
        <w:t xml:space="preserve">, când s-a amânat pronunţarea pentru </w:t>
      </w:r>
      <w:r w:rsidR="0076770E">
        <w:t xml:space="preserve">............ </w:t>
      </w:r>
      <w:r>
        <w:t>, încheieri de şedinţă care fac parte integrantă din prezenta decizie.</w:t>
      </w:r>
    </w:p>
    <w:p w:rsidR="00386510" w14:paraId="629E2BA9" w14:textId="77777777">
      <w:pPr>
        <w:ind w:firstLine="720"/>
        <w:jc w:val="both"/>
      </w:pPr>
    </w:p>
    <w:p w:rsidRPr="0076770E" w:rsidR="00386510" w14:paraId="68FDDFF0" w14:textId="77777777">
      <w:pPr>
        <w:ind w:firstLine="708"/>
        <w:jc w:val="center"/>
        <w:rPr>
          <w:rStyle w:val="Fontdeparagrafimplicit"/>
          <w:b/>
          <w:lang w:val="ro-RO"/>
        </w:rPr>
      </w:pPr>
      <w:r w:rsidRPr="0076770E">
        <w:rPr>
          <w:rStyle w:val="Fontdeparagrafimplicit"/>
          <w:b/>
          <w:lang w:val="ro-RO"/>
        </w:rPr>
        <w:t xml:space="preserve">C U R T E A </w:t>
      </w:r>
    </w:p>
    <w:p w:rsidRPr="0076770E" w:rsidR="00386510" w14:paraId="6E84E974" w14:textId="77777777">
      <w:pPr>
        <w:ind w:firstLine="708"/>
        <w:jc w:val="center"/>
        <w:rPr>
          <w:rStyle w:val="Fontdeparagrafimplicit"/>
          <w:b/>
          <w:lang w:val="ro-RO"/>
        </w:rPr>
      </w:pPr>
    </w:p>
    <w:p w:rsidR="00386510" w14:paraId="7BFCFD39" w14:textId="238BDAA7">
      <w:pPr>
        <w:jc w:val="both"/>
      </w:pPr>
      <w:r>
        <w:tab/>
        <w:t xml:space="preserve">Prin acţiunea înregistrată, reclamantul </w:t>
      </w:r>
      <w:r w:rsidR="0076770E">
        <w:t xml:space="preserve">1 </w:t>
      </w:r>
      <w:r>
        <w:t xml:space="preserve"> în contradictoriu cu pârâta CASA JUDEŢEANĂ DE PENSII </w:t>
      </w:r>
      <w:r w:rsidR="0076770E">
        <w:t xml:space="preserve">........ </w:t>
      </w:r>
      <w:r>
        <w:t>, a solicitat să se dispună acordarea drepturilor de pensie recalculate retroactiv începând cu data de 01.02.2016, având în vedere că la acea dată era în vigoare Decizia nr. 11/25.05.2015 a ÎCCJ.</w:t>
      </w:r>
    </w:p>
    <w:p w:rsidR="00386510" w14:paraId="338B7E1A" w14:textId="6E3813FB">
      <w:pPr>
        <w:ind w:firstLine="528"/>
        <w:jc w:val="both"/>
      </w:pPr>
      <w:r>
        <w:tab/>
      </w:r>
      <w:r w:rsidRPr="0076770E">
        <w:rPr>
          <w:rStyle w:val="Fontdeparagrafimplicit"/>
          <w:i/>
          <w:lang w:val="ro-RO"/>
        </w:rPr>
        <w:t xml:space="preserve">Prin decizia civilă nr. </w:t>
      </w:r>
      <w:r w:rsidR="0076770E">
        <w:rPr>
          <w:rStyle w:val="Fontdeparagrafimplicit"/>
          <w:i/>
          <w:lang w:val="ro-RO"/>
        </w:rPr>
        <w:t xml:space="preserve">...... </w:t>
      </w:r>
      <w:r w:rsidRPr="0076770E">
        <w:rPr>
          <w:rStyle w:val="Fontdeparagrafimplicit"/>
          <w:i/>
          <w:lang w:val="ro-RO"/>
        </w:rPr>
        <w:t xml:space="preserve">din </w:t>
      </w:r>
      <w:r w:rsidR="0076770E">
        <w:rPr>
          <w:rStyle w:val="Fontdeparagrafimplicit"/>
          <w:i/>
          <w:lang w:val="ro-RO"/>
        </w:rPr>
        <w:t xml:space="preserve">.............. </w:t>
      </w:r>
      <w:r w:rsidRPr="0076770E">
        <w:rPr>
          <w:rStyle w:val="Fontdeparagrafimplicit"/>
          <w:i/>
          <w:lang w:val="ro-RO"/>
        </w:rPr>
        <w:t xml:space="preserve"> a Curţii de Apel </w:t>
      </w:r>
      <w:r w:rsidR="0076770E">
        <w:rPr>
          <w:rStyle w:val="Fontdeparagrafimplicit"/>
          <w:i/>
          <w:lang w:val="ro-RO"/>
        </w:rPr>
        <w:t xml:space="preserve">......... </w:t>
      </w:r>
      <w:r w:rsidRPr="0076770E">
        <w:rPr>
          <w:rStyle w:val="Fontdeparagrafimplicit"/>
          <w:i/>
          <w:lang w:val="ro-RO"/>
        </w:rPr>
        <w:t xml:space="preserve">pronunţată în dosarul nr. </w:t>
      </w:r>
      <w:r w:rsidR="0076770E">
        <w:rPr>
          <w:rStyle w:val="Fontdeparagrafimplicit"/>
          <w:i/>
          <w:lang w:val="ro-RO"/>
        </w:rPr>
        <w:t>5.1</w:t>
      </w:r>
      <w:r w:rsidRPr="0076770E">
        <w:rPr>
          <w:rStyle w:val="Fontdeparagrafimplicit"/>
          <w:i/>
          <w:lang w:val="ro-RO"/>
        </w:rPr>
        <w:t>,</w:t>
      </w:r>
      <w:r>
        <w:t xml:space="preserve"> s-a respins ca nefondat apelul declarat de reclamantul </w:t>
      </w:r>
      <w:r w:rsidR="0076770E">
        <w:t xml:space="preserve">1 </w:t>
      </w:r>
      <w:r>
        <w:t xml:space="preserve"> împotriva sentinţei civile nr. </w:t>
      </w:r>
      <w:r w:rsidR="0076770E">
        <w:t xml:space="preserve">........ </w:t>
      </w:r>
      <w:r>
        <w:t xml:space="preserve"> din </w:t>
      </w:r>
      <w:r w:rsidR="0076770E">
        <w:t xml:space="preserve">.......... </w:t>
      </w:r>
      <w:r>
        <w:t xml:space="preserve"> a Tribunalului </w:t>
      </w:r>
      <w:r w:rsidR="0076770E">
        <w:t xml:space="preserve">......... </w:t>
      </w:r>
      <w:r>
        <w:t xml:space="preserve">pronunţată în dosarul nr. </w:t>
      </w:r>
      <w:r w:rsidR="0076770E">
        <w:t xml:space="preserve">5.1 </w:t>
      </w:r>
      <w:r>
        <w:t xml:space="preserve"> care a fost menţinută.</w:t>
      </w:r>
    </w:p>
    <w:p w:rsidR="00386510" w14:paraId="097171CE" w14:textId="77777777">
      <w:pPr>
        <w:ind w:firstLine="708"/>
        <w:jc w:val="both"/>
      </w:pPr>
      <w:r>
        <w:t>Pentru a pronunţa această decizie, Curtea a reţinut că prin motivele de apel, în esenţă, se invocă faptul că în mod greşit prima instanţă nu a valorificat în mod corespunzător la stabilirea punctajului pentru stabilirea pensiei dispoziţiile legale aplicabile referitoare la stagiul de cotizare de 20 de ani, concordant cu dispoziţiile O.U.G. nr. 100/2008 şi a statuărilor din Decizia nr. 11/25.05.2011 a Î.C.C.J.</w:t>
      </w:r>
    </w:p>
    <w:p w:rsidR="00386510" w14:paraId="6027B4D1" w14:textId="77777777">
      <w:pPr>
        <w:ind w:firstLine="708"/>
        <w:jc w:val="both"/>
      </w:pPr>
      <w:r>
        <w:t>S-a apreciat că apelul este nefondat.</w:t>
      </w:r>
    </w:p>
    <w:p w:rsidR="00386510" w14:paraId="6E508C9E" w14:textId="36DA133C">
      <w:pPr>
        <w:ind w:firstLine="708"/>
        <w:jc w:val="both"/>
      </w:pPr>
      <w:r>
        <w:t xml:space="preserve">Prima instanţă a reţinut că, efectul pozitiv al Deciziei civile nr. </w:t>
      </w:r>
      <w:r w:rsidR="003C68CD">
        <w:t xml:space="preserve">....../..............2017 </w:t>
      </w:r>
      <w:r>
        <w:t xml:space="preserve">pronunţată de Curtea de Apel </w:t>
      </w:r>
      <w:r w:rsidR="0076770E">
        <w:t xml:space="preserve">......... </w:t>
      </w:r>
      <w:r>
        <w:t xml:space="preserve">în dosarul nr. </w:t>
      </w:r>
      <w:r w:rsidR="003C68CD">
        <w:t>5.2</w:t>
      </w:r>
      <w:r>
        <w:t>, nu permite o altă stabilire  a punctajului în stabilirea drepturilor la pensie a reclamantului „în condiţiile solicitate de reclamant” respectiv Curtea a reţinut  că prin decizia civilă susmenţionată s-a avut în vedere că reclamantul  din prezenta cauză a solicitat utilizarea la stabilirea punctajului, stagiul de cotizare de 20 de ani, prev. de art. 14 al. 1 lit. a din Legea nr. 3/</w:t>
      </w:r>
      <w:r w:rsidR="00410FAC">
        <w:t>19</w:t>
      </w:r>
      <w:r>
        <w:t>77 şi concomitent acordarea majorărilor de punctaj prev. de O.U.G. 100/2008 şi s-a concluzionat că având în vedere şi poziţia reclamantului în sensul beneficiului atât al utilizării stagiului de cotizare de 20 de ani, cât şi a majorărilor de punctaj, prev. de O.U.G. nr. 100/2008 reclamantul nu poate cumula cele două beneficii.</w:t>
      </w:r>
    </w:p>
    <w:p w:rsidR="00386510" w14:paraId="232F694F" w14:textId="1972CF2E">
      <w:pPr>
        <w:ind w:firstLine="708"/>
        <w:jc w:val="both"/>
      </w:pPr>
      <w:r>
        <w:t xml:space="preserve">Având în vedere că în prezentul dosar solicitarea reclamantului este în acelaşi sens cu cel din dosarul nr. </w:t>
      </w:r>
      <w:r w:rsidR="003C68CD">
        <w:t>5.2</w:t>
      </w:r>
      <w:r>
        <w:t xml:space="preserve"> cum corect a reţinut prima instanţă, stabilitatea raporturilor juridice impune respectarea efectului pozitiv al lucrului judecat prevăzut de art. 431 din N.C.P.C.</w:t>
      </w:r>
    </w:p>
    <w:p w:rsidR="00386510" w14:paraId="6CE7C25B" w14:textId="4C88580F">
      <w:pPr>
        <w:ind w:firstLine="708"/>
        <w:jc w:val="both"/>
      </w:pPr>
      <w:r>
        <w:t xml:space="preserve">În altă ordine de idei aşa cum reţine şi prima instanţă prin deciziile de pensionare nr. </w:t>
      </w:r>
      <w:r w:rsidR="003C68CD">
        <w:t>3</w:t>
      </w:r>
      <w:r>
        <w:t xml:space="preserve">/13.08.2009 şi nr. </w:t>
      </w:r>
      <w:r w:rsidR="003C68CD">
        <w:t>3</w:t>
      </w:r>
      <w:r>
        <w:t xml:space="preserve">/15.03.2012, anterioare deciziei de pensionare nr. </w:t>
      </w:r>
      <w:r w:rsidR="003C68CD">
        <w:t>3</w:t>
      </w:r>
      <w:r>
        <w:t xml:space="preserve"> din 24.09.2002, invocată de </w:t>
      </w:r>
      <w:r>
        <w:t>reclamant în acţiune, la stabilirea punctajului pentru acordarea pensiei, a fost luat în calcul stagiul de cotizare de 20 de ani.</w:t>
      </w:r>
    </w:p>
    <w:p w:rsidR="00386510" w14:paraId="121801EA" w14:textId="77777777">
      <w:pPr>
        <w:ind w:firstLine="708"/>
        <w:jc w:val="both"/>
      </w:pPr>
      <w:r>
        <w:t>În aceste condiţii, sublinierea apelantului  prin motivele de apel, că doreşte doar luarea în calcul a stagiului de cotizare de 20 de ani, la stabilirea punctajului, s-a apreciat că nu are consistenţă în susţinerea apelului.</w:t>
      </w:r>
    </w:p>
    <w:p w:rsidR="00386510" w14:paraId="3E0E345E" w14:textId="25A703F4">
      <w:pPr>
        <w:ind w:firstLine="708"/>
        <w:jc w:val="both"/>
      </w:pPr>
      <w:r>
        <w:t>S-a apreciat că se impune a fi precizat că, chiar în condiţiile unui stagiul de cotizare  de 30 de ani luat iniţial în calcul pentru stabilirea pensiei subliniat ca atare de apelant cu referire la decizia de pensionare din 2002, fără luarea în considerare a deciziilor de pensionare  care au în vedere a unui stagiu de cotizare de 20 de an, în plată şi în prezent, a beneficiat de majorări ale pensiei.</w:t>
      </w:r>
    </w:p>
    <w:p w:rsidR="00386510" w14:paraId="41FBC321" w14:textId="77777777">
      <w:pPr>
        <w:ind w:firstLine="708"/>
        <w:jc w:val="both"/>
      </w:pPr>
      <w:r>
        <w:t>Altfel spus, apelantul nu a avut în vedere că la momentul introducerii acţiunii existau decizii de recalculare  a pensiei care la stabilirea punctajului a fost avut în vedere un stagiu de cotizare de 20 de ani, el raportându-se la o decizie de pensionare care nu se mai afla în plată la data introducerii acţiunii şi în acelaşi timp, nu a avut în vedere că, a obţinut beneficiul unor majorări ale pensiei, care rămân dobândite, chiar în condiţiile luării în calcul a stagiului de cotizare de 20 de ani.</w:t>
      </w:r>
    </w:p>
    <w:p w:rsidR="00386510" w14:paraId="72799FAD" w14:textId="77777777">
      <w:pPr>
        <w:ind w:firstLine="708"/>
        <w:jc w:val="both"/>
      </w:pPr>
      <w:r>
        <w:t>Raportat la cele arătate, s-a apreciat că este neîntemeiată solicitarea din critică, privind stabilirea punctajului luarea în calcul a unui stagiu de cotizare de 20 de ani, raportat la decizia de pensionare din 2002, fiind dovedit că în plată există o pensie  stabilită pe baza unui punctaj care are în vedere stagiul de cotizare  de 20 de ani.</w:t>
      </w:r>
    </w:p>
    <w:p w:rsidR="00386510" w14:paraId="3EEFB61F" w14:textId="77777777">
      <w:pPr>
        <w:ind w:firstLine="708"/>
        <w:jc w:val="both"/>
      </w:pPr>
      <w:r>
        <w:t>Pentru motivele suscitate, în baza art. 480 al. 1 din N.C.P.C. a fost respins ca nefondat apelul.</w:t>
      </w:r>
    </w:p>
    <w:p w:rsidR="00386510" w14:paraId="0D2A89EC" w14:textId="77777777">
      <w:pPr>
        <w:ind w:firstLine="708"/>
        <w:jc w:val="both"/>
      </w:pPr>
      <w:r>
        <w:t>Nu au fost solicitate cheltuieli de judecată în apel.</w:t>
      </w:r>
    </w:p>
    <w:p w:rsidR="00386510" w14:paraId="33F9E13A" w14:textId="134F6C94">
      <w:pPr>
        <w:jc w:val="both"/>
      </w:pPr>
      <w:r w:rsidRPr="0076770E">
        <w:rPr>
          <w:rStyle w:val="Fontdeparagrafimplicit"/>
          <w:i/>
          <w:lang w:val="ro-RO"/>
        </w:rPr>
        <w:tab/>
        <w:t xml:space="preserve">Împotriva acestei decizii a formulat contestaţie în anulare contestatorul </w:t>
      </w:r>
      <w:r w:rsidR="0076770E">
        <w:rPr>
          <w:rStyle w:val="Fontdeparagrafimplicit"/>
          <w:i/>
          <w:lang w:val="ro-RO"/>
        </w:rPr>
        <w:t>1</w:t>
      </w:r>
      <w:r w:rsidRPr="0076770E">
        <w:rPr>
          <w:rStyle w:val="Fontdeparagrafimplicit"/>
          <w:i/>
          <w:lang w:val="ro-RO"/>
        </w:rPr>
        <w:t xml:space="preserve">, </w:t>
      </w:r>
      <w:r>
        <w:t>solicitând admiterea acesteia, admiterea apelului cu consecinţa admiterii acţiunii sale, cu consecinţa acordării drepturilor de pensie recalculate retroactiv începând cu data de 01.02.2016, având în vedere că la acea dată era în vigoare Decizia nr. 11/25.05.2015 a ÎCCJ.</w:t>
      </w:r>
    </w:p>
    <w:p w:rsidR="00386510" w14:paraId="14423448" w14:textId="011BB33D">
      <w:pPr>
        <w:jc w:val="both"/>
      </w:pPr>
      <w:r>
        <w:tab/>
        <w:t xml:space="preserve">În motivarea contestaţiei în anulare, se reiau în esenţă susţinerile din acţiunea introductivă de instanţă, contestatorul subliniind că a lucrat în oţelărie ( </w:t>
      </w:r>
      <w:r w:rsidR="003C68CD">
        <w:t>4</w:t>
      </w:r>
      <w:r>
        <w:t xml:space="preserve">) la C.S. </w:t>
      </w:r>
      <w:r w:rsidR="003C68CD">
        <w:t xml:space="preserve">H......... </w:t>
      </w:r>
      <w:r>
        <w:t xml:space="preserve">şi la S.C. – </w:t>
      </w:r>
      <w:r w:rsidR="003C68CD">
        <w:t>5</w:t>
      </w:r>
      <w:r>
        <w:t xml:space="preserve"> S.A. – Oţelăria Electrică  </w:t>
      </w:r>
      <w:r w:rsidR="0076770E">
        <w:t xml:space="preserve">......... </w:t>
      </w:r>
      <w:r>
        <w:t xml:space="preserve"> având grupa I de muncă  - 24 ani, 7 luni, iar din 2006 a avut mai multe acţiuni, toate fiindu-i respinse, atât la Tribunal cât şi la Curtea de Apel.</w:t>
      </w:r>
    </w:p>
    <w:p w:rsidR="00386510" w14:paraId="4ADC6933" w14:textId="77777777">
      <w:pPr>
        <w:jc w:val="both"/>
      </w:pPr>
      <w:r>
        <w:tab/>
        <w:t>Contestatorul arată că înţelege să conteste decizia de pensionare emisă la data de 24.09.2002, şi prin calea extraordinară de atac promovată solicită stabilirea drepturilor de pensie prin raportare la stagiul complet de cotizare rezultat din Decizia ÎCCJ nr. 11/2015, pronunţată în soluţionarea unui recurs în interesul legii.</w:t>
      </w:r>
    </w:p>
    <w:p w:rsidR="00386510" w14:paraId="04BCA877" w14:textId="0C7F96A9">
      <w:pPr>
        <w:jc w:val="both"/>
      </w:pPr>
      <w:r>
        <w:tab/>
        <w:t xml:space="preserve">Arată că in Dosarul nr. </w:t>
      </w:r>
      <w:r w:rsidR="003C68CD">
        <w:t>5.2</w:t>
      </w:r>
      <w:r>
        <w:t>, dosar în care s-a depus un calcul, la cererea Curţii de Apel s-a depus un calcul dar nu s-a consemnat nici unde că împărţirea este la 20 de ani, iar instanţa de la curte a menţionat un calcul mai avantajos la care nu a renunţat.</w:t>
      </w:r>
    </w:p>
    <w:p w:rsidR="00386510" w14:paraId="54979606" w14:textId="77777777">
      <w:pPr>
        <w:jc w:val="both"/>
      </w:pPr>
      <w:r>
        <w:tab/>
        <w:t>Contestaţia în anulare nu a fost motivată în drept.</w:t>
      </w:r>
    </w:p>
    <w:p w:rsidRPr="0076770E" w:rsidR="00386510" w14:paraId="5663583E" w14:textId="77777777">
      <w:pPr>
        <w:jc w:val="both"/>
        <w:rPr>
          <w:rStyle w:val="Fontdeparagrafimplicit"/>
          <w:i/>
          <w:lang w:val="ro-RO"/>
        </w:rPr>
      </w:pPr>
      <w:r>
        <w:tab/>
      </w:r>
      <w:r w:rsidRPr="0076770E">
        <w:rPr>
          <w:rStyle w:val="Fontdeparagrafimplicit"/>
          <w:i/>
          <w:lang w:val="ro-RO"/>
        </w:rPr>
        <w:t>Nu s-a formulat întâmpinare în contestaţia în anulare.</w:t>
      </w:r>
    </w:p>
    <w:p w:rsidRPr="0076770E" w:rsidR="00386510" w14:paraId="3C3D2A3A" w14:textId="77777777">
      <w:pPr>
        <w:ind w:firstLine="720"/>
        <w:jc w:val="both"/>
        <w:rPr>
          <w:rStyle w:val="Fontdeparagrafimplicit"/>
          <w:i/>
          <w:lang w:val="ro-RO"/>
        </w:rPr>
      </w:pPr>
      <w:r w:rsidRPr="0076770E">
        <w:rPr>
          <w:rStyle w:val="Fontdeparagrafimplicit"/>
          <w:i/>
          <w:lang w:val="ro-RO"/>
        </w:rPr>
        <w:t>Examinând decizia contestată prin prisma motivelor invocate în contestaţia în anulare, Curtea de Apel reţine următoarele:</w:t>
      </w:r>
    </w:p>
    <w:p w:rsidR="00386510" w14:paraId="1189B589" w14:textId="77777777">
      <w:pPr>
        <w:jc w:val="both"/>
      </w:pPr>
      <w:r w:rsidRPr="0076770E">
        <w:rPr>
          <w:rStyle w:val="Fontdeparagrafimplicit"/>
          <w:i/>
          <w:lang w:val="ro-RO"/>
        </w:rPr>
        <w:tab/>
      </w:r>
      <w:r>
        <w:t>Analizând contestaţia în anulate, Curtea constată că, în esenţă, contestatorul, o persoană lipsită de studii juridice, invocă faptul că decizia atacată ar fi avut la bază temeiuri factuale greşite, constând în faptul că s-a reţinut în mod greşit că apelantul ar fi renunţat la acordarea unui stagiu de 20 de ani care îi era mai favorabil decât punctajul suplimentar.</w:t>
      </w:r>
    </w:p>
    <w:p w:rsidR="00386510" w14:paraId="6B0600AA" w14:textId="77777777">
      <w:pPr>
        <w:jc w:val="both"/>
      </w:pPr>
      <w:r>
        <w:tab/>
        <w:t>Acest motiv de contestaţie se încadrează în prevederile art. 503 alin.2 pct. 2 raportat la alin. 3 Cod procedură civilă, potrivit căruia pot fi atacate cu contestaţie în anulare dezlegările date prin hotărâri de apel care sunt rezultatul unei greşeli materiale.</w:t>
      </w:r>
    </w:p>
    <w:p w:rsidR="00386510" w14:paraId="605466ED" w14:textId="1EB7D8DE">
      <w:pPr>
        <w:ind w:firstLine="720"/>
        <w:jc w:val="both"/>
      </w:pPr>
      <w:r>
        <w:t>Este întemeiată contestaţia în anulare formulată, ce urmează a fi admisă, cu consecinţa anulării deciziei atacate şi a rejudecării recursului în sensul admiterii acestuia şi al modificării în parte a sentinţei, în sensul admiterii</w:t>
      </w:r>
      <w:r w:rsidRPr="0076770E">
        <w:rPr>
          <w:rStyle w:val="Fontdeparagrafimplicit"/>
          <w:b/>
          <w:lang w:val="ro-RO"/>
        </w:rPr>
        <w:t xml:space="preserve"> </w:t>
      </w:r>
      <w:r>
        <w:t xml:space="preserve">în tot a cererii de chemare în judecată, în sensul că admite acţiunea precizată, formulată de reclamant în contradictoriu cu pârâta CASA JUDEŢEANĂ DE PENSII </w:t>
      </w:r>
      <w:r w:rsidR="0076770E">
        <w:t xml:space="preserve">......... </w:t>
      </w:r>
      <w:r>
        <w:t>şi în consecinţă obligă pârâta la recalcularea pensiei reclamantului, cu luarea în calcul a unui stagiu complet de cotizare de 20 de ani, conform calculului efectuat de pârâtă, din 16.03.2017, cu acordarea drepturilor începând cu data de 26.06.2014.</w:t>
      </w:r>
    </w:p>
    <w:p w:rsidR="00386510" w14:paraId="20FD84F7" w14:textId="77777777">
      <w:pPr>
        <w:ind w:firstLine="708"/>
        <w:jc w:val="both"/>
      </w:pPr>
      <w:r>
        <w:t xml:space="preserve">Analizând în primul rând sub raportul admisibilităţii cererea, Curtea notează că, prin eroare materială, se înţelege o eronată reflectare a realităţii în hotărârea supusă acestei căi extraordinare de atac. Practic, textul legal nu limitează aplicabilitatea sa la situaţiile de eroare materială procedurală, astfel încât exemplele de şcoală din doctrină, preluate din practica fostului Tribunal Suprem, nu pot fi considerate a limita, dincolo de prevederile legale,  aplicabilitatea textului. </w:t>
      </w:r>
    </w:p>
    <w:p w:rsidR="00386510" w14:paraId="38E2BCAA" w14:textId="77777777">
      <w:pPr>
        <w:ind w:firstLine="708"/>
        <w:jc w:val="both"/>
      </w:pPr>
      <w:r>
        <w:t>Prin urmare, în raport de formularea acestui text, se desprinde concluzia că prin eroare materială se înţelege şi aceea care poartă asupra stării de fapt, astfel cum a fost reţinută de instanţă printr-o greşeală materială ce purta asupra probelor, precum şi cea care are în vedere o reţinere eronată a susţinerii părţilor.</w:t>
      </w:r>
    </w:p>
    <w:p w:rsidRPr="0076770E" w:rsidR="00386510" w14:paraId="6D6CA3CA" w14:textId="77777777">
      <w:pPr>
        <w:ind w:firstLine="708"/>
        <w:jc w:val="both"/>
        <w:rPr>
          <w:rStyle w:val="apple-converted-space"/>
          <w:color w:val="000000"/>
          <w:shd w:val="clear" w:color="auto" w:fill="FFFFFF"/>
          <w:lang w:val="ro-RO"/>
        </w:rPr>
      </w:pPr>
      <w:r>
        <w:t xml:space="preserve">De altfel, sub acest din urmă aspect, este important de subliniat faptul că, reglementând eroare materială, ce poate fi corectată pe calea îndreptării de eroare materială, art. 442 Cod procedură civilă include, alături de </w:t>
      </w:r>
      <w:r w:rsidRPr="0076770E">
        <w:rPr>
          <w:rStyle w:val="Fontdeparagrafimplicit"/>
          <w:color w:val="000000"/>
          <w:shd w:val="clear" w:color="auto" w:fill="FFFFFF"/>
          <w:lang w:val="ro-RO"/>
        </w:rPr>
        <w:t>erorile sau omisiunile cu privire la numele şi calitatea părţilor</w:t>
      </w:r>
      <w:r w:rsidRPr="0076770E">
        <w:rPr>
          <w:rStyle w:val="apple-converted-space"/>
          <w:color w:val="000000"/>
          <w:shd w:val="clear" w:color="auto" w:fill="FFFFFF"/>
          <w:lang w:val="ro-RO"/>
        </w:rPr>
        <w:t>, şi pe cele privind susţinerile acestora.</w:t>
      </w:r>
    </w:p>
    <w:p w:rsidRPr="0076770E" w:rsidR="00386510" w14:paraId="7BD47B02" w14:textId="77777777">
      <w:pPr>
        <w:ind w:firstLine="708"/>
        <w:jc w:val="both"/>
        <w:rPr>
          <w:rStyle w:val="apple-converted-space"/>
          <w:color w:val="000000"/>
          <w:shd w:val="clear" w:color="auto" w:fill="FFFFFF"/>
          <w:lang w:val="pt-PT"/>
        </w:rPr>
      </w:pPr>
      <w:r w:rsidRPr="0076770E">
        <w:rPr>
          <w:rStyle w:val="apple-converted-space"/>
          <w:color w:val="000000"/>
          <w:shd w:val="clear" w:color="auto" w:fill="FFFFFF"/>
          <w:lang w:val="pt-PT"/>
        </w:rPr>
        <w:t>Or, este evident că, în situaţia în care dezlegările date de instanţa de apel au la bază o reţinere eronată a susţinerilor acestora, această situaţie se circumscrie noţiunii de „greşeală material” ca şi condiţie de admisibilitate a contestaţiei în anulare.</w:t>
      </w:r>
    </w:p>
    <w:p w:rsidR="00386510" w14:paraId="217FFB08" w14:textId="77777777">
      <w:pPr>
        <w:ind w:firstLine="708"/>
        <w:jc w:val="both"/>
      </w:pPr>
      <w:r>
        <w:t>Analizând decizia atacată, Curtea reţine că aceasta are la baza două erori materiale, reflectate de acesta.</w:t>
      </w:r>
    </w:p>
    <w:p w:rsidRPr="0076770E" w:rsidR="00386510" w14:paraId="45CE2CC2" w14:textId="0E078ED9">
      <w:pPr>
        <w:ind w:firstLine="708"/>
        <w:jc w:val="both"/>
        <w:rPr>
          <w:rStyle w:val="Fontdeparagrafimplicit"/>
          <w:i/>
          <w:lang w:val="pt-PT"/>
        </w:rPr>
      </w:pPr>
      <w:r>
        <w:t xml:space="preserve">Astfel, în ceea ce priveşte statuarea asupra efectului pozitiv al Deciziei civile nr. </w:t>
      </w:r>
      <w:r w:rsidR="003C68CD">
        <w:t xml:space="preserve">....../..............2017 </w:t>
      </w:r>
      <w:r>
        <w:t xml:space="preserve">pronunţată de Curtea de Apel </w:t>
      </w:r>
      <w:r w:rsidR="0076770E">
        <w:t xml:space="preserve">......... </w:t>
      </w:r>
      <w:r>
        <w:t xml:space="preserve">în dosarul nr. </w:t>
      </w:r>
      <w:r w:rsidR="003C68CD">
        <w:t>5.2</w:t>
      </w:r>
      <w:r>
        <w:t xml:space="preserve">, în considerentele deciziei atacate s-a reţinut că: „ </w:t>
      </w:r>
      <w:r w:rsidRPr="0076770E">
        <w:rPr>
          <w:rStyle w:val="Fontdeparagrafimplicit"/>
          <w:i/>
          <w:lang w:val="pt-PT"/>
        </w:rPr>
        <w:t xml:space="preserve">prin decizia civilă susmenţionată s-a avut în vedere că reclamantul  din prezenta cauză a solicitat utilizarea la stabilirea punctajului, </w:t>
      </w:r>
      <w:r w:rsidRPr="0076770E">
        <w:rPr>
          <w:rStyle w:val="Fontdeparagrafimplicit"/>
          <w:b/>
          <w:i/>
          <w:lang w:val="pt-PT"/>
        </w:rPr>
        <w:t>stagiul de cotizare de 20 de ani</w:t>
      </w:r>
      <w:r w:rsidRPr="0076770E">
        <w:rPr>
          <w:rStyle w:val="Fontdeparagrafimplicit"/>
          <w:i/>
          <w:lang w:val="pt-PT"/>
        </w:rPr>
        <w:t xml:space="preserve">, prev. de art. 14 al. 1 lit. a din Legea nr. 3/77 şi </w:t>
      </w:r>
      <w:r w:rsidRPr="0076770E">
        <w:rPr>
          <w:rStyle w:val="Fontdeparagrafimplicit"/>
          <w:b/>
          <w:i/>
          <w:lang w:val="pt-PT"/>
        </w:rPr>
        <w:t>concomitent acordarea majorărilor de punctaj</w:t>
      </w:r>
      <w:r w:rsidRPr="0076770E">
        <w:rPr>
          <w:rStyle w:val="Fontdeparagrafimplicit"/>
          <w:i/>
          <w:lang w:val="pt-PT"/>
        </w:rPr>
        <w:t xml:space="preserve"> prev. de O.U.G. 100/2008 şi s-a concluzionat că având în vedere şi poziţia reclamantului în sensul beneficiului atât al utilizării stagiului de cotizare de 20 de ani, cât şi a majorărilor de punctaj, prev. de O.U.G. nr. 100/2008 reclamantul nu poate cumula cele două beneficii.</w:t>
      </w:r>
    </w:p>
    <w:p w:rsidR="00386510" w14:paraId="1197F9ED" w14:textId="48812102">
      <w:pPr>
        <w:ind w:firstLine="708"/>
        <w:jc w:val="both"/>
      </w:pPr>
      <w:r w:rsidRPr="0076770E">
        <w:rPr>
          <w:rStyle w:val="Fontdeparagrafimplicit"/>
          <w:i/>
          <w:lang w:val="pt-PT"/>
        </w:rPr>
        <w:t xml:space="preserve">Având în vedere că în prezentul dosar solicitarea reclamantului este în acelaşi sens cu cel din dosarul nr. </w:t>
      </w:r>
      <w:r w:rsidR="003C68CD">
        <w:rPr>
          <w:rStyle w:val="Fontdeparagrafimplicit"/>
          <w:i/>
          <w:lang w:val="pt-PT"/>
        </w:rPr>
        <w:t>5.2</w:t>
      </w:r>
      <w:r w:rsidRPr="0076770E">
        <w:rPr>
          <w:rStyle w:val="Fontdeparagrafimplicit"/>
          <w:i/>
          <w:lang w:val="pt-PT"/>
        </w:rPr>
        <w:t xml:space="preserve"> cum corect a reţinut prima instanţă, stabilitatea raporturilor juridice impune respectarea efectului pozitiv al lucrului judecat prevăzut de art. 431 din N.C.P.C</w:t>
      </w:r>
      <w:r>
        <w:t>.”</w:t>
      </w:r>
    </w:p>
    <w:p w:rsidR="00386510" w14:paraId="0E5BBEB6" w14:textId="04E042AC">
      <w:pPr>
        <w:ind w:firstLine="708"/>
        <w:jc w:val="both"/>
      </w:pPr>
      <w:r>
        <w:t>Or, dimpotrivă, prin apelul formulat apelantul a arătat expres că: „</w:t>
      </w:r>
      <w:r w:rsidRPr="0076770E">
        <w:rPr>
          <w:rStyle w:val="Fontdeparagrafimplicit"/>
          <w:i/>
          <w:lang w:val="ro-RO"/>
        </w:rPr>
        <w:t xml:space="preserve">am solicitat numai </w:t>
      </w:r>
      <w:r w:rsidRPr="0076770E">
        <w:rPr>
          <w:rStyle w:val="Fontdeparagrafimplicit"/>
          <w:b/>
          <w:i/>
          <w:lang w:val="ro-RO"/>
        </w:rPr>
        <w:t>împărţirea la 20 de ani</w:t>
      </w:r>
      <w:r w:rsidRPr="0076770E">
        <w:rPr>
          <w:rStyle w:val="Fontdeparagrafimplicit"/>
          <w:i/>
          <w:lang w:val="ro-RO"/>
        </w:rPr>
        <w:t xml:space="preserve"> a numărului total de puncte realizat în perioada de cotizare în grupa I de muncă, atât la Tribunal cât şi la Curtea de Apel </w:t>
      </w:r>
      <w:r w:rsidR="0076770E">
        <w:rPr>
          <w:rStyle w:val="Fontdeparagrafimplicit"/>
          <w:i/>
          <w:lang w:val="ro-RO"/>
        </w:rPr>
        <w:t xml:space="preserve">......... </w:t>
      </w:r>
      <w:r w:rsidRPr="0076770E">
        <w:rPr>
          <w:rStyle w:val="Fontdeparagrafimplicit"/>
          <w:b/>
          <w:i/>
          <w:lang w:val="ro-RO"/>
        </w:rPr>
        <w:t>fără cumularea</w:t>
      </w:r>
      <w:r w:rsidRPr="0076770E">
        <w:rPr>
          <w:rStyle w:val="Fontdeparagrafimplicit"/>
          <w:i/>
          <w:lang w:val="ro-RO"/>
        </w:rPr>
        <w:t xml:space="preserve"> cu punctajul realizat prin aplicarea O.U.G. nr.  100/2008 şi a art. 169 din legea 263/2010</w:t>
      </w:r>
      <w:r>
        <w:t>”.</w:t>
      </w:r>
    </w:p>
    <w:p w:rsidR="00386510" w14:paraId="70AFF5C6" w14:textId="41F75E3F">
      <w:pPr>
        <w:ind w:firstLine="708"/>
        <w:jc w:val="both"/>
      </w:pPr>
      <w:r>
        <w:t xml:space="preserve">Mai mult, acesta subliniază în memoriul de apel solicită acordarea drepturilor de pensie rezultate din calculul Casei de Pensii </w:t>
      </w:r>
      <w:r w:rsidR="0076770E">
        <w:t xml:space="preserve">........ </w:t>
      </w:r>
      <w:r>
        <w:t xml:space="preserve">, deoarece in Dosarul </w:t>
      </w:r>
      <w:r w:rsidR="003C68CD">
        <w:t>5.2</w:t>
      </w:r>
      <w:r>
        <w:t xml:space="preserve"> nu şi-a dat seama că acesta era rezultatul împărţirii la 20 de ani, ci doar că ar viza un cuantum mai avantajos.</w:t>
      </w:r>
    </w:p>
    <w:p w:rsidR="00386510" w14:paraId="2974ACD6" w14:textId="77777777">
      <w:pPr>
        <w:ind w:firstLine="708"/>
        <w:jc w:val="both"/>
      </w:pPr>
      <w:r>
        <w:t>Ca atare, este evident că cele reţinute de instanţa de apel au la bază o eroare materială, reflectată în consemnarea greşită a susţinerilor apelantului.</w:t>
      </w:r>
    </w:p>
    <w:p w:rsidR="00386510" w14:paraId="7C17439D" w14:textId="77777777">
      <w:pPr>
        <w:ind w:firstLine="708"/>
        <w:jc w:val="both"/>
      </w:pPr>
      <w:r>
        <w:t>Această eroare a avut efect direct în reţinerea efectelor puterii de lucru judecat, în condiţiile în care susţinerea respectivă reflecta deopotrivă obiectul şi cauza judecăţii.</w:t>
      </w:r>
    </w:p>
    <w:p w:rsidR="00386510" w14:paraId="2389CEE1" w14:textId="77777777">
      <w:pPr>
        <w:ind w:firstLine="708"/>
        <w:jc w:val="both"/>
      </w:pPr>
      <w:r>
        <w:t xml:space="preserve">O a doua greşeală materială rezidă în menţiunea cuprinsă în considerentele deciziei atacate, unde se arată că:” </w:t>
      </w:r>
      <w:r w:rsidRPr="0076770E">
        <w:rPr>
          <w:rStyle w:val="Fontdeparagrafimplicit"/>
          <w:i/>
          <w:lang w:val="pt-PT"/>
        </w:rPr>
        <w:t>apelantul nu a avut în vedere că la momentul introducerii acţiunii existau decizii de recalculare  a pensiei care la stabilirea punctajului a fost avut în vedere un stagiu de cotizare de 20 de ani (…)</w:t>
      </w:r>
      <w:r>
        <w:t xml:space="preserve">”. </w:t>
      </w:r>
    </w:p>
    <w:p w:rsidR="00386510" w14:paraId="78D2567E" w14:textId="50C50B42">
      <w:pPr>
        <w:ind w:firstLine="708"/>
        <w:jc w:val="both"/>
      </w:pPr>
      <w:r>
        <w:t xml:space="preserve">Or, niciodată contestatorul nu a avut recunoscut un stagiu de 20 de ani, ci unul de 30 de ani. Singurul calcul al pensiei sale cu valorificarea unui stagiu de 20 de ani este în simularea de calcul depusă în Dosarul </w:t>
      </w:r>
      <w:r w:rsidR="003C68CD">
        <w:t>5.2</w:t>
      </w:r>
      <w:r>
        <w:t>, la care se făcea referire prin memoriul de apel, precitat.</w:t>
      </w:r>
    </w:p>
    <w:p w:rsidR="00386510" w14:paraId="384D07ED" w14:textId="31B12486">
      <w:pPr>
        <w:ind w:firstLine="708"/>
        <w:jc w:val="both"/>
      </w:pPr>
      <w:r>
        <w:t xml:space="preserve">Ca atare, faţă de cele de mai sus, Curtea constată că sunt îndeplinite condiţiile prevăzute de art. 503 alin.2 pct. 2 raportat la alin. 3 Cod procedură civilă, astfel încât va dispune admiterea contestaţiei în anulare declarată de contestatorul </w:t>
      </w:r>
      <w:r w:rsidR="0076770E">
        <w:t xml:space="preserve">1 </w:t>
      </w:r>
      <w:r>
        <w:t xml:space="preserve"> împotriva deciziei civile nr. </w:t>
      </w:r>
      <w:r w:rsidR="0076770E">
        <w:t xml:space="preserve">...... </w:t>
      </w:r>
      <w:r>
        <w:t xml:space="preserve">din </w:t>
      </w:r>
      <w:r w:rsidR="0076770E">
        <w:t xml:space="preserve">.............. </w:t>
      </w:r>
      <w:r>
        <w:t xml:space="preserve"> a Curţii de Apel, </w:t>
      </w:r>
      <w:r w:rsidR="0076770E">
        <w:t xml:space="preserve">......... </w:t>
      </w:r>
      <w:r>
        <w:t xml:space="preserve">pronunţată în dosarul nr. </w:t>
      </w:r>
      <w:r w:rsidR="0076770E">
        <w:t xml:space="preserve">5.1 </w:t>
      </w:r>
      <w:r>
        <w:t>, pe care o va anula, rejudecând apelul.</w:t>
      </w:r>
    </w:p>
    <w:p w:rsidR="00386510" w14:paraId="7E35D527" w14:textId="77777777">
      <w:pPr>
        <w:ind w:firstLine="708"/>
        <w:jc w:val="both"/>
      </w:pPr>
      <w:r>
        <w:t>În rejudecarea apelului, cu reţine ca acesta este fondat, pentru considerentele ce succed.</w:t>
      </w:r>
    </w:p>
    <w:p w:rsidR="00386510" w14:paraId="723F3300" w14:textId="207A0117">
      <w:pPr>
        <w:ind w:firstLine="720"/>
        <w:jc w:val="both"/>
      </w:pPr>
      <w:r>
        <w:t xml:space="preserve">Cu privire la excepţia puterii de lucru judecat, Curtea reţine că, prin decizia civilă nr. </w:t>
      </w:r>
      <w:r w:rsidR="003C68CD">
        <w:t xml:space="preserve">..../................ </w:t>
      </w:r>
      <w:r>
        <w:t xml:space="preserve">pronunţată de Curtea de apel </w:t>
      </w:r>
      <w:r w:rsidR="0076770E">
        <w:t xml:space="preserve">......... </w:t>
      </w:r>
      <w:r>
        <w:t>s-au reţinut următoarele:</w:t>
      </w:r>
    </w:p>
    <w:p w:rsidRPr="0076770E" w:rsidR="00386510" w14:paraId="7D946E53" w14:textId="145A1251">
      <w:pPr>
        <w:ind w:firstLine="720"/>
        <w:jc w:val="both"/>
        <w:rPr>
          <w:rStyle w:val="Fontdeparagrafimplicit"/>
          <w:i/>
          <w:color w:val="000000"/>
          <w:lang w:val="pt-PT"/>
        </w:rPr>
      </w:pPr>
      <w:r>
        <w:t xml:space="preserve">„ </w:t>
      </w:r>
      <w:r w:rsidRPr="0076770E">
        <w:rPr>
          <w:rStyle w:val="Fontdeparagrafimplicit"/>
          <w:i/>
          <w:color w:val="000000"/>
          <w:lang w:val="pt-PT"/>
        </w:rPr>
        <w:t>La fila nr.37 dosar apel s-a depus de către pârâta C.J.P.</w:t>
      </w:r>
      <w:r w:rsidR="0076770E">
        <w:rPr>
          <w:rStyle w:val="Fontdeparagrafimplicit"/>
          <w:i/>
          <w:color w:val="000000"/>
          <w:lang w:val="pt-PT"/>
        </w:rPr>
        <w:t xml:space="preserve">......... </w:t>
      </w:r>
      <w:r w:rsidRPr="0076770E">
        <w:rPr>
          <w:rStyle w:val="Fontdeparagrafimplicit"/>
          <w:i/>
          <w:color w:val="000000"/>
          <w:lang w:val="pt-PT"/>
        </w:rPr>
        <w:t xml:space="preserve">calculul pensie reclamantului, la datele de 01.2009-1397 lei, 04.2009-1439 lei, 10.2009-1467 lei şi 03.2012-1467 lei, cu luarea în considerare, la stabilirea punctajului mediu anual a stagiului complet de cotizare de 20 de ani, dar fără luarea în calcul a majorărilor de punctaje  prevăzute de O.U.G. nr.100/2008 şi respectiv, art.169 din Legea nr.263/2010. </w:t>
      </w:r>
    </w:p>
    <w:p w:rsidRPr="0076770E" w:rsidR="00386510" w14:paraId="42595293" w14:textId="77777777">
      <w:pPr>
        <w:ind w:firstLine="708"/>
        <w:jc w:val="both"/>
        <w:rPr>
          <w:rStyle w:val="Fontdeparagrafimplicit"/>
          <w:i/>
          <w:lang w:val="pt-PT"/>
        </w:rPr>
      </w:pPr>
      <w:r w:rsidRPr="0076770E">
        <w:rPr>
          <w:rStyle w:val="Fontdeparagrafimplicit"/>
          <w:i/>
          <w:color w:val="000000"/>
          <w:lang w:val="pt-PT"/>
        </w:rPr>
        <w:t xml:space="preserve">La termenul de judecată din data de 23.03.2017, Curtea a învederat reclamantului-apelant că pensia calculată prin raportare la stagiul complet de cotizare de 20 de ani este mai mare decât cea calculată cu luarea în considerare a majorărilor de punctaje, pentru perioadele lucrate în grupa I de muncă şi </w:t>
      </w:r>
      <w:r w:rsidRPr="0076770E">
        <w:rPr>
          <w:rStyle w:val="Fontdeparagrafimplicit"/>
          <w:i/>
          <w:lang w:val="pt-PT"/>
        </w:rPr>
        <w:t xml:space="preserve">că pentru activitatea desfăşurată în grupe superioare de muncă, având în vedere dispoziţiile legale anterior menţionate, nu se poate beneficia şi de majorări de punctaj şi de un stagiu complet de cotizare redus, şi a solicitat acestuia, </w:t>
      </w:r>
      <w:r w:rsidRPr="0076770E">
        <w:rPr>
          <w:rStyle w:val="Fontdeparagrafimplicit"/>
          <w:i/>
          <w:color w:val="000000"/>
          <w:lang w:val="pt-PT"/>
        </w:rPr>
        <w:t xml:space="preserve">potrivit principiului disponibilităţii părţilor în procesul civil, </w:t>
      </w:r>
      <w:r w:rsidRPr="0076770E">
        <w:rPr>
          <w:rStyle w:val="Fontdeparagrafimplicit"/>
          <w:i/>
          <w:lang w:val="pt-PT"/>
        </w:rPr>
        <w:t>să precizeze dacă doreşte calcularea pensiei prin raportare la stagiul complet de cotizare de 20 ani, dar fără luarea în calcul a majorărilor de punctaj prevăzute de O.U.G. nr. 100/2008, respectiv art. 169 din Legea nr. 263/2010.</w:t>
      </w:r>
    </w:p>
    <w:p w:rsidRPr="0076770E" w:rsidR="00386510" w14:paraId="77C1A4F2" w14:textId="77777777">
      <w:pPr>
        <w:ind w:firstLine="708"/>
        <w:jc w:val="both"/>
        <w:rPr>
          <w:rStyle w:val="Fontdeparagrafimplicit"/>
          <w:i/>
          <w:lang w:val="pt-PT"/>
        </w:rPr>
      </w:pPr>
      <w:r w:rsidRPr="0076770E">
        <w:rPr>
          <w:rStyle w:val="Fontdeparagrafimplicit"/>
          <w:i/>
          <w:lang w:val="pt-PT"/>
        </w:rPr>
        <w:t>Apelantul a precizat că este îndreptăţit la calcularea pensiei atât prin raportare la un stagiul complet de cotizare de 20 de ani, cât şi cu acordarea  majorărilor de punctaje şi că nu renunţă la majorările de punctaje, care sunt un drept al său pentru perioada lucrată în grupă superioară de muncă.</w:t>
      </w:r>
    </w:p>
    <w:p w:rsidR="00386510" w14:paraId="5AE1C60F" w14:textId="4B58930D">
      <w:pPr>
        <w:ind w:firstLine="708"/>
        <w:jc w:val="both"/>
      </w:pPr>
      <w:r w:rsidRPr="0076770E">
        <w:rPr>
          <w:rStyle w:val="Fontdeparagrafimplicit"/>
          <w:i/>
          <w:color w:val="000000"/>
          <w:lang w:val="pt-PT"/>
        </w:rPr>
        <w:t xml:space="preserve">Curtea, având în vedere faptul că reclamantul-apelant, astfel cum s-a menţionat anterior a beneficiat deja de majorări de punctaje cu 50% pentru perioada lucrată în grupa I de muncă, şi că, deşi pensia sa calculată în raport cu un stagiu complet de cotizare redus de 20 de ani ar fi mai favorabilă, acesta solicită de fapt cumularea celor două beneficii, contrar dispoziţiilor legale anterior menţionate, </w:t>
      </w:r>
      <w:r w:rsidRPr="0076770E">
        <w:rPr>
          <w:rStyle w:val="Fontdeparagrafimplicit"/>
          <w:i/>
          <w:lang w:val="pt-PT"/>
        </w:rPr>
        <w:t xml:space="preserve">în temeiul disp.art.480 alin.3 Cod.proc.civilă, rejudecând cauza, în urma anulării în apel a  sentinţei primei instanţe, care a soluţionat cauza fără a intra în cercetarea fondului, va respinge acţiunea formulată de reclamantul </w:t>
      </w:r>
      <w:r w:rsidR="0076770E">
        <w:rPr>
          <w:rStyle w:val="Fontdeparagrafimplicit"/>
          <w:i/>
          <w:lang w:val="pt-PT"/>
        </w:rPr>
        <w:t xml:space="preserve">1 </w:t>
      </w:r>
      <w:r w:rsidRPr="0076770E">
        <w:rPr>
          <w:rStyle w:val="Fontdeparagrafimplicit"/>
          <w:i/>
          <w:lang w:val="pt-PT"/>
        </w:rPr>
        <w:t xml:space="preserve"> în contradictoriu cu pârâta CASA JUDEŢEANĂ DE PENSII </w:t>
      </w:r>
      <w:r w:rsidR="0076770E">
        <w:rPr>
          <w:rStyle w:val="Fontdeparagrafimplicit"/>
          <w:i/>
          <w:lang w:val="pt-PT"/>
        </w:rPr>
        <w:t xml:space="preserve">........ </w:t>
      </w:r>
      <w:r>
        <w:t>.”</w:t>
      </w:r>
    </w:p>
    <w:p w:rsidR="00386510" w14:paraId="227807E4" w14:textId="0B93A8BD">
      <w:pPr>
        <w:ind w:firstLine="708"/>
        <w:jc w:val="both"/>
      </w:pPr>
      <w:r>
        <w:t xml:space="preserve">Or, în prezenta cauză, tocmai pornind de la dezlegările precitate, date de Curtea de Apel </w:t>
      </w:r>
      <w:r w:rsidR="0076770E">
        <w:t xml:space="preserve">......... </w:t>
      </w:r>
      <w:r>
        <w:t>a iniţiat un nou demers procedural, în care a solicitat, într-adevăr, îndreptăţirea sa la luarea în considerarea a unui stagiu de 20 de ani, însă fără a mai solicita dublul beneficiu reţinut de instanţă ca motiv al respingerii cererii sale.</w:t>
      </w:r>
    </w:p>
    <w:p w:rsidR="00386510" w14:paraId="71D37284" w14:textId="77777777">
      <w:pPr>
        <w:ind w:firstLine="708"/>
        <w:jc w:val="both"/>
      </w:pPr>
      <w:r>
        <w:t>Ca atare, în mod evident nu poate fi reţinută în cauză autoritatea de lucru judecat a prezentei cereri de chemare în judecată, fiind diferit atât obiectul, cât şi cauza acţiunii.</w:t>
      </w:r>
    </w:p>
    <w:p w:rsidRPr="0076770E" w:rsidR="00386510" w14:paraId="57DD3719" w14:textId="77777777">
      <w:pPr>
        <w:ind w:firstLine="708"/>
        <w:jc w:val="both"/>
        <w:rPr>
          <w:rStyle w:val="Fontdeparagrafimplicit"/>
          <w:color w:val="000000"/>
          <w:lang w:val="ro-RO"/>
        </w:rPr>
      </w:pPr>
      <w:r>
        <w:t xml:space="preserve">Puterea de lucru judecata acelei hotărâri, din perspectiva unor dezlegări obligatorii pentru părţi, se rezumă la statuarea că apelantul, faţă de dispoziţiile art. 169 din  </w:t>
      </w:r>
      <w:r w:rsidRPr="0076770E">
        <w:rPr>
          <w:rStyle w:val="Fontdeparagrafimplicit"/>
          <w:color w:val="000000"/>
          <w:lang w:val="ro-RO"/>
        </w:rPr>
        <w:t>Legea nr. 263/2010, poate opta între un stagiu complet de cotizare redus de 20 de ani şi majorări de punctaje cu 50% pentru perioada lucrată în grupa I de muncă.</w:t>
      </w:r>
    </w:p>
    <w:p w:rsidRPr="0076770E" w:rsidR="00386510" w14:paraId="5C97B1BE" w14:textId="77777777">
      <w:pPr>
        <w:ind w:firstLine="708"/>
        <w:jc w:val="both"/>
        <w:rPr>
          <w:rStyle w:val="Fontdeparagrafimplicit"/>
          <w:color w:val="000000"/>
          <w:lang w:val="ro-RO"/>
        </w:rPr>
      </w:pPr>
      <w:r w:rsidRPr="0076770E">
        <w:rPr>
          <w:rStyle w:val="Fontdeparagrafimplicit"/>
          <w:color w:val="000000"/>
          <w:lang w:val="ro-RO"/>
        </w:rPr>
        <w:t xml:space="preserve">Dezlegările instanţei au fost făcute însă doar din perspectiva art. 169 </w:t>
      </w:r>
      <w:r>
        <w:t xml:space="preserve">din  </w:t>
      </w:r>
      <w:r w:rsidRPr="0076770E">
        <w:rPr>
          <w:rStyle w:val="Fontdeparagrafimplicit"/>
          <w:color w:val="000000"/>
          <w:lang w:val="ro-RO"/>
        </w:rPr>
        <w:t xml:space="preserve">Legea nr. 263/2010, nu şi din perspectiva art. 169^1 </w:t>
      </w:r>
      <w:r>
        <w:t xml:space="preserve">din  </w:t>
      </w:r>
      <w:r w:rsidRPr="0076770E">
        <w:rPr>
          <w:rStyle w:val="Fontdeparagrafimplicit"/>
          <w:color w:val="000000"/>
          <w:lang w:val="ro-RO"/>
        </w:rPr>
        <w:t>Legea nr. 263/2010, Curtea nefiind sesizată în prezentul dosar cu această cauză juridică. De altfel, asupra problematicii acordării punctajului suplimentar în temeiul acestui din urmă articol urmează a se pronunţa Înalta Curte de Casaţie şi Justiţie, sesizată în procedura pronunţării unei hotărâri preliminare, în dosarul 2313/1/2018.</w:t>
      </w:r>
    </w:p>
    <w:p w:rsidRPr="0076770E" w:rsidR="00386510" w14:paraId="428AA2EF" w14:textId="77777777">
      <w:pPr>
        <w:ind w:firstLine="708"/>
        <w:jc w:val="both"/>
        <w:rPr>
          <w:rStyle w:val="Fontdeparagrafimplicit"/>
          <w:color w:val="000000"/>
          <w:lang w:val="pt-PT"/>
        </w:rPr>
      </w:pPr>
      <w:r w:rsidRPr="0076770E">
        <w:rPr>
          <w:rStyle w:val="Fontdeparagrafimplicit"/>
          <w:color w:val="000000"/>
          <w:lang w:val="pt-PT"/>
        </w:rPr>
        <w:t>În prezenta cauză însă, reclamantul a menţionat expres că solicită acordarea stagiului de 20 de ani, acest mod de calcul fiindu-i mai favorabil.</w:t>
      </w:r>
    </w:p>
    <w:p w:rsidR="00386510" w14:paraId="5B998DA7" w14:textId="77777777">
      <w:pPr>
        <w:ind w:firstLine="720"/>
        <w:jc w:val="both"/>
      </w:pPr>
      <w:r w:rsidRPr="0076770E">
        <w:rPr>
          <w:rStyle w:val="Fontdeparagrafimplicit"/>
          <w:color w:val="000000"/>
          <w:lang w:val="pt-PT"/>
        </w:rPr>
        <w:t xml:space="preserve">Faţă de cele expuse anterior, Curtea constată că reclamantul este îndreptăţit prin prisma art. 169 din legea 263/2010 la recalcularea pensiei sale prin luarea un calcul a unui stagiu de 20 de ani în </w:t>
      </w:r>
      <w:r>
        <w:t>conform calculului efectuat de pârâtă, din 16.03.2017, cu acordarea drepturilor începând cu data de 26.06.2014, fişă de calcul ce se regăseşte la fila 22 dosar fond.</w:t>
      </w:r>
    </w:p>
    <w:p w:rsidR="00386510" w14:paraId="2CDC2FE9" w14:textId="77777777">
      <w:pPr>
        <w:ind w:firstLine="720"/>
        <w:jc w:val="both"/>
      </w:pPr>
      <w:r>
        <w:t xml:space="preserve">În consecinţă, în temeiul art. 480 alin. 1 şi 3  C.pr.civilă, </w:t>
      </w:r>
    </w:p>
    <w:p w:rsidR="00386510" w14:paraId="1626DB3C" w14:textId="77777777">
      <w:pPr>
        <w:jc w:val="both"/>
      </w:pPr>
    </w:p>
    <w:p w:rsidRPr="0076770E" w:rsidR="00386510" w14:paraId="6BB53B40" w14:textId="77777777">
      <w:pPr>
        <w:ind w:firstLine="708"/>
        <w:jc w:val="both"/>
        <w:rPr>
          <w:rStyle w:val="Fontdeparagrafimplicit"/>
          <w:b/>
          <w:lang w:val="pt-PT"/>
        </w:rPr>
      </w:pPr>
    </w:p>
    <w:p w:rsidRPr="0076770E" w:rsidR="00386510" w14:paraId="22AEF7C5" w14:textId="77777777">
      <w:pPr>
        <w:jc w:val="center"/>
        <w:rPr>
          <w:rStyle w:val="Fontdeparagrafimplicit"/>
          <w:b/>
          <w:lang w:val="pt-PT"/>
        </w:rPr>
      </w:pPr>
    </w:p>
    <w:p w:rsidRPr="0076770E" w:rsidR="00386510" w14:paraId="2D63FB3D" w14:textId="77777777">
      <w:pPr>
        <w:jc w:val="center"/>
        <w:rPr>
          <w:rStyle w:val="Fontdeparagrafimplicit"/>
          <w:b/>
          <w:lang w:val="pt-PT"/>
        </w:rPr>
      </w:pPr>
      <w:r w:rsidRPr="0076770E">
        <w:rPr>
          <w:rStyle w:val="Fontdeparagrafimplicit"/>
          <w:b/>
          <w:lang w:val="pt-PT"/>
        </w:rPr>
        <w:t>PENTRU ACESTE MOTIVE</w:t>
      </w:r>
    </w:p>
    <w:p w:rsidRPr="0076770E" w:rsidR="00386510" w14:paraId="6FAA0F40" w14:textId="77777777">
      <w:pPr>
        <w:jc w:val="center"/>
        <w:rPr>
          <w:rStyle w:val="Fontdeparagrafimplicit"/>
          <w:b/>
          <w:lang w:val="pt-PT"/>
        </w:rPr>
      </w:pPr>
      <w:r w:rsidRPr="0076770E">
        <w:rPr>
          <w:rStyle w:val="Fontdeparagrafimplicit"/>
          <w:b/>
          <w:lang w:val="pt-PT"/>
        </w:rPr>
        <w:t>ÎN NUMELE LEGII</w:t>
      </w:r>
    </w:p>
    <w:p w:rsidRPr="0076770E" w:rsidR="00386510" w14:paraId="6A17FE03" w14:textId="77777777">
      <w:pPr>
        <w:jc w:val="center"/>
        <w:rPr>
          <w:rStyle w:val="Fontdeparagrafimplicit"/>
          <w:b/>
          <w:lang w:val="pt-PT"/>
        </w:rPr>
      </w:pPr>
      <w:r w:rsidRPr="0076770E">
        <w:rPr>
          <w:rStyle w:val="Fontdeparagrafimplicit"/>
          <w:b/>
          <w:lang w:val="pt-PT"/>
        </w:rPr>
        <w:t>D E C I D E</w:t>
      </w:r>
    </w:p>
    <w:p w:rsidRPr="0076770E" w:rsidR="00386510" w14:paraId="3578AB5B" w14:textId="77777777">
      <w:pPr>
        <w:ind w:firstLine="720"/>
        <w:jc w:val="both"/>
        <w:rPr>
          <w:rStyle w:val="Fontdeparagrafimplicit"/>
          <w:lang w:val="pt-PT"/>
        </w:rPr>
      </w:pPr>
    </w:p>
    <w:p w:rsidR="00386510" w14:paraId="71529BF8" w14:textId="1CF19AAE">
      <w:pPr>
        <w:ind w:firstLine="720"/>
        <w:jc w:val="both"/>
      </w:pPr>
      <w:r>
        <w:t xml:space="preserve">Admite şi în consecinţă, rejudecând, admite apelul declarat de apelantul reclamant </w:t>
      </w:r>
      <w:r w:rsidR="0076770E">
        <w:t xml:space="preserve">1 </w:t>
      </w:r>
      <w:r>
        <w:t xml:space="preserve"> împotriva sentinţei civile nr. </w:t>
      </w:r>
      <w:r w:rsidR="0076770E">
        <w:t xml:space="preserve">........ </w:t>
      </w:r>
      <w:r>
        <w:t xml:space="preserve"> din </w:t>
      </w:r>
      <w:r w:rsidR="0076770E">
        <w:t xml:space="preserve">.......... </w:t>
      </w:r>
      <w:r>
        <w:t xml:space="preserve"> a Tribunalului </w:t>
      </w:r>
      <w:r w:rsidR="0076770E">
        <w:t xml:space="preserve">........ </w:t>
      </w:r>
      <w:r>
        <w:t xml:space="preserve">, pronunţată în dosarul nr. </w:t>
      </w:r>
      <w:r w:rsidR="0076770E">
        <w:t xml:space="preserve">5.1 </w:t>
      </w:r>
      <w:r>
        <w:t xml:space="preserve">, pe care o schimbă în tot, în sensul că admite acţiunea precizată, formulată de reclamant în contradictoriu cu pârâta CASA JUDEŢEANĂ DE PENSII </w:t>
      </w:r>
      <w:r w:rsidR="0076770E">
        <w:t xml:space="preserve">......... </w:t>
      </w:r>
      <w:r>
        <w:t>şi în consecinţă obligă pârâta la recalcularea pensiei reclamantului, cu luarea în calcul a unui stagiu complet de cotizare de 20 de ani, conform calculului efectuat de pârâtă, din 16.03.2017, cu acordarea drepturilor începând cu data de 26.06.2014.</w:t>
      </w:r>
    </w:p>
    <w:p w:rsidR="00386510" w14:paraId="0936781A" w14:textId="77777777">
      <w:pPr>
        <w:ind w:firstLine="720"/>
        <w:jc w:val="both"/>
      </w:pPr>
      <w:r>
        <w:t>Definitivă.</w:t>
      </w:r>
    </w:p>
    <w:p w:rsidR="00386510" w14:paraId="09AA2C6E" w14:textId="20137617">
      <w:pPr>
        <w:ind w:firstLine="720"/>
        <w:jc w:val="both"/>
      </w:pPr>
      <w:r>
        <w:t xml:space="preserve">Pronunţată prin punerea soluţiei la dispoziţia părţilor în </w:t>
      </w:r>
      <w:r w:rsidR="0076770E">
        <w:t xml:space="preserve">............ </w:t>
      </w:r>
      <w:r>
        <w:t>.</w:t>
      </w:r>
    </w:p>
    <w:p w:rsidR="00386510" w14:paraId="6077272A" w14:textId="77777777">
      <w:pPr>
        <w:ind w:firstLine="720"/>
        <w:jc w:val="both"/>
      </w:pPr>
    </w:p>
    <w:p w:rsidR="00386510" w14:paraId="562660BB" w14:textId="77777777">
      <w:pPr>
        <w:ind w:firstLine="720"/>
        <w:jc w:val="both"/>
      </w:pPr>
    </w:p>
    <w:p w:rsidRPr="0076770E" w:rsidR="00386510" w14:paraId="1959C40C" w14:textId="77777777">
      <w:pPr>
        <w:ind w:firstLine="708"/>
        <w:rPr>
          <w:rStyle w:val="Fontdeparagrafimplicit"/>
          <w:b/>
          <w:sz w:val="22"/>
          <w:lang w:val="pt-PT"/>
        </w:rPr>
      </w:pPr>
      <w:r w:rsidRPr="0076770E">
        <w:rPr>
          <w:rStyle w:val="Fontdeparagrafimplicit"/>
          <w:b/>
          <w:sz w:val="22"/>
          <w:lang w:val="pt-PT"/>
        </w:rPr>
        <w:t xml:space="preserve">  PREŞEDINTE                               JUDECĂTOR</w:t>
      </w:r>
      <w:r w:rsidRPr="0076770E">
        <w:rPr>
          <w:rStyle w:val="Fontdeparagrafimplicit"/>
          <w:b/>
          <w:sz w:val="22"/>
          <w:lang w:val="pt-PT"/>
        </w:rPr>
        <w:tab/>
        <w:t xml:space="preserve">                                     GREFIER</w:t>
      </w:r>
    </w:p>
    <w:p w:rsidRPr="0076770E" w:rsidR="00386510" w14:paraId="23C2B93B" w14:textId="2BB19545">
      <w:pPr>
        <w:ind w:firstLine="708"/>
        <w:rPr>
          <w:rStyle w:val="Fontdeparagrafimplicit"/>
          <w:b/>
          <w:sz w:val="22"/>
          <w:lang w:val="pt-PT"/>
        </w:rPr>
      </w:pPr>
      <w:r>
        <w:rPr>
          <w:rStyle w:val="Fontdeparagrafimplicit"/>
          <w:b/>
          <w:sz w:val="22"/>
          <w:lang w:val="pt-PT"/>
        </w:rPr>
        <w:t xml:space="preserve">       </w:t>
      </w:r>
      <w:r w:rsidR="0076770E">
        <w:rPr>
          <w:rStyle w:val="Fontdeparagrafimplicit"/>
          <w:b/>
          <w:sz w:val="22"/>
          <w:lang w:val="pt-PT"/>
        </w:rPr>
        <w:t xml:space="preserve">.............. </w:t>
      </w:r>
      <w:r w:rsidRPr="0076770E">
        <w:rPr>
          <w:rStyle w:val="Fontdeparagrafimplicit"/>
          <w:b/>
          <w:sz w:val="22"/>
          <w:lang w:val="pt-PT"/>
        </w:rPr>
        <w:t xml:space="preserve">           </w:t>
      </w:r>
      <w:r>
        <w:rPr>
          <w:rStyle w:val="Fontdeparagrafimplicit"/>
          <w:b/>
          <w:sz w:val="22"/>
          <w:lang w:val="pt-PT"/>
        </w:rPr>
        <w:t xml:space="preserve">           </w:t>
      </w:r>
      <w:r w:rsidRPr="0076770E">
        <w:rPr>
          <w:rStyle w:val="Fontdeparagrafimplicit"/>
          <w:b/>
          <w:sz w:val="22"/>
          <w:lang w:val="pt-PT"/>
        </w:rPr>
        <w:t xml:space="preserve"> </w:t>
      </w:r>
      <w:r>
        <w:rPr>
          <w:rStyle w:val="Fontdeparagrafimplicit"/>
          <w:b/>
          <w:sz w:val="22"/>
          <w:lang w:val="pt-PT"/>
        </w:rPr>
        <w:t xml:space="preserve">                A0019</w:t>
      </w:r>
      <w:r w:rsidRPr="0076770E">
        <w:rPr>
          <w:rStyle w:val="Fontdeparagrafimplicit"/>
          <w:b/>
          <w:sz w:val="22"/>
          <w:lang w:val="pt-PT"/>
        </w:rPr>
        <w:t xml:space="preserve">                 </w:t>
      </w:r>
      <w:r>
        <w:rPr>
          <w:rStyle w:val="Fontdeparagrafimplicit"/>
          <w:b/>
          <w:sz w:val="22"/>
          <w:lang w:val="pt-PT"/>
        </w:rPr>
        <w:t xml:space="preserve">                                      </w:t>
      </w:r>
      <w:r w:rsidR="0076770E">
        <w:rPr>
          <w:rStyle w:val="Fontdeparagrafimplicit"/>
          <w:b/>
          <w:sz w:val="22"/>
          <w:lang w:val="pt-PT"/>
        </w:rPr>
        <w:t xml:space="preserve">................ </w:t>
      </w:r>
    </w:p>
    <w:p w:rsidRPr="0076770E" w:rsidR="00386510" w14:paraId="0048E11B" w14:textId="77777777">
      <w:pPr>
        <w:rPr>
          <w:rStyle w:val="Fontdeparagrafimplicit"/>
          <w:lang w:val="pt-PT"/>
        </w:rPr>
      </w:pPr>
    </w:p>
    <w:p w:rsidRPr="0076770E" w:rsidR="00386510" w14:paraId="06F08607" w14:textId="77777777">
      <w:pPr>
        <w:jc w:val="center"/>
        <w:rPr>
          <w:rStyle w:val="Fontdeparagrafimplicit"/>
          <w:lang w:val="pt-PT"/>
        </w:rPr>
      </w:pPr>
    </w:p>
    <w:p w:rsidRPr="0076770E" w:rsidR="00386510" w14:paraId="54527D61" w14:textId="77777777">
      <w:pPr>
        <w:jc w:val="center"/>
        <w:rPr>
          <w:rStyle w:val="Fontdeparagrafimplicit"/>
          <w:lang w:val="pt-PT"/>
        </w:rPr>
      </w:pPr>
    </w:p>
    <w:p w:rsidRPr="0076770E" w:rsidR="00386510" w14:paraId="7BA0DB5A" w14:textId="77777777">
      <w:pPr>
        <w:jc w:val="center"/>
        <w:rPr>
          <w:rStyle w:val="Fontdeparagrafimplicit"/>
          <w:lang w:val="pt-PT"/>
        </w:rPr>
      </w:pPr>
    </w:p>
    <w:p w:rsidRPr="0076770E" w:rsidR="00386510" w14:paraId="650BF68B" w14:textId="77777777">
      <w:pPr>
        <w:jc w:val="center"/>
        <w:rPr>
          <w:rStyle w:val="Fontdeparagrafimplicit"/>
          <w:lang w:val="pt-PT"/>
        </w:rPr>
      </w:pPr>
    </w:p>
    <w:p w:rsidRPr="00A46742" w:rsidR="00386510" w14:paraId="16FE0D3D" w14:textId="1E4CCFAC">
      <w:pPr>
        <w:rPr>
          <w:rStyle w:val="Fontdeparagrafimplicit"/>
          <w:sz w:val="16"/>
          <w:lang w:val="pt-PT"/>
        </w:rPr>
      </w:pPr>
      <w:r w:rsidRPr="00A46742">
        <w:rPr>
          <w:rStyle w:val="Fontdeparagrafimplicit"/>
          <w:sz w:val="16"/>
          <w:lang w:val="pt-PT"/>
        </w:rPr>
        <w:t xml:space="preserve">Red. A0019/Tehn. </w:t>
      </w:r>
      <w:r>
        <w:rPr>
          <w:rStyle w:val="Fontdeparagrafimplicit"/>
          <w:sz w:val="16"/>
          <w:lang w:val="pt-PT"/>
        </w:rPr>
        <w:t>.........</w:t>
      </w:r>
    </w:p>
    <w:p w:rsidRPr="00A46742" w:rsidR="00386510" w14:paraId="2B4E8F5D" w14:textId="3BEE5B47">
      <w:pPr>
        <w:jc w:val="both"/>
        <w:rPr>
          <w:rStyle w:val="Fontdeparagrafimplicit"/>
          <w:sz w:val="18"/>
          <w:lang w:val="pt-PT"/>
        </w:rPr>
      </w:pPr>
      <w:r w:rsidRPr="00A46742">
        <w:rPr>
          <w:rStyle w:val="Fontdeparagrafimplicit"/>
          <w:sz w:val="16"/>
          <w:lang w:val="pt-PT"/>
        </w:rPr>
        <w:t xml:space="preserve">Jud. decizie C.A.: </w:t>
      </w:r>
      <w:r>
        <w:rPr>
          <w:rStyle w:val="Fontdeparagrafimplicit"/>
          <w:sz w:val="16"/>
          <w:lang w:val="pt-PT"/>
        </w:rPr>
        <w:t>...........</w:t>
      </w:r>
      <w:r w:rsidRPr="00A46742">
        <w:rPr>
          <w:rStyle w:val="Fontdeparagrafimplicit"/>
          <w:sz w:val="16"/>
          <w:lang w:val="pt-PT"/>
        </w:rPr>
        <w:t xml:space="preserve">, </w:t>
      </w:r>
      <w:r>
        <w:rPr>
          <w:rStyle w:val="Fontdeparagrafimplicit"/>
          <w:sz w:val="18"/>
          <w:lang w:val="pt-PT"/>
        </w:rPr>
        <w:t>.........</w:t>
      </w:r>
    </w:p>
    <w:p w:rsidRPr="00A46742" w:rsidR="00386510" w14:paraId="7FDEB115" w14:textId="3F07665A">
      <w:pPr>
        <w:rPr>
          <w:rStyle w:val="Fontdeparagrafimplicit"/>
          <w:sz w:val="16"/>
          <w:lang w:val="pt-PT"/>
        </w:rPr>
      </w:pPr>
      <w:r w:rsidRPr="00A46742">
        <w:rPr>
          <w:rStyle w:val="Fontdeparagrafimplicit"/>
          <w:sz w:val="16"/>
          <w:lang w:val="pt-PT"/>
        </w:rPr>
        <w:t xml:space="preserve">4 ex./  </w:t>
      </w:r>
      <w:r>
        <w:rPr>
          <w:rStyle w:val="Fontdeparagrafimplicit"/>
          <w:sz w:val="16"/>
          <w:lang w:val="pt-PT"/>
        </w:rPr>
        <w:t>..........</w:t>
      </w:r>
    </w:p>
    <w:p w:rsidRPr="00A46742" w:rsidR="00386510" w14:paraId="1D3C6BB7" w14:textId="77777777">
      <w:pPr>
        <w:jc w:val="center"/>
        <w:rPr>
          <w:rStyle w:val="Fontdeparagrafimplicit"/>
          <w:lang w:val="pt-PT"/>
        </w:rPr>
      </w:pPr>
    </w:p>
    <w:p w:rsidRPr="00A46742" w:rsidR="00386510" w14:paraId="31FD1356" w14:textId="77777777">
      <w:pPr>
        <w:jc w:val="center"/>
        <w:rPr>
          <w:rStyle w:val="Fontdeparagrafimplicit"/>
          <w:lang w:val="pt-PT"/>
        </w:rPr>
      </w:pPr>
    </w:p>
    <w:p w:rsidRPr="00A46742" w:rsidR="00386510" w14:paraId="54DBAB80" w14:textId="77777777">
      <w:pPr>
        <w:rPr>
          <w:rStyle w:val="Fontdeparagrafimplicit"/>
          <w:lang w:val="pt-PT"/>
        </w:rPr>
      </w:pPr>
    </w:p>
    <w:p w:rsidRPr="00A46742" w:rsidR="00386510" w14:paraId="0A4F1E80" w14:textId="77777777">
      <w:pPr>
        <w:jc w:val="both"/>
        <w:rPr>
          <w:rStyle w:val="Fontdeparagrafimplicit"/>
          <w:lang w:val="pt-PT"/>
        </w:rPr>
      </w:pPr>
    </w:p>
    <w:p w:rsidRPr="00A46742" w:rsidR="00386510" w14:paraId="1851D58A" w14:textId="77777777">
      <w:pPr>
        <w:jc w:val="both"/>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86510" w14:paraId="275F63DC"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86510" w14:paraId="1186A9D2"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86510" w14:paraId="4BC45023"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86510" w14:paraId="45431BAB"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10"/>
    <w:rsid w:val="000D2BDE"/>
    <w:rsid w:val="0024152E"/>
    <w:rsid w:val="002B0EB7"/>
    <w:rsid w:val="00386510"/>
    <w:rsid w:val="003C68CD"/>
    <w:rsid w:val="00410FAC"/>
    <w:rsid w:val="004B77A9"/>
    <w:rsid w:val="005A21B6"/>
    <w:rsid w:val="0076770E"/>
    <w:rsid w:val="00956EA3"/>
    <w:rsid w:val="00A46742"/>
    <w:rsid w:val="00DD3401"/>
    <w:rsid w:val="00E11C50"/>
    <w:rsid w:val="00F93E77"/>
    <w:rsid w:val="00FF7AD1"/>
  </w:rsids>
  <w:docVars>
    <w:docVar w:name="url" w:val="http://bd-cjca:80/ecris_cdms/document_upload.aspx?id_document=3300000001126504&amp;id_departament=14&amp;id_sesiune=1294852&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628D929"/>
  <w15:docId w15:val="{60CF5975-FCB4-45EA-B4E8-AB0D548B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CaracterCaracterCaracterCaracter">
    <w:name w:val="Caracter Caracter Caracter Caracter"/>
    <w:basedOn w:val="Normal"/>
    <w:link w:val="Fontdeparagrafimplicit"/>
    <w:pPr>
      <w:tabs>
        <w:tab w:val="left" w:pos="900"/>
        <w:tab w:val="left" w:pos="1080"/>
      </w:tabs>
      <w:ind w:right="22"/>
    </w:pPr>
    <w:rPr>
      <w:lang w:val="pl-PL"/>
    </w:rPr>
  </w:style>
  <w:style w:type="paragraph" w:customStyle="1" w:styleId="CaracterCaracterCaracterCaracterCaracterCaracter">
    <w:name w:val="Caracter Caracter Caracter Caracter Caracter Caracter"/>
    <w:basedOn w:val="Normal"/>
    <w:pPr>
      <w:tabs>
        <w:tab w:val="left" w:pos="900"/>
        <w:tab w:val="left" w:pos="1080"/>
      </w:tabs>
      <w:ind w:right="22"/>
    </w:pPr>
    <w:rPr>
      <w:lang w:val="pl-PL"/>
    </w:rPr>
  </w:style>
  <w:style w:type="paragraph" w:customStyle="1" w:styleId="CaracterCaracterCaracterCaracterCaracterCaracterCaracterCaracterCaracterCaracter">
    <w:name w:val="Caracter Caracter Caracter Caracter Caracter Caracter Caracter Caracter Caracter Caracter"/>
    <w:basedOn w:val="Normal"/>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1"/>
    <w:link w:val="CaracterCaracterCaracterCaracter"/>
    <w:rPr>
      <w:lang w:val="pl-PL"/>
    </w:rPr>
  </w:style>
  <w:style w:type="character" w:customStyle="1" w:styleId="Numrdepagin">
    <w:name w:val="Număr de pagină"/>
    <w:basedOn w:val="Fontdeparagrafimplicit"/>
    <w:rPr>
      <w:lang w:val="pl-PL"/>
    </w:rPr>
  </w:style>
  <w:style w:type="character" w:customStyle="1" w:styleId="apple-converted-space">
    <w:name w:val="apple-converted-space"/>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43</ap:TotalTime>
  <ap:Pages>5</ap:Pages>
  <ap:Words>2671</ap:Words>
  <ap:Characters>15228</ap:Characters>
  <ap:Application>Microsoft Office Word</ap:Application>
  <ap:DocSecurity>0</ap:DocSecurity>
  <ap:Lines>126</ap:Lines>
  <ap:Paragraphs>35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17864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2018-11-02T12:21:00.0000000Z</lastPrinted>
  <dc:subject/>
  <dc:description/>
  <keywords/>
  <category/>
  <contentStatus/>
  <dc:identifier/>
  <dc:language/>
  <version/>
</coreProperties>
</file>