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B43FA4" w14:paraId="3D268171" w14:textId="7A7B758D">
      <w:pPr>
        <w:jc w:val="both"/>
      </w:pPr>
      <w:r>
        <w:t xml:space="preserve"> </w:t>
      </w:r>
    </w:p>
    <w:p w:rsidR="00B43FA4" w14:paraId="094092F0" w14:textId="40C96E41">
      <w:pPr>
        <w:jc w:val="both"/>
        <w:rPr>
          <w:rStyle w:val="Fontdeparagrafimplicit"/>
          <w:b/>
        </w:rPr>
      </w:pPr>
      <w:bookmarkStart w:name="_Hlk236740160" w:id="0"/>
      <w:r>
        <w:rPr>
          <w:rStyle w:val="Fontdeparagrafimplicit"/>
          <w:b/>
        </w:rPr>
        <w:t xml:space="preserve">Dosar nr. </w:t>
      </w:r>
      <w:r w:rsidR="00FA2AAD">
        <w:rPr>
          <w:rStyle w:val="Fontdeparagrafimplicit"/>
          <w:b/>
        </w:rPr>
        <w:t>1</w:t>
      </w:r>
      <w:r w:rsidR="008A4BE3">
        <w:rPr>
          <w:rStyle w:val="Fontdeparagrafimplicit"/>
          <w:b/>
        </w:rPr>
        <w:t xml:space="preserve">  </w:t>
      </w:r>
    </w:p>
    <w:bookmarkEnd w:id="0"/>
    <w:p w:rsidR="00B43FA4" w14:paraId="0D51AE39" w14:textId="79FD5BA3">
      <w:pPr>
        <w:jc w:val="both"/>
      </w:pPr>
      <w:r>
        <w:t xml:space="preserve"> </w:t>
      </w:r>
    </w:p>
    <w:p w:rsidR="00B43FA4" w14:paraId="11957A8E" w14:textId="77777777">
      <w:pPr>
        <w:keepNext/>
        <w:jc w:val="both"/>
        <w:outlineLvl w:val="2"/>
      </w:pPr>
    </w:p>
    <w:p w:rsidR="00B43FA4" w14:paraId="2E8B55C1" w14:textId="77777777">
      <w:pPr>
        <w:keepNext/>
        <w:jc w:val="center"/>
        <w:outlineLvl w:val="2"/>
        <w:rPr>
          <w:rStyle w:val="Fontdeparagrafimplicit"/>
          <w:b/>
        </w:rPr>
      </w:pPr>
      <w:r>
        <w:rPr>
          <w:rStyle w:val="Fontdeparagrafimplicit"/>
          <w:b/>
        </w:rPr>
        <w:t>ROMÂNIA</w:t>
      </w:r>
    </w:p>
    <w:p w:rsidR="00B43FA4" w14:paraId="3265A17C" w14:textId="6ED4F69C">
      <w:pPr>
        <w:jc w:val="center"/>
      </w:pPr>
      <w:r>
        <w:t xml:space="preserve">CURTEA DE APEL </w:t>
      </w:r>
      <w:r w:rsidR="00FA2AAD">
        <w:t xml:space="preserve">             </w:t>
      </w:r>
    </w:p>
    <w:p w:rsidR="00B43FA4" w14:paraId="7FF0D9C0" w14:textId="1C4D61C4">
      <w:pPr>
        <w:jc w:val="center"/>
      </w:pPr>
      <w:r>
        <w:t xml:space="preserve">SECŢIA </w:t>
      </w:r>
      <w:r w:rsidR="00FA2AAD">
        <w:t xml:space="preserve"> </w:t>
      </w:r>
    </w:p>
    <w:p w:rsidR="00B43FA4" w14:paraId="55DE946F" w14:textId="298176A3">
      <w:pPr>
        <w:jc w:val="center"/>
        <w:rPr>
          <w:rStyle w:val="Fontdeparagrafimplicit"/>
          <w:b/>
        </w:rPr>
      </w:pPr>
      <w:bookmarkStart w:name="_Hlk236740173" w:id="1"/>
      <w:r>
        <w:rPr>
          <w:rStyle w:val="Fontdeparagrafimplicit"/>
          <w:b/>
        </w:rPr>
        <w:t xml:space="preserve">DECIZIA </w:t>
      </w:r>
      <w:r w:rsidR="008A4BE3">
        <w:rPr>
          <w:rStyle w:val="Fontdeparagrafimplicit"/>
          <w:b/>
        </w:rPr>
        <w:t xml:space="preserve"> </w:t>
      </w:r>
      <w:r>
        <w:rPr>
          <w:rStyle w:val="Fontdeparagrafimplicit"/>
          <w:b/>
        </w:rPr>
        <w:t xml:space="preserve"> nr. </w:t>
      </w:r>
      <w:r w:rsidR="00FA2AAD">
        <w:rPr>
          <w:rStyle w:val="Fontdeparagrafimplicit"/>
          <w:b/>
        </w:rPr>
        <w:t>13</w:t>
      </w:r>
    </w:p>
    <w:bookmarkEnd w:id="1"/>
    <w:p w:rsidR="00B43FA4" w14:paraId="56F13F90" w14:textId="5B5D1639">
      <w:pPr>
        <w:jc w:val="center"/>
      </w:pPr>
      <w:r>
        <w:t xml:space="preserve">Şedinţa publică din data de </w:t>
      </w:r>
      <w:r w:rsidR="00FA2AAD">
        <w:t xml:space="preserve"> </w:t>
      </w:r>
    </w:p>
    <w:p w:rsidR="00B43FA4" w14:paraId="00205DF8" w14:textId="77777777">
      <w:pPr>
        <w:jc w:val="center"/>
      </w:pPr>
      <w:r>
        <w:rPr>
          <w:rStyle w:val="Fontdeparagrafimplicit"/>
          <w:b/>
        </w:rPr>
        <w:t>Curtea</w:t>
      </w:r>
      <w:r>
        <w:t xml:space="preserve"> constituită din:</w:t>
      </w:r>
    </w:p>
    <w:p w:rsidR="00B43FA4" w14:paraId="74C1A0B9" w14:textId="02B3B141">
      <w:pPr>
        <w:jc w:val="center"/>
      </w:pPr>
      <w:r>
        <w:t xml:space="preserve">PREŞEDINTE: </w:t>
      </w:r>
      <w:r w:rsidR="00FA2AAD">
        <w:t xml:space="preserve"> </w:t>
      </w:r>
    </w:p>
    <w:p w:rsidR="00B43FA4" w14:paraId="433FCACD" w14:textId="4691F175">
      <w:pPr>
        <w:jc w:val="center"/>
      </w:pPr>
      <w:r>
        <w:t xml:space="preserve">JUDECĂTOR: </w:t>
      </w:r>
      <w:r w:rsidR="00FA2AAD">
        <w:t>A0002</w:t>
      </w:r>
    </w:p>
    <w:p w:rsidR="00B43FA4" w14:paraId="0153EA6D" w14:textId="6FB6E32E">
      <w:pPr>
        <w:jc w:val="center"/>
      </w:pPr>
      <w:r>
        <w:t xml:space="preserve">GREFIER: </w:t>
      </w:r>
      <w:r w:rsidR="00FA2AAD">
        <w:t xml:space="preserve"> </w:t>
      </w:r>
    </w:p>
    <w:p w:rsidR="00B43FA4" w14:paraId="0B5503CF" w14:textId="77777777">
      <w:pPr>
        <w:pBdr>
          <w:bottom w:val="single" w:color="auto" w:sz="6" w:space="0"/>
        </w:pBdr>
        <w:jc w:val="both"/>
        <w:rPr>
          <w:rStyle w:val="Fontdeparagrafimplicit"/>
          <w:color w:val="000000"/>
        </w:rPr>
      </w:pPr>
    </w:p>
    <w:p w:rsidR="00B43FA4" w14:paraId="577FD61E" w14:textId="77777777">
      <w:pPr>
        <w:ind w:firstLine="709"/>
        <w:jc w:val="both"/>
        <w:rPr>
          <w:rStyle w:val="Fontdeparagrafimplicit"/>
        </w:rPr>
      </w:pPr>
    </w:p>
    <w:p w:rsidR="00B43FA4" w14:paraId="5E4631E6" w14:textId="74B8FC6E">
      <w:pPr>
        <w:ind w:firstLine="832"/>
        <w:jc w:val="both"/>
        <w:rPr>
          <w:rStyle w:val="Fontdeparagrafimplicit"/>
          <w:b/>
        </w:rPr>
      </w:pPr>
      <w:r>
        <w:rPr>
          <w:rStyle w:val="Fontdeparagrafimplicit"/>
          <w:b/>
        </w:rPr>
        <w:t>MINISTERUL PUBLIC</w:t>
      </w:r>
      <w:r>
        <w:t xml:space="preserve"> - Parchetul de pe lângă Curtea de Apel </w:t>
      </w:r>
      <w:r w:rsidR="00FA2AAD">
        <w:t xml:space="preserve">             </w:t>
      </w:r>
      <w:r>
        <w:t xml:space="preserve"> a fost reprezentat prin</w:t>
      </w:r>
      <w:r>
        <w:rPr>
          <w:rStyle w:val="Fontdeparagrafimplicit"/>
          <w:b/>
        </w:rPr>
        <w:t xml:space="preserve"> </w:t>
      </w:r>
      <w:r>
        <w:t xml:space="preserve">procuror </w:t>
      </w:r>
      <w:r w:rsidR="00FA2AAD">
        <w:t xml:space="preserve">    </w:t>
      </w:r>
      <w:r>
        <w:t>.</w:t>
      </w:r>
    </w:p>
    <w:p w:rsidR="00B43FA4" w14:paraId="45F5236A" w14:textId="713D4247">
      <w:pPr>
        <w:ind w:firstLine="832"/>
        <w:jc w:val="both"/>
      </w:pPr>
      <w:r>
        <w:t xml:space="preserve">Pe rol se află pronunţarea asupra </w:t>
      </w:r>
      <w:r>
        <w:rPr>
          <w:rStyle w:val="Fontdeparagrafimplicit"/>
          <w:b/>
        </w:rPr>
        <w:t>apelurilor</w:t>
      </w:r>
      <w:r>
        <w:t xml:space="preserve"> formulate de către </w:t>
      </w:r>
      <w:r>
        <w:rPr>
          <w:rStyle w:val="Fontdeparagrafimplicit"/>
          <w:b/>
        </w:rPr>
        <w:t xml:space="preserve">PARCHETUL DE PE LÂNGĂ TRIBUNALUL </w:t>
      </w:r>
      <w:r w:rsidR="00FA2AAD">
        <w:rPr>
          <w:rStyle w:val="Fontdeparagrafimplicit"/>
          <w:b/>
        </w:rPr>
        <w:t xml:space="preserve">             </w:t>
      </w:r>
      <w:r>
        <w:rPr>
          <w:rStyle w:val="Fontdeparagrafimplicit"/>
          <w:b/>
        </w:rPr>
        <w:t xml:space="preserve"> </w:t>
      </w:r>
      <w:r>
        <w:t>şi</w:t>
      </w:r>
      <w:r>
        <w:rPr>
          <w:rStyle w:val="Fontdeparagrafimplicit"/>
          <w:b/>
        </w:rPr>
        <w:t xml:space="preserve"> </w:t>
      </w:r>
      <w:r>
        <w:rPr>
          <w:rStyle w:val="Fontdeparagrafimplicit"/>
          <w:i/>
        </w:rPr>
        <w:t xml:space="preserve">inculpata </w:t>
      </w:r>
      <w:r w:rsidR="00FA2AAD">
        <w:rPr>
          <w:rStyle w:val="Fontdeparagrafimplicit"/>
          <w:b/>
        </w:rPr>
        <w:t xml:space="preserve">2 </w:t>
      </w:r>
      <w:r>
        <w:rPr>
          <w:rStyle w:val="Fontdeparagrafimplicit"/>
          <w:b/>
        </w:rPr>
        <w:t xml:space="preserve"> </w:t>
      </w:r>
      <w:r>
        <w:t xml:space="preserve">împotriva sentinţei penale nr. </w:t>
      </w:r>
      <w:r w:rsidR="00FA2AAD">
        <w:t xml:space="preserve">3/2016 </w:t>
      </w:r>
      <w:r>
        <w:t xml:space="preserve"> pronunţată de Tribunalul </w:t>
      </w:r>
      <w:r w:rsidR="00FA2AAD">
        <w:t xml:space="preserve">             </w:t>
      </w:r>
      <w:r>
        <w:t xml:space="preserve"> – Secţia </w:t>
      </w:r>
      <w:r w:rsidR="00FA2AAD">
        <w:t xml:space="preserve">  </w:t>
      </w:r>
      <w:r>
        <w:t xml:space="preserve">, în dosarul nr. </w:t>
      </w:r>
      <w:r w:rsidR="00FA2AAD">
        <w:t>1</w:t>
      </w:r>
      <w:r w:rsidR="008A4BE3">
        <w:t xml:space="preserve"> </w:t>
      </w:r>
      <w:r w:rsidR="00FA2AAD">
        <w:t xml:space="preserve"> </w:t>
      </w:r>
      <w:r>
        <w:t>.</w:t>
      </w:r>
    </w:p>
    <w:p w:rsidR="00B43FA4" w14:paraId="685C71B2" w14:textId="108387D3">
      <w:pPr>
        <w:ind w:firstLine="832"/>
        <w:jc w:val="both"/>
      </w:pPr>
      <w:r>
        <w:t xml:space="preserve">Dezbaterile au avut loc în şedinţa publică din data de </w:t>
      </w:r>
      <w:r w:rsidR="00FA2AAD">
        <w:t xml:space="preserve"> </w:t>
      </w:r>
      <w:r>
        <w:t xml:space="preserve">, fiind consemnate în încheierea de şedinţă de la data respectivă, care face parte integrantă din această decizie, când Curtea, având nevoie de timp pentru a delibera, a stabilit pronunţarea la data de </w:t>
      </w:r>
      <w:r w:rsidR="00FA2AAD">
        <w:t xml:space="preserve"> </w:t>
      </w:r>
      <w:r>
        <w:t xml:space="preserve">, astăzi, când în aceeaşi compunere, </w:t>
      </w:r>
    </w:p>
    <w:p w:rsidR="00B43FA4" w14:paraId="3D82B1D9" w14:textId="77777777">
      <w:pPr>
        <w:jc w:val="both"/>
      </w:pPr>
    </w:p>
    <w:p w:rsidR="00B43FA4" w14:paraId="59EDB928" w14:textId="77777777">
      <w:pPr>
        <w:jc w:val="center"/>
        <w:rPr>
          <w:rStyle w:val="Fontdeparagrafimplicit"/>
          <w:b/>
        </w:rPr>
      </w:pPr>
      <w:r>
        <w:rPr>
          <w:rStyle w:val="Fontdeparagrafimplicit"/>
          <w:b/>
        </w:rPr>
        <w:t>CURTEA,</w:t>
      </w:r>
    </w:p>
    <w:p w:rsidR="00B43FA4" w14:paraId="0FE51FE1" w14:textId="77777777">
      <w:pPr>
        <w:jc w:val="both"/>
        <w:rPr>
          <w:rStyle w:val="Fontdeparagrafimplicit"/>
        </w:rPr>
      </w:pPr>
    </w:p>
    <w:p w:rsidR="00B43FA4" w14:paraId="6404C73D" w14:textId="77777777">
      <w:pPr>
        <w:ind w:firstLine="858"/>
        <w:jc w:val="both"/>
      </w:pPr>
      <w:r>
        <w:t>Deliberând asupra apelurilor penale de faţă, din actele şi lucrările dosarului, constată şi reţine următoarele:</w:t>
      </w:r>
    </w:p>
    <w:p w:rsidR="00B43FA4" w14:paraId="265C5A76" w14:textId="569946BE">
      <w:pPr>
        <w:ind w:firstLine="900"/>
        <w:jc w:val="both"/>
      </w:pPr>
      <w:r>
        <w:rPr>
          <w:rStyle w:val="Fontdeparagrafimplicit"/>
          <w:b/>
        </w:rPr>
        <w:t xml:space="preserve">Prin sentinţa penală nr. </w:t>
      </w:r>
      <w:r w:rsidR="00FA2AAD">
        <w:rPr>
          <w:rStyle w:val="Fontdeparagrafimplicit"/>
          <w:b/>
        </w:rPr>
        <w:t xml:space="preserve">3/2016 </w:t>
      </w:r>
      <w:r>
        <w:t xml:space="preserve">, pronunţată de Tribunalul </w:t>
      </w:r>
      <w:r w:rsidR="00FA2AAD">
        <w:t xml:space="preserve">             </w:t>
      </w:r>
      <w:r>
        <w:t xml:space="preserve"> – Secţia </w:t>
      </w:r>
      <w:r w:rsidR="00FA2AAD">
        <w:t xml:space="preserve"> </w:t>
      </w:r>
      <w:r>
        <w:t xml:space="preserve">, în baza art. 485 alin.2 C.pr.p., a fost respins acordul de recunoaştere a vinovăţiei încheiat de Parchetul de pe lângă Tribunalul </w:t>
      </w:r>
      <w:r w:rsidR="00FA2AAD">
        <w:t xml:space="preserve">             </w:t>
      </w:r>
      <w:r>
        <w:t xml:space="preserve"> cu inculpata </w:t>
      </w:r>
      <w:r w:rsidR="00FA2AAD">
        <w:t xml:space="preserve">2 </w:t>
      </w:r>
      <w:r>
        <w:t xml:space="preserve"> cercetată pentru săvârşirea infracţiunii de evaziune fiscală, prevăzută de art. 9 alin. 1 lit. b din Legea nr. 241/2005 cu aplicarea art. 35 alin. 1 C.p., ce a format obiectul cauzei penale nr. </w:t>
      </w:r>
      <w:r w:rsidR="00FA2AAD">
        <w:t xml:space="preserve">4/2016 </w:t>
      </w:r>
      <w:r>
        <w:t>, dispunând trimiterea dosarului la procuror, în vederea continuării urmăririi penale.</w:t>
      </w:r>
    </w:p>
    <w:p w:rsidR="00B43FA4" w14:paraId="4007188A" w14:textId="5832645E">
      <w:pPr>
        <w:ind w:firstLine="900"/>
        <w:jc w:val="both"/>
      </w:pPr>
      <w:r>
        <w:t xml:space="preserve">Pentru a pronunţa această sentinţă, judecătorul fondului - analizând acordul de recunoaştere a vinovăţiei înaintat de Parchetul de pe lângă Tribunalul </w:t>
      </w:r>
      <w:r w:rsidR="00FA2AAD">
        <w:t xml:space="preserve">             </w:t>
      </w:r>
      <w:r>
        <w:t xml:space="preserve"> - a constatat că soluţia consemnată în acord este nejustificat de blândă în raport cu gravitatea infracţiunii şi cuantumul foarte mare al prejudiciului produs şi nerecuperat.</w:t>
      </w:r>
    </w:p>
    <w:p w:rsidR="00B43FA4" w14:paraId="6B453E65" w14:textId="77777777">
      <w:pPr>
        <w:ind w:firstLine="900"/>
        <w:jc w:val="both"/>
      </w:pPr>
      <w:r>
        <w:t>Din cuprinsul acordului, instanţa de fond a constatat că între inculpată şi partea civilă ANAF nu s-a încheiat vreo tranzacţie sau vreun acord de mediere cu privire la latura civilă, în cauză urmând a opera dispoziţiile art. 486 alin. 2 C.pr.p., potrivit cărora latura civilă va rămâne nesoluţionată, în baza art. 397 alin 5 C.pr.p., măsurile asigurătorii dispuse în cauză urmând a înceta de drept dacă persoana vătămată nu introduce acţiune în faţa instanţei civile în termen de 30 de zile de la rămânerea definitivă a hotărârii de condamnare.</w:t>
      </w:r>
    </w:p>
    <w:p w:rsidR="00B43FA4" w14:paraId="5A77A7D8" w14:textId="77777777">
      <w:pPr>
        <w:ind w:firstLine="900"/>
        <w:jc w:val="both"/>
      </w:pPr>
      <w:r>
        <w:t>A apreciat instanţa de fond că această împrejurare contravine dispoziţiilor art. 19 alin. 4 C.pr.p., potrivit cărora „acţiunea civilă se soluţionează în cadrul procesului penal, dacă prin aceasta nu se depăşeşte durata rezonabilă a procesului”. În cauză, nu se poate vorbi de o durată nerezonabilă, în condiţiile în care începerea urmării penale s-a dispus la data de 22.04.2016.</w:t>
      </w:r>
    </w:p>
    <w:p w:rsidR="00B43FA4" w14:paraId="3B6EECC0" w14:textId="77777777">
      <w:pPr>
        <w:ind w:firstLine="900"/>
        <w:jc w:val="both"/>
      </w:pPr>
      <w:r>
        <w:t xml:space="preserve">S-a arătat că, în speţă, nu este menţionat motivul pentru care a fost lăsată nesoluţionată latura civilă, în condiţiile în care partea vătămată este ANAF - care reprezintă statul român, acesta constituindu-se parte civilă în cauză cu suma totală de 240.398 lei. </w:t>
      </w:r>
    </w:p>
    <w:p w:rsidR="00B43FA4" w14:paraId="297D4F14" w14:textId="77777777">
      <w:pPr>
        <w:ind w:firstLine="900"/>
        <w:jc w:val="both"/>
      </w:pPr>
      <w:r>
        <w:t>Judecătorul fondului a apreciat că a obliga statul să promoveze o altă acţiune în faţa instanţei civile încalcă principiul caracterului echitabil prevăzut de art. 8 C.pr.p., potrivit căruia organele judiciare au obligaţia de a desfăşura urmărirea penală şi judecata cu respectarea garanţiilor procesuale şi drepturilor părţilor şi ale subiecţilor procesuali, astfel încât să fie constatate la timp şi în mod complet faptele care constituie infracţiuni.</w:t>
      </w:r>
    </w:p>
    <w:p w:rsidR="00B43FA4" w14:paraId="474F7720" w14:textId="77777777">
      <w:pPr>
        <w:ind w:firstLine="900"/>
        <w:jc w:val="both"/>
      </w:pPr>
      <w:r>
        <w:t>O astfel de soluţie ar conduce la întârzierea recuperării prejudiciului produs în dauna statului, fiind necesară obţinerea unei hotărâri judecătoreşti care să poată fi pusă în executare cât mai repede. De altfel, tocmai în vederea recuperării prejudiciului, Legea nr. 241/2005 prevede anumite facilităţi inculpatului care acoperă prejudiciul în timpul urmăririi penale sau până la primul termen de judecată, cum ar fi reducerea limitelor de pedeapsă la jumătate.</w:t>
      </w:r>
    </w:p>
    <w:p w:rsidR="00B43FA4" w14:paraId="4E99DDB1" w14:textId="77777777">
      <w:pPr>
        <w:ind w:firstLine="900"/>
        <w:jc w:val="both"/>
      </w:pPr>
      <w:r>
        <w:t>Instanţa de fond a mai constatat şi faptul că prin această soluţie se produce o discriminare în raport cu alţi inculpaţi care au fost trimişi în judecată pentru sume mult mai mici şi care nu au beneficiat de un acord de recunoaştere în faza de urmărire penală.</w:t>
      </w:r>
    </w:p>
    <w:p w:rsidR="00B43FA4" w14:paraId="7FDAABAF" w14:textId="4792A0D4">
      <w:pPr>
        <w:ind w:firstLine="858"/>
        <w:jc w:val="both"/>
      </w:pPr>
      <w:r>
        <w:rPr>
          <w:rStyle w:val="Fontdeparagrafimplicit"/>
          <w:b/>
        </w:rPr>
        <w:t>Împotriva acestei sentinţe, în termenul legal</w:t>
      </w:r>
      <w:r>
        <w:t>, au declarat apel</w:t>
      </w:r>
      <w:r>
        <w:rPr>
          <w:rStyle w:val="Fontdeparagrafimplicit"/>
          <w:b/>
        </w:rPr>
        <w:t xml:space="preserve"> </w:t>
      </w:r>
      <w:r>
        <w:t xml:space="preserve">Parchetul de pe lângă Tribunalul </w:t>
      </w:r>
      <w:r w:rsidR="00FA2AAD">
        <w:t xml:space="preserve">             </w:t>
      </w:r>
      <w:r>
        <w:t xml:space="preserve"> şi inculpata </w:t>
      </w:r>
      <w:r w:rsidR="00FA2AAD">
        <w:t xml:space="preserve">2 </w:t>
      </w:r>
      <w:r>
        <w:t>.</w:t>
      </w:r>
    </w:p>
    <w:p w:rsidR="00B43FA4" w14:paraId="02F9575B" w14:textId="685EAF81">
      <w:pPr>
        <w:ind w:firstLine="858"/>
        <w:jc w:val="both"/>
      </w:pPr>
      <w:r>
        <w:t xml:space="preserve">Prin apelul formulat, Parchetul de pe lângă Tribunalul </w:t>
      </w:r>
      <w:r w:rsidR="00FA2AAD">
        <w:t xml:space="preserve">             </w:t>
      </w:r>
      <w:r>
        <w:t xml:space="preserve"> a criticat soluţia pentru nelegalitate, solicitând, în acord cu disp. art. 408, 409, 488 alin. 1, 4 lit. c C.p.p., desfiinţarea sentinţei instanţei de fond şi admiterea acordului de recunoaştere a vinovăţiei în baza art. 485 alin. 1 lit. a C.p.p. şi art. 486 alin. 2 C.p.p.</w:t>
      </w:r>
    </w:p>
    <w:p w:rsidR="00B43FA4" w14:paraId="3298FE6C" w14:textId="77777777">
      <w:pPr>
        <w:spacing w:before="50"/>
        <w:ind w:firstLine="851"/>
        <w:jc w:val="both"/>
      </w:pPr>
      <w:r>
        <w:t>În motivare, s-a arătat că soluţia pronunţată este în contradicţie cu dispoziţiile art. 486 alin. 2 C.p.p. şi art.397 alin. 5 C.p.p..</w:t>
      </w:r>
    </w:p>
    <w:p w:rsidR="00B43FA4" w14:paraId="32655033" w14:textId="4A53AB0A">
      <w:pPr>
        <w:ind w:firstLine="851"/>
        <w:jc w:val="both"/>
      </w:pPr>
      <w:r>
        <w:t>În raport cu probele administrate în cauză, acordul de recunoaştere a vinovăţiei îndeplineşte toate condiţiile legale prevăzute de art. 480 C.p.p., pentru infracţiunea reţinută în sarcina inculpatei, pedeapsa înscriindu-se în limitele impuse de alineatul 1, lăsarea nesoluţionată a acţiunii civile în condiţiile speţei fiind reglementată fără echivoc de dispoziţiile art. 486 alin. 2 C.p.p. care stipulează că "hotărârea prin care s-a admis acordul de recunoaştere a vinovăţiei nu are autoritate de lucru judecat asupra întinderii prejudiciului în faţa instanţei civile", neîngrădind deci posibilitatea ANAF de a-şi recupera integral prejudiciul cauzat de inculpată, cu atât mai mult cu cât în faza de urmărire penală s-a dispus de către procuror prin Ordonanţa nr.</w:t>
      </w:r>
      <w:r w:rsidR="00FA2AAD">
        <w:t xml:space="preserve">4/2016 </w:t>
      </w:r>
      <w:r>
        <w:t xml:space="preserve"> din 05.07.2016 instituirea măsurii asigurătorii a sechestrului, atât pe suma existentă în conturile deschise de inculpată la </w:t>
      </w:r>
      <w:r w:rsidR="00FA2AAD">
        <w:t xml:space="preserve"> </w:t>
      </w:r>
      <w:r>
        <w:t xml:space="preserve"> Bank </w:t>
      </w:r>
      <w:r w:rsidR="00FA2AAD">
        <w:t xml:space="preserve"> </w:t>
      </w:r>
      <w:r>
        <w:t xml:space="preserve">. (în cuantum de 1.422,36 lei), cât şi pe bunul imobil apartament al inculpatei (până la concurenţa sumei de 240.000 lei), notarea ipotecară asupra imobilului fiind înregistrată prin încheierea nr. </w:t>
      </w:r>
      <w:r w:rsidR="008A4BE3">
        <w:t xml:space="preserve">              </w:t>
      </w:r>
      <w:r>
        <w:t>/01.08.2016 a OCPL.</w:t>
      </w:r>
    </w:p>
    <w:p w:rsidR="00B43FA4" w14:paraId="73C292A2" w14:textId="28EBD468">
      <w:pPr>
        <w:ind w:firstLine="851"/>
        <w:jc w:val="both"/>
      </w:pPr>
      <w:r>
        <w:t xml:space="preserve">De asemenea, conţinutul acordului de recunoaştere a vinovăţiei cuprinde şi respectă toate prevederile art. 482 C.p.p., cele referitoare la felul, cuantumul şi forma de executare a pedepsei, fiind în total consens cu practica Tribunalului </w:t>
      </w:r>
      <w:r w:rsidR="00FA2AAD">
        <w:t xml:space="preserve">             </w:t>
      </w:r>
      <w:r>
        <w:t xml:space="preserve"> în cauzele penale în care s-a dispus sesizarea instanţei cu rechizitoriu pentru infracţiuni similare şi prejudicii în acelaşi cuantum, astfel încât, nu se poate afirma că s-a făcut o discriminare în raport cu alţi inculpaţi, cum total nefondat a reţinut instanţa de fond, cu atât mai mult cu cât titularii acordului de recunoaştere a vinovăţiei sunt procurorul şi inculpatul, legea dând posibilitatea iniţierii acordului de către oricare inculpat, iar procurorul fiind singurul în măsură să decidă dacă se va încheia acordul de recunoaştere a vinovăţiei.</w:t>
      </w:r>
    </w:p>
    <w:p w:rsidR="00B43FA4" w14:paraId="0A805674" w14:textId="77777777">
      <w:pPr>
        <w:ind w:firstLine="851"/>
        <w:jc w:val="both"/>
      </w:pPr>
      <w:r>
        <w:t>Întrucât în speţă inculpata a solicitat acordul şi a agreat în cadrul discuţiilor cu procurorul pedeapsa şi modalitatea de executare stabilite, nefiind nici un impediment legal pentru a-i fi respinsă cererea de încheiere a acordului, s-a apreciat că soluţia instanţei este nelegală, chiar discriminatorie în raport cu faptul că pe rolul instanţei nu s-au înregistrat alte cauze de sesizare cu acord de recunoaştere a vinovăţiei, aceasta fiind prima de acest gen.</w:t>
      </w:r>
    </w:p>
    <w:p w:rsidR="00B43FA4" w14:paraId="78814E85" w14:textId="77777777">
      <w:pPr>
        <w:ind w:firstLine="851"/>
        <w:jc w:val="both"/>
      </w:pPr>
      <w:r>
        <w:t>Partea civilă ANAF a fost citată, atât la urmărirea penală, cât şi la tribunal, neexprimându-şi vreun punct de vedere contrar acordului încheiat, nesolicitând respingerea lui, astfel încât, nu se poate conchide că i-au fost încălcate drepturile penale şi civile, de cunoaştere a stadiului procesului penal, a soluţiei procurorului sau de recuperare a prejudiciului.</w:t>
      </w:r>
    </w:p>
    <w:p w:rsidR="00B43FA4" w14:paraId="13AE2EDE" w14:textId="77777777">
      <w:pPr>
        <w:spacing w:before="29"/>
        <w:ind w:firstLine="851"/>
        <w:jc w:val="both"/>
      </w:pPr>
      <w:r>
        <w:rPr>
          <w:rStyle w:val="Fontdeparagrafimplicit"/>
          <w:b/>
        </w:rPr>
        <w:t>Prin apelul formulat, inculpatul</w:t>
      </w:r>
      <w:r>
        <w:t xml:space="preserve"> criticând soluţia pentru nelegalitate a solicitat, în acord cu disp. art. art.488 alin.4 lit. c din Cpr.pen., admiterea apelului, desfiinţarea sentinţei prin care acordul de recunoaştere a fost respins, admiterea acordului de recunoaştere a vinovăţiei in baza art. 485 alin.1 lit.a din C.pr.pen. şi art.486 alin.2 din C.pr.pen.</w:t>
      </w:r>
    </w:p>
    <w:p w:rsidR="00B43FA4" w14:paraId="1C48B984" w14:textId="77777777">
      <w:pPr>
        <w:ind w:firstLine="851"/>
        <w:jc w:val="both"/>
      </w:pPr>
      <w:r>
        <w:t>În motivare, s-a arătat că acordul de recunoaştere a vinovăţiei este o procedură specială care constă în încheierea unei înţelegeri între acuzare şi apărare cu privire la sancţiunea ce urmează a fi aplicată inculpatului, numai în cazul în care sunt îndeplinite în mod cumulativ condiţiile prevăzute de art. 478-480 C.proc.pen..</w:t>
      </w:r>
    </w:p>
    <w:p w:rsidR="00B43FA4" w14:paraId="2D01BFA4" w14:textId="77777777">
      <w:pPr>
        <w:ind w:firstLine="851"/>
        <w:jc w:val="both"/>
      </w:pPr>
      <w:r>
        <w:t xml:space="preserve">Acest acord este supus cenzurii instanţei, care verifică, atât îndeplinirea condiţiilor de fond, cât şi a celor de formă, precum şi temeinicia acordului, aspect ce se desprinde din coroborarea art. 484 şi 485 C.proc.pen. (acesta din urmă făcând referire expresă atât la verificarea condiţiilor prevăzute de art. 480-482 C.proc.pen. cât şi la „blândeţea" soluţiei cu privire la care s-a ajuns la un acord, raportat la gravitatea infracţiunii sau periculozitatea infractorului). </w:t>
      </w:r>
    </w:p>
    <w:p w:rsidR="00B43FA4" w14:paraId="3721C361" w14:textId="77777777">
      <w:pPr>
        <w:ind w:firstLine="851"/>
        <w:jc w:val="both"/>
      </w:pPr>
      <w:r>
        <w:t>Prin urmare, soluţia respingerii acordului de recunoaştere a vinovăţiei poate avea la bază fie motive de nelegalitate (nerespectarea prevederilor art. 480-482 C.proc.pen.), fie motive de netemeinicie (soluţia agreată este prea blândă raportat la gravitatea infracţiunii sau periculozitatea infractorului).</w:t>
      </w:r>
    </w:p>
    <w:p w:rsidR="00B43FA4" w14:paraId="2551410C" w14:textId="77777777">
      <w:pPr>
        <w:spacing w:before="14"/>
        <w:ind w:firstLine="851"/>
        <w:jc w:val="both"/>
      </w:pPr>
      <w:r>
        <w:t>Potrivit art. 480-482 C.proc.pen., pentru încheierea acordului de recunoaştere a vinovăţiei trebuie îndeplinite următoarele condiţii: să fi fost pusă în mişcare acţiunea penală; inculpatul cu care se încheie acordul să fie major; legea să prevadă pentru infracţiunea pentru care a fost pusă în mişcare acţiunea penală numai pedeapsa amenzii sau pedeapsa închisorii de cel mult 15 ani; din probele administrate în cursul urmăririi penale să rezulte suficiente date cu privire la existenţa faptei pentru care s-a pus în mişcare acţiunea penală şi cu privire la vinovăţia inculpatului; să existe avizul prealabil scris al procurorului ierarhic superior prin care acesta să fie de acord cu limitele acordului; procurorul de caz şi inculpatul să agreeze obiectul acordului.</w:t>
      </w:r>
    </w:p>
    <w:p w:rsidR="00B43FA4" w14:paraId="393936E9" w14:textId="77777777">
      <w:pPr>
        <w:ind w:firstLine="851"/>
        <w:jc w:val="both"/>
      </w:pPr>
      <w:r>
        <w:t>Necontestabil, toate aceste condiţii de fond şi de formă sunt îndeplinite în prezenta cauză de către reprezentantul Ministerului Public.</w:t>
      </w:r>
    </w:p>
    <w:p w:rsidR="00B43FA4" w14:paraId="62FC6268" w14:textId="77777777">
      <w:pPr>
        <w:spacing w:before="7"/>
        <w:ind w:firstLine="851"/>
        <w:jc w:val="both"/>
      </w:pPr>
      <w:r>
        <w:t>Temeinicia sancţiunii cu privire la care s-a ajuns la un acord, raportată la natura, cuantumului acesteia, precum şi modalitatea de executare se raportează la criteriile de individualizare prevăzute la art. 74 C.pen.</w:t>
      </w:r>
    </w:p>
    <w:p w:rsidR="00B43FA4" w14:paraId="075820DA" w14:textId="13AC42F0">
      <w:pPr>
        <w:spacing w:before="7"/>
        <w:ind w:firstLine="851"/>
        <w:jc w:val="both"/>
      </w:pPr>
      <w:r>
        <w:t xml:space="preserve">Având în vedere infracţiunea reţinută în sarcina inculpatei şi probele administrate în cauză, pedeapsa aplicată prin acordul de recunoaştere se încadrează în limitele impuse de art.480 alin.1 din C.pr.pen., iar potrivit art.482 din C.pr.pen., acordul de recunoaştere a vinovăţiei cuprinde cerinţele prevăzute de lege, inclusiv cele referitoare la felul, cuantumul şi forma de executare a pedepsei care este în concordanţă cu practica Tribunalului </w:t>
      </w:r>
      <w:r w:rsidR="00FA2AAD">
        <w:t xml:space="preserve">             </w:t>
      </w:r>
      <w:r>
        <w:t xml:space="preserve"> în cauze penale similare în care s-a dispus trimiterea în judecată a inculpaţilor pentru infracţiunea prev. de Legea nr.241/2005 şi prejudicii în acelaşi cuantum.</w:t>
      </w:r>
    </w:p>
    <w:p w:rsidR="00B43FA4" w14:paraId="5AF10257" w14:textId="77777777">
      <w:pPr>
        <w:spacing w:before="7"/>
        <w:ind w:firstLine="851"/>
        <w:jc w:val="both"/>
      </w:pPr>
      <w:r>
        <w:t>Este adevărat că, potrivit art. 486 alin. 2 din C.pr.pen., „în cazul în care</w:t>
      </w:r>
      <w:r>
        <w:rPr>
          <w:rStyle w:val="Fontdeparagrafimplicit"/>
          <w:i/>
        </w:rPr>
        <w:t xml:space="preserve"> instanţa admite acordul de recunoaştere a vinovăţiei şi între părţi nu s-a încheiat tranzacţie sau acord de mediere cu privire la acţiunea civilă, </w:t>
      </w:r>
      <w:r>
        <w:t>instanţa lasă nesoluţionată acţiunea civilă" însă, "în această situaţie, hotărârea prin care s-a admis acordul de recunoaştere a vinovăţiei nu are autoritate de lucru judecat asupra întinderii prejudiciului în fata instanţei civile",</w:t>
      </w:r>
      <w:r>
        <w:rPr>
          <w:rStyle w:val="Fontdeparagrafimplicit"/>
          <w:i/>
        </w:rPr>
        <w:t xml:space="preserve"> </w:t>
      </w:r>
      <w:r>
        <w:t>astfel că, dreptul părţii civile ANAF de a-şi recupera integral prejudiciul, la instanţa civilă, nu este îngrădit în nici un caz.</w:t>
      </w:r>
    </w:p>
    <w:p w:rsidR="00B43FA4" w14:paraId="6AF3B7D1" w14:textId="47C8FCA0">
      <w:pPr>
        <w:spacing w:before="14"/>
        <w:ind w:firstLine="851"/>
        <w:jc w:val="both"/>
      </w:pPr>
      <w:r>
        <w:t>Mai mult decât atât, prin Ordonanţa din 05.07.2016, în dosarul nr.</w:t>
      </w:r>
      <w:r w:rsidR="00FA2AAD">
        <w:t xml:space="preserve">4/2016 </w:t>
      </w:r>
      <w:r>
        <w:t xml:space="preserve"> s-a dispus măsura sechestrului asigurător pentru suma de 1.422,36 lei, existentă în contul deschis la     Bank SA, pe numele inculpatei, precum şi asupra bunului imobil apartament aparţinând inculpatei, până la concurenţa sumei de 240.000 lei, sechestrul asigurător penal fiind înscris la OCPI, prin încheierea nr.</w:t>
      </w:r>
      <w:r w:rsidR="008A4BE3">
        <w:t xml:space="preserve">              </w:t>
      </w:r>
      <w:r>
        <w:t>/01.08.2016, bunul fiind astfel indisponibilizat şi împiedicată înstrăinarea sau sustragerea de la urmărire a acestuia.</w:t>
      </w:r>
    </w:p>
    <w:p w:rsidR="00B43FA4" w14:paraId="22DFC291" w14:textId="77777777">
      <w:pPr>
        <w:spacing w:before="22"/>
        <w:ind w:firstLine="851"/>
        <w:jc w:val="both"/>
      </w:pPr>
      <w:r>
        <w:t xml:space="preserve">În cazul în care instanţa lasă nesoluţionată acţiunea civilă, măsura sechestrului asigurător încetează de drept dacă persoana vătămată nu introduce acţiune în faţa instanţei civile în termen de 30 zile de la rămânerea definitivă a hotărârii, astfel că ANAF, în calitate de persoană vătămată, </w:t>
      </w:r>
      <w:r>
        <w:t>trebuie să facă diligenţele necesare pentru a introduce o cerere de chemare în judecată pentru recuperarea prejudiciului Ia instanţa civilă, în termen de 30 zile şi să nu rămână în pasivitate, dar în nici un caz nu poate fi vorba de o încălcare a principiului caracterului echitabil prevăzut de art.8 din C.pr.pen., garanţiile procesuale şi drepturile părţilor fiind respectate.</w:t>
      </w:r>
    </w:p>
    <w:p w:rsidR="00B43FA4" w14:paraId="7D37EF0B" w14:textId="77777777">
      <w:pPr>
        <w:spacing w:before="7"/>
        <w:ind w:firstLine="851"/>
        <w:jc w:val="both"/>
      </w:pPr>
      <w:r>
        <w:t>Potrivit art.478 din C.pr.pen., titularii acordului de recunoaştere a vinovăţiei sunt inculpatul şi procurorul, oricare dintre aceştia putând iniţia acest acord, limitele încheierii acordului fiind stabilite prin avizul prealabil şi scris al procurorului ierarhic superior.</w:t>
      </w:r>
    </w:p>
    <w:p w:rsidR="00B43FA4" w14:paraId="65DA65F1" w14:textId="6EC5AA52">
      <w:pPr>
        <w:spacing w:before="29"/>
        <w:ind w:firstLine="851"/>
        <w:jc w:val="both"/>
      </w:pPr>
      <w:r>
        <w:t xml:space="preserve">În alin.5 al aceluiaşi articol se stipulează că, în situaţia în care sunt mai mulţi inculpaţi în cauza, </w:t>
      </w:r>
      <w:r>
        <w:rPr>
          <w:rStyle w:val="Fontdeparagrafimplicit"/>
          <w:i/>
        </w:rPr>
        <w:t xml:space="preserve">"se poate încheia un acord de recunoaştere a vinovăţiei distinct cu fiecare dintre aceştia, fără a fi adusă atingere prezumţiei de nevinovăţie a inculpaţilor pentru care nu s-a încheiat acord" </w:t>
      </w:r>
      <w:r>
        <w:t xml:space="preserve">astfel că, în nici un caz nu poate fi vorba despre </w:t>
      </w:r>
      <w:r>
        <w:rPr>
          <w:rStyle w:val="Fontdeparagrafimplicit"/>
          <w:i/>
        </w:rPr>
        <w:t xml:space="preserve">o </w:t>
      </w:r>
      <w:r>
        <w:t xml:space="preserve">discriminare faţă de alţi inculpaţi întrucât, pe de o parte, în această cauză nu există alţi inculpaţi, iar în ceea ce priveşte inculpaţii din alte cauze, nu este vinovată inculpata </w:t>
      </w:r>
      <w:r w:rsidR="00FA2AAD">
        <w:t xml:space="preserve">2 </w:t>
      </w:r>
      <w:r>
        <w:t xml:space="preserve"> că aceştia nu au recunoscut fapta săvârşită şi nu au încheiat cu procurorul un acord de recunoaştere, fiecare fiind beneficiarul prezumţiei de nevinovăţie.</w:t>
      </w:r>
    </w:p>
    <w:p w:rsidR="00B43FA4" w14:paraId="0685AC97" w14:textId="77777777">
      <w:pPr>
        <w:spacing w:before="22"/>
        <w:ind w:firstLine="851"/>
        <w:jc w:val="both"/>
      </w:pPr>
      <w:r>
        <w:t>În cauza de faţă, inculpata a recunoscut comiterea faptei şi prin solicitarea de încheiere a acordului de recunoaştere a vinovăţiei a învederat că acceptă încadrarea juridică a faptei şi ulterior, cuantumul pedepsei şi modalitatea de executare.</w:t>
      </w:r>
    </w:p>
    <w:p w:rsidR="00B43FA4" w14:paraId="513ACEC2" w14:textId="6DFBEE56">
      <w:pPr>
        <w:ind w:firstLine="851"/>
        <w:jc w:val="both"/>
      </w:pPr>
      <w:r>
        <w:t xml:space="preserve">Partea civilă ANAF, legal citată, nu şi-a exprimat vreun punct de vedere în ceea ce priveşte acordul de recunoaştere a vinovăţiei inculpatei </w:t>
      </w:r>
      <w:r w:rsidR="00FA2AAD">
        <w:t xml:space="preserve">2 </w:t>
      </w:r>
      <w:r>
        <w:t>.</w:t>
      </w:r>
    </w:p>
    <w:p w:rsidR="00B43FA4" w14:paraId="581AC144" w14:textId="77777777">
      <w:pPr>
        <w:ind w:right="-33" w:firstLine="871"/>
        <w:jc w:val="both"/>
        <w:rPr>
          <w:rStyle w:val="Fontdeparagrafimplicit"/>
          <w:b/>
        </w:rPr>
      </w:pPr>
      <w:r>
        <w:rPr>
          <w:rStyle w:val="Fontdeparagrafimplicit"/>
          <w:b/>
        </w:rPr>
        <w:t>Analizând hotărârea pronunţată de instanţa de fond, în raport cu toate actele şi lucrările dosarului, cu motivele anterior menţionate prin raportare la disp. art. 417 şi următoarele din Codul de procedură penală, Curtea constată că apelurile cu care a fost sesizată sunt fondate, în considerarea următoarelor argumente:</w:t>
      </w:r>
    </w:p>
    <w:p w:rsidR="00B43FA4" w14:paraId="157530E9" w14:textId="77777777">
      <w:pPr>
        <w:ind w:firstLine="858"/>
        <w:jc w:val="both"/>
      </w:pPr>
      <w:r>
        <w:t>Curtea reţine că ambele apeluri declarate în cauză sunt subsumate unei critici de nelegalitate a sentinţei instanţei de fond decurgând din pronunţarea unei soluţii cu încălcarea dispoziţiilor legale incidente; pentru acest considerent al unităţii criticii, Curtea va analiza deopotrivă cele două căi de atac.</w:t>
      </w:r>
    </w:p>
    <w:p w:rsidR="00B43FA4" w14:paraId="4BE22100" w14:textId="77777777">
      <w:pPr>
        <w:ind w:firstLine="858"/>
        <w:jc w:val="both"/>
      </w:pPr>
      <w:r>
        <w:t xml:space="preserve">Prin ambele apeluri, se reproşează judecătorului fondului soluţia de respingere a acordului de recunoaştere pentru motivul nesoluţionării şi a laturii civile. </w:t>
      </w:r>
    </w:p>
    <w:p w:rsidR="00B43FA4" w14:paraId="3D18EC58" w14:textId="77777777">
      <w:pPr>
        <w:ind w:firstLine="858"/>
        <w:jc w:val="both"/>
      </w:pPr>
      <w:r>
        <w:t xml:space="preserve">Valorificând disp. art. 480, 481, 482, 486 C. proc. pen., Curtea apreciază că nici unul dintre aceste texte de lege ce reglementează, condiţiile de formă, pe cele de fond pe care trebuie să le respecte acordul de recunoaştere sau soluţiile procedurale de pronunţat nu prevăd obligativitatea soluţionării şi a laturii civile ca o condiţie de admisibilitate a acordului. </w:t>
      </w:r>
    </w:p>
    <w:p w:rsidR="00B43FA4" w14:paraId="002FC2AA" w14:textId="77777777">
      <w:pPr>
        <w:ind w:firstLine="858"/>
        <w:jc w:val="both"/>
      </w:pPr>
      <w:r>
        <w:t>Văzând prevederile art. 486 C. proc. pen., Curtea reţine că în cazul în care între părţi nu s-a încheiat o tranzacţie sau acord de mediere cu privire la acţiunea civilă, instanţa lasă nesoluţionată acţiunea civilă. În acest caz, hotărârea prin care s-a admis acordul de recunoaştere a vinovăţiei nu are autoritate de lucru judecat asupra întinderii prejudiciului în faţa instanţei civile.</w:t>
      </w:r>
    </w:p>
    <w:p w:rsidR="00B43FA4" w14:paraId="434BAD4E" w14:textId="77777777">
      <w:pPr>
        <w:ind w:firstLine="708"/>
        <w:jc w:val="both"/>
      </w:pPr>
      <w:r>
        <w:t>Cum legea nu obligă titularii acordului de recunoaştere la soluţionarea laturii civile, o astfel de soluţie este lăsată exclusiv la latitudinea acestora.</w:t>
      </w:r>
    </w:p>
    <w:p w:rsidR="00B43FA4" w14:paraId="49444FFF" w14:textId="77777777">
      <w:pPr>
        <w:ind w:firstLine="708"/>
        <w:jc w:val="both"/>
      </w:pPr>
      <w:r>
        <w:t xml:space="preserve">Văzând disp. art. 478 C. proc. pen., Curtea reţine că singurii titulari ai acordului de recunoaştere sunt procurorul şi inculpatul/inculpaţii, textul legii neincluzând şi partea civilă în acest edificiu procesual, sens în care obligatoriu de soluţionat pe această cale este latura penală, latura civilă fiind doar o facultate. </w:t>
      </w:r>
    </w:p>
    <w:p w:rsidR="00B43FA4" w14:paraId="5CBDB683" w14:textId="77777777">
      <w:pPr>
        <w:ind w:firstLine="858"/>
        <w:jc w:val="both"/>
      </w:pPr>
      <w:r>
        <w:t>În acest context, Curtea reţine că legea nu obligă părţile şi la soluţionarea laturii civile prin acordul de recunoaştere de vinovăţie, dând posibilitatea părţii civile de a se adresa ulterior instanţei civile în vederea reparării prejudiciului, pentru instanţa penală fiind reglementată posibilitatea de a lăsa nesoluţionată latura civilă şi nicidecum de a respinge acordul de recunoaştere.</w:t>
      </w:r>
    </w:p>
    <w:p w:rsidR="00B43FA4" w14:paraId="750FA75D" w14:textId="77777777">
      <w:pPr>
        <w:ind w:firstLine="858"/>
        <w:jc w:val="both"/>
      </w:pPr>
      <w:r>
        <w:t>Văzând deopotrivă şi disp. art. 485 C. proc. pen., Curtea constată că legiuitorul a prevăzut soluţia de respingere a acordului de recunoaştere în cazul în care nu sunt îndeplinite condiţiile prev. de art. 480-482 C. proc. pen. cu privire la toate faptele reţinute în sarcina inculpatului sau dacă se apreciază că soluţia la care s-a ajuns este nelegală sau nejustificat de blândă în raport cu gravitatea infracţiunii.</w:t>
      </w:r>
    </w:p>
    <w:p w:rsidR="00B43FA4" w14:paraId="74948A93" w14:textId="77777777">
      <w:pPr>
        <w:ind w:firstLine="858"/>
        <w:jc w:val="both"/>
      </w:pPr>
      <w:r>
        <w:t>Văzând disp. art. 480-482, Curtea nu identifică din punct de vedere al condiţiilor de fond sau formă obligativitatea soluţionării laturii civile, legalitatea soluţiei şi proporţionalitatea pedepsei urmând a se analiza prin raportare la regimul sancţionator al faptei săvârşite.</w:t>
      </w:r>
    </w:p>
    <w:p w:rsidR="00B43FA4" w14:paraId="019529E9" w14:textId="77777777">
      <w:pPr>
        <w:ind w:firstLine="858"/>
        <w:jc w:val="both"/>
      </w:pPr>
      <w:r>
        <w:t xml:space="preserve">În ceea ce priveşte motivarea instanţei de fond legată de discriminarea părţii civile, Curtea apreciază că, de principiu, nu se poate vorbi de discriminare decât în situaţia în care există cel puţin două entităţi în aceeaşi situaţie sau cel puţin în situaţii similare şi care, fără justificare legală, să fi primit un tratament discriminatoriu. Ori în cauză, nefiind întrunită situaţia premisă, întrucât este vorba de o singură parte vătămată, motivarea instanţei este străină de realitatea speţei. </w:t>
      </w:r>
    </w:p>
    <w:p w:rsidR="00B43FA4" w14:paraId="5275708A" w14:textId="34C6757C">
      <w:pPr>
        <w:ind w:firstLine="858"/>
        <w:jc w:val="both"/>
      </w:pPr>
      <w:r>
        <w:t xml:space="preserve">Faţă de aceste considerente, Curtea apreciază, în acord cu cei doi titulari ai căii de atac, că soluţia pronunţată este în afara limitelor legale, motiv pentru care în acord cu disp. art. 421 pct. 2 lit. a C.p.p. va admite apelurile formulate de Parchetul de pe lângă Tribunalul </w:t>
      </w:r>
      <w:r w:rsidR="00FA2AAD">
        <w:t xml:space="preserve">             </w:t>
      </w:r>
      <w:r>
        <w:t xml:space="preserve"> şi inculpata </w:t>
      </w:r>
      <w:r w:rsidR="00FA2AAD">
        <w:t xml:space="preserve">2 </w:t>
      </w:r>
      <w:r>
        <w:t xml:space="preserve"> împotriva sentinţei penale nr. </w:t>
      </w:r>
      <w:r w:rsidR="00FA2AAD">
        <w:t xml:space="preserve">3/2016 </w:t>
      </w:r>
      <w:r>
        <w:t xml:space="preserve"> pronunţată de Tribunalul </w:t>
      </w:r>
      <w:r w:rsidR="00FA2AAD">
        <w:t xml:space="preserve">             </w:t>
      </w:r>
      <w:r>
        <w:t xml:space="preserve"> în dosarul cu numărul de mai sus şi desfiinţând sentinţa penală atacată rejudecând pe fond în baza art. 485 al. 1 lit. a C.p.p. va admite acordul de recunoaştere a vinovăţiei încheiat între Parchetul de pe lângă Tribunalul </w:t>
      </w:r>
      <w:r w:rsidR="00FA2AAD">
        <w:t xml:space="preserve">             </w:t>
      </w:r>
      <w:r>
        <w:t xml:space="preserve"> şi inculpata </w:t>
      </w:r>
      <w:r w:rsidR="00FA2AAD">
        <w:t xml:space="preserve">2 </w:t>
      </w:r>
      <w:r>
        <w:t xml:space="preserve">, nr. </w:t>
      </w:r>
      <w:r w:rsidR="00FA2AAD">
        <w:t xml:space="preserve">4/2016 </w:t>
      </w:r>
      <w:r>
        <w:t xml:space="preserve"> din </w:t>
      </w:r>
      <w:r w:rsidR="008A4BE3">
        <w:t xml:space="preserve"> </w:t>
      </w:r>
      <w:r>
        <w:t>.09.2016.</w:t>
      </w:r>
    </w:p>
    <w:p w:rsidR="00B43FA4" w14:paraId="7E6B2E01" w14:textId="77777777">
      <w:pPr>
        <w:ind w:firstLine="858"/>
        <w:jc w:val="both"/>
      </w:pPr>
    </w:p>
    <w:p w:rsidR="00B43FA4" w14:paraId="70D0D9CA" w14:textId="77777777">
      <w:pPr>
        <w:pStyle w:val="Style1"/>
        <w:widowControl/>
        <w:tabs>
          <w:tab w:val="right" w:pos="8342"/>
        </w:tabs>
        <w:spacing w:line="240" w:lineRule="auto"/>
        <w:jc w:val="center"/>
        <w:rPr>
          <w:rStyle w:val="FontStyle11"/>
          <w:b/>
        </w:rPr>
      </w:pPr>
      <w:r>
        <w:rPr>
          <w:rStyle w:val="FontStyle11"/>
          <w:b/>
        </w:rPr>
        <w:t>PENTRU ACESTE MOTIVE,</w:t>
      </w:r>
    </w:p>
    <w:p w:rsidR="00B43FA4" w14:paraId="17401D49" w14:textId="77777777">
      <w:pPr>
        <w:pStyle w:val="Style1"/>
        <w:widowControl/>
        <w:tabs>
          <w:tab w:val="right" w:pos="8342"/>
        </w:tabs>
        <w:spacing w:line="240" w:lineRule="auto"/>
        <w:jc w:val="center"/>
        <w:rPr>
          <w:rStyle w:val="FontStyle11"/>
          <w:b/>
        </w:rPr>
      </w:pPr>
      <w:r>
        <w:rPr>
          <w:rStyle w:val="FontStyle11"/>
          <w:b/>
        </w:rPr>
        <w:t>ÎN NUMELE LEGII,</w:t>
      </w:r>
    </w:p>
    <w:p w:rsidR="00B43FA4" w14:paraId="11B03996" w14:textId="77777777">
      <w:pPr>
        <w:pStyle w:val="Style1"/>
        <w:widowControl/>
        <w:tabs>
          <w:tab w:val="right" w:pos="8342"/>
        </w:tabs>
        <w:spacing w:line="240" w:lineRule="auto"/>
        <w:jc w:val="center"/>
        <w:rPr>
          <w:rStyle w:val="FontStyle11"/>
          <w:b/>
        </w:rPr>
      </w:pPr>
      <w:r>
        <w:rPr>
          <w:rStyle w:val="FontStyle11"/>
          <w:b/>
        </w:rPr>
        <w:t>DECIDE:</w:t>
      </w:r>
    </w:p>
    <w:p w:rsidR="00B43FA4" w14:paraId="309DEE95" w14:textId="77777777">
      <w:pPr>
        <w:ind w:firstLine="858"/>
        <w:jc w:val="both"/>
        <w:rPr>
          <w:rStyle w:val="FontStyle11"/>
        </w:rPr>
      </w:pPr>
    </w:p>
    <w:p w:rsidR="00B43FA4" w14:paraId="35D6A1B9" w14:textId="7B9E3EF4">
      <w:pPr>
        <w:ind w:firstLine="858"/>
        <w:jc w:val="both"/>
      </w:pPr>
      <w:r>
        <w:t xml:space="preserve">În baza art. 421 pct. 2 lit. a C.p.p. admite apelurile formulate de Parchetul de pe lângă Tribunalul </w:t>
      </w:r>
      <w:r w:rsidR="00FA2AAD">
        <w:t xml:space="preserve">             </w:t>
      </w:r>
      <w:r>
        <w:t xml:space="preserve"> şi inculpata </w:t>
      </w:r>
      <w:r w:rsidR="00FA2AAD">
        <w:t xml:space="preserve">2 </w:t>
      </w:r>
      <w:r>
        <w:t xml:space="preserve"> împotriva sentinţei penale nr. </w:t>
      </w:r>
      <w:r w:rsidR="00FA2AAD">
        <w:t xml:space="preserve">3/2016 </w:t>
      </w:r>
      <w:r>
        <w:t xml:space="preserve"> pronunţată de Tribunalul </w:t>
      </w:r>
      <w:r w:rsidR="00FA2AAD">
        <w:t xml:space="preserve">             </w:t>
      </w:r>
      <w:r>
        <w:t xml:space="preserve"> în dosarul cu numărul de mai sus.</w:t>
      </w:r>
    </w:p>
    <w:p w:rsidR="00B43FA4" w14:paraId="0606F6A6" w14:textId="77777777">
      <w:pPr>
        <w:ind w:firstLine="858"/>
        <w:jc w:val="both"/>
      </w:pPr>
      <w:r>
        <w:t>Desfiinţează sentinţa penală atacată şi pe fond rejudecând:</w:t>
      </w:r>
    </w:p>
    <w:p w:rsidR="00B43FA4" w14:paraId="5430F9DF" w14:textId="5F09AA2B">
      <w:pPr>
        <w:ind w:firstLine="858"/>
        <w:jc w:val="both"/>
      </w:pPr>
      <w:r>
        <w:t xml:space="preserve">În baza art. 485 al. 1 lit. a C.p.p. admite acordul de recunoaştere a vinovăţiei încheiat între Parchetul de pe lângă Tribunalul </w:t>
      </w:r>
      <w:r w:rsidR="00FA2AAD">
        <w:t xml:space="preserve">             </w:t>
      </w:r>
      <w:r>
        <w:t xml:space="preserve"> şi inculpata </w:t>
      </w:r>
      <w:r w:rsidR="00FA2AAD">
        <w:t xml:space="preserve">2 </w:t>
      </w:r>
      <w:r>
        <w:t xml:space="preserve">, nr. </w:t>
      </w:r>
      <w:r w:rsidR="00FA2AAD">
        <w:t xml:space="preserve">4/2016 </w:t>
      </w:r>
      <w:r>
        <w:t xml:space="preserve"> din </w:t>
      </w:r>
      <w:r w:rsidR="008A4BE3">
        <w:t xml:space="preserve"> </w:t>
      </w:r>
      <w:r>
        <w:t>.09.2016.</w:t>
      </w:r>
    </w:p>
    <w:p w:rsidR="00B43FA4" w14:paraId="75EEC95C" w14:textId="136FC339">
      <w:pPr>
        <w:ind w:firstLine="858"/>
        <w:jc w:val="both"/>
      </w:pPr>
      <w:r>
        <w:t xml:space="preserve">În baza art. 9 al. 1 lit. b din Legea nr. 241/2005 cu aplicarea art. 35 al. 1 C.p. condamnă pe inculpata </w:t>
      </w:r>
      <w:r w:rsidR="00FA2AAD">
        <w:t xml:space="preserve">2 </w:t>
      </w:r>
      <w:r>
        <w:t xml:space="preserve"> la pedeapsa de 2 ani închisoare.</w:t>
      </w:r>
    </w:p>
    <w:p w:rsidR="00B43FA4" w14:paraId="64AFB718" w14:textId="77777777">
      <w:pPr>
        <w:ind w:firstLine="858"/>
        <w:jc w:val="both"/>
      </w:pPr>
      <w:r>
        <w:t>În baza art. 92 C.p. suspendă executarea pedepsei sub supraveghere, pe un termen de supraveghere de 3 ani, stabilit conform art. 93 C.p.</w:t>
      </w:r>
    </w:p>
    <w:p w:rsidR="00B43FA4" w14:paraId="44100A7B" w14:textId="77777777">
      <w:pPr>
        <w:ind w:firstLine="858"/>
        <w:jc w:val="both"/>
      </w:pPr>
      <w:r>
        <w:t>În baza art. 93 al. 1 şi al. 2 lit. d C.p., pe durata termenului de supraveghere, inculpata va respecta următoarele măsuri de supraveghere şi obligaţii:</w:t>
      </w:r>
    </w:p>
    <w:p w:rsidR="00B43FA4" w14:paraId="366EE6B4" w14:textId="2ED86674">
      <w:pPr>
        <w:ind w:firstLine="858"/>
        <w:jc w:val="both"/>
      </w:pPr>
      <w:r>
        <w:t>-</w:t>
      </w:r>
      <w:r>
        <w:tab/>
        <w:t xml:space="preserve">se va prezenta la Serviciul de Probaţiune de pe lângă Tribunalul </w:t>
      </w:r>
      <w:r w:rsidR="00FA2AAD">
        <w:t xml:space="preserve">             </w:t>
      </w:r>
      <w:r>
        <w:t xml:space="preserve"> la datele fixate de consilierul de probaţiune;</w:t>
      </w:r>
    </w:p>
    <w:p w:rsidR="00B43FA4" w14:paraId="57954EF2" w14:textId="77777777">
      <w:pPr>
        <w:ind w:firstLine="858"/>
        <w:jc w:val="both"/>
      </w:pPr>
      <w:r>
        <w:t>-</w:t>
      </w:r>
      <w:r>
        <w:tab/>
        <w:t>va primi vizitele consilierului de probaţiune desemnat cu supravegherea sa;</w:t>
      </w:r>
    </w:p>
    <w:p w:rsidR="00B43FA4" w14:paraId="160285AA" w14:textId="77777777">
      <w:pPr>
        <w:ind w:firstLine="858"/>
        <w:jc w:val="both"/>
      </w:pPr>
      <w:r>
        <w:t>-</w:t>
      </w:r>
      <w:r>
        <w:tab/>
        <w:t>va anunţa în prealabil schimbarea locuinţei şi orice deplasare care depăşeşte 5 zile;</w:t>
      </w:r>
    </w:p>
    <w:p w:rsidR="00B43FA4" w14:paraId="79CE85DF" w14:textId="77777777">
      <w:pPr>
        <w:ind w:firstLine="858"/>
        <w:jc w:val="both"/>
      </w:pPr>
      <w:r>
        <w:t>-</w:t>
      </w:r>
      <w:r>
        <w:tab/>
        <w:t>va comunica schimbarea locului de muncă;</w:t>
      </w:r>
    </w:p>
    <w:p w:rsidR="00B43FA4" w14:paraId="02F2C848" w14:textId="77777777">
      <w:pPr>
        <w:ind w:firstLine="858"/>
        <w:jc w:val="both"/>
      </w:pPr>
      <w:r>
        <w:t>-</w:t>
      </w:r>
      <w:r>
        <w:tab/>
        <w:t>va comunica informaţii şi documente de natură a permite controlul mijloacelor sale de existenţă;</w:t>
      </w:r>
    </w:p>
    <w:p w:rsidR="00B43FA4" w14:paraId="36FA26D5" w14:textId="77777777">
      <w:pPr>
        <w:ind w:firstLine="858"/>
        <w:jc w:val="both"/>
      </w:pPr>
      <w:r>
        <w:t>-</w:t>
      </w:r>
      <w:r>
        <w:tab/>
        <w:t>nu va părăsi teritoriul României fără încuviinţarea instanţei.</w:t>
      </w:r>
    </w:p>
    <w:p w:rsidR="00B43FA4" w14:paraId="35B08775" w14:textId="7341809D">
      <w:pPr>
        <w:ind w:firstLine="858"/>
        <w:jc w:val="both"/>
      </w:pPr>
      <w:r>
        <w:t xml:space="preserve">În baza art. 93 al. 3 C.p. inculpata va presta o muncă neremunerată în folosul comunităţii pe o perioadă de 60 de zile, la Primăria </w:t>
      </w:r>
      <w:r w:rsidR="00FA2AAD">
        <w:t xml:space="preserve">             </w:t>
      </w:r>
      <w:r>
        <w:t xml:space="preserve"> sau Primăria </w:t>
      </w:r>
      <w:r w:rsidR="00612D34">
        <w:t xml:space="preserve">                     </w:t>
      </w:r>
      <w:r>
        <w:t>.</w:t>
      </w:r>
    </w:p>
    <w:p w:rsidR="00B43FA4" w14:paraId="50496852" w14:textId="77777777">
      <w:pPr>
        <w:ind w:firstLine="858"/>
        <w:jc w:val="both"/>
      </w:pPr>
      <w:r>
        <w:t>Pune în vedere inculpatei dispoziţiile art. 96 C.p.</w:t>
      </w:r>
    </w:p>
    <w:p w:rsidR="00B43FA4" w14:paraId="2B34034F" w14:textId="77777777">
      <w:pPr>
        <w:ind w:firstLine="858"/>
        <w:jc w:val="both"/>
      </w:pPr>
      <w:r>
        <w:t>În baza art. 67 C.p. aplică inculpatei pedeapsa complementară constând în interzicerea drepturilor prevăzute de art. 66 lit. a, b şi g (interzicerea dreptului de a fi reprezentant legal al unei întreprinderi individuale), pe o perioadă de 3 ani.</w:t>
      </w:r>
    </w:p>
    <w:p w:rsidR="00B43FA4" w14:paraId="056FA84C" w14:textId="77777777">
      <w:pPr>
        <w:ind w:firstLine="858"/>
        <w:jc w:val="both"/>
      </w:pPr>
      <w:r>
        <w:t>În baza art. 486 al. 2 C.p.p. lasă nesoluţionată acţiunea civilă.</w:t>
      </w:r>
    </w:p>
    <w:p w:rsidR="00B43FA4" w14:paraId="279820BC" w14:textId="3AB5D8A3">
      <w:pPr>
        <w:ind w:firstLine="858"/>
        <w:jc w:val="both"/>
      </w:pPr>
      <w:r>
        <w:t xml:space="preserve">În baza art. 397 al. 5 C.p.p., menţine măsurile sechestrului asigurător, aplicate prin ordonanţele nr. </w:t>
      </w:r>
      <w:r w:rsidR="00FA2AAD">
        <w:t xml:space="preserve">4/2016 </w:t>
      </w:r>
      <w:r>
        <w:t xml:space="preserve"> din 05.07.2016, până la concurenţa valorii de 240.000 lei.</w:t>
      </w:r>
    </w:p>
    <w:p w:rsidR="00B43FA4" w14:paraId="122C9DD2" w14:textId="77777777">
      <w:pPr>
        <w:ind w:firstLine="858"/>
        <w:jc w:val="both"/>
      </w:pPr>
      <w:r>
        <w:t>În baza art. 274 C.p.p. obligă inculpata la 800 lei cheltuieli judiciare în fond.</w:t>
      </w:r>
    </w:p>
    <w:p w:rsidR="00B43FA4" w14:paraId="54AF4CBE" w14:textId="77777777">
      <w:pPr>
        <w:ind w:firstLine="858"/>
        <w:jc w:val="both"/>
      </w:pPr>
      <w:r>
        <w:t>În baza art. 275 al. 3 C.p.p. cheltuielile judiciare avansate în apelurile Parchetului şi inculpatei rămân în sarcina statului.</w:t>
      </w:r>
    </w:p>
    <w:p w:rsidR="00B43FA4" w14:paraId="641FEB7D" w14:textId="77777777">
      <w:pPr>
        <w:ind w:firstLine="858"/>
        <w:jc w:val="both"/>
      </w:pPr>
      <w:r>
        <w:t>Definitivă.</w:t>
      </w:r>
    </w:p>
    <w:p w:rsidR="00B43FA4" w14:paraId="379A0BC7" w14:textId="76CC634B">
      <w:pPr>
        <w:ind w:firstLine="858"/>
        <w:jc w:val="both"/>
      </w:pPr>
      <w:r>
        <w:t>Pronunţată în şedinţă publică, azi,  .</w:t>
      </w:r>
    </w:p>
    <w:p w:rsidR="00B43FA4" w14:paraId="2BC2A451" w14:textId="77777777">
      <w:pPr>
        <w:ind w:firstLine="832"/>
        <w:jc w:val="both"/>
      </w:pPr>
      <w:r>
        <w:t>PREŞEDINTE,                                                 JUDECĂTOR,</w:t>
      </w:r>
    </w:p>
    <w:p w:rsidR="00B43FA4" w14:paraId="652674CA" w14:textId="43359C0B">
      <w:pPr>
        <w:jc w:val="both"/>
      </w:pPr>
      <w:r>
        <w:t xml:space="preserve">                                     </w:t>
      </w:r>
      <w:r>
        <w:tab/>
      </w:r>
      <w:r>
        <w:tab/>
      </w:r>
      <w:r>
        <w:tab/>
      </w:r>
      <w:r>
        <w:tab/>
      </w:r>
      <w:r>
        <w:tab/>
        <w:t xml:space="preserve">A0002    </w:t>
      </w:r>
    </w:p>
    <w:p w:rsidR="00B43FA4" w14:paraId="0F5B6086" w14:textId="77777777">
      <w:pPr>
        <w:jc w:val="both"/>
      </w:pPr>
    </w:p>
    <w:p w:rsidR="00B43FA4" w14:paraId="3F92A0D0" w14:textId="77777777">
      <w:pPr>
        <w:jc w:val="both"/>
      </w:pPr>
    </w:p>
    <w:p w:rsidR="00B43FA4" w14:paraId="773024E0" w14:textId="77777777">
      <w:pPr>
        <w:jc w:val="both"/>
      </w:pPr>
    </w:p>
    <w:p w:rsidR="00B43FA4" w14:paraId="0D039300" w14:textId="77777777">
      <w:pPr>
        <w:jc w:val="both"/>
      </w:pPr>
    </w:p>
    <w:p w:rsidR="00B43FA4" w14:paraId="5D2B1095" w14:textId="77777777">
      <w:pPr>
        <w:jc w:val="both"/>
      </w:pPr>
    </w:p>
    <w:p w:rsidR="00B43FA4" w14:paraId="58281D10" w14:textId="77777777">
      <w:pPr>
        <w:jc w:val="both"/>
      </w:pPr>
    </w:p>
    <w:p w:rsidR="00B43FA4" w14:paraId="15EFCF19" w14:textId="77777777">
      <w:pPr>
        <w:jc w:val="both"/>
      </w:pPr>
      <w:r>
        <w:t xml:space="preserve">                                                                                                                  GREFIER,</w:t>
      </w:r>
    </w:p>
    <w:p w:rsidR="00B43FA4" w14:paraId="2BE8B538" w14:textId="5132DD92">
      <w:pPr>
        <w:jc w:val="both"/>
      </w:pPr>
      <w:r>
        <w:t xml:space="preserve">                                                                                                          </w:t>
      </w:r>
    </w:p>
    <w:p w:rsidR="00B43FA4" w14:paraId="197CF598" w14:textId="77777777">
      <w:pPr>
        <w:jc w:val="both"/>
      </w:pPr>
    </w:p>
    <w:p w:rsidR="00B43FA4" w14:paraId="69E6904C" w14:textId="77777777">
      <w:pPr>
        <w:jc w:val="both"/>
      </w:pPr>
    </w:p>
    <w:p w:rsidR="00B43FA4" w14:paraId="4D3AA9C5" w14:textId="77777777">
      <w:pPr>
        <w:jc w:val="both"/>
      </w:pPr>
    </w:p>
    <w:p w:rsidR="00B43FA4" w14:paraId="5E8FD590" w14:textId="660EF61B">
      <w:pPr>
        <w:jc w:val="both"/>
        <w:rPr>
          <w:rStyle w:val="Fontdeparagrafimplicit"/>
          <w:sz w:val="20"/>
        </w:rPr>
      </w:pPr>
      <w:r>
        <w:rPr>
          <w:rStyle w:val="Fontdeparagrafimplicit"/>
          <w:sz w:val="20"/>
        </w:rPr>
        <w:t>red.A0002</w:t>
      </w:r>
    </w:p>
    <w:p w:rsidR="00B43FA4" w14:paraId="4F00DDD6" w14:textId="2E8F1055">
      <w:pPr>
        <w:jc w:val="both"/>
        <w:rPr>
          <w:rStyle w:val="Fontdeparagrafimplicit"/>
          <w:sz w:val="20"/>
        </w:rPr>
      </w:pPr>
      <w:r>
        <w:rPr>
          <w:rStyle w:val="Fontdeparagrafimplicit"/>
          <w:sz w:val="20"/>
        </w:rPr>
        <w:t xml:space="preserve">dact. </w:t>
      </w:r>
    </w:p>
    <w:p w:rsidR="00B43FA4" w14:paraId="6F4B437D" w14:textId="77777777">
      <w:pPr>
        <w:pBdr>
          <w:bottom w:val="single" w:color="auto" w:sz="6" w:space="0"/>
        </w:pBdr>
        <w:jc w:val="both"/>
        <w:rPr>
          <w:rStyle w:val="Fontdeparagrafimplicit"/>
          <w:sz w:val="20"/>
        </w:rPr>
      </w:pPr>
      <w:r>
        <w:rPr>
          <w:rStyle w:val="Fontdeparagrafimplicit"/>
          <w:sz w:val="20"/>
        </w:rPr>
        <w:t>ex.4</w:t>
      </w:r>
    </w:p>
    <w:p w:rsidR="00B43FA4" w14:paraId="35691011" w14:textId="5C7F76A7">
      <w:pPr>
        <w:jc w:val="both"/>
        <w:rPr>
          <w:rStyle w:val="Fontdeparagrafimplicit"/>
          <w:sz w:val="20"/>
        </w:rPr>
      </w:pPr>
      <w:r>
        <w:rPr>
          <w:rStyle w:val="Fontdeparagrafimplicit"/>
          <w:sz w:val="20"/>
        </w:rPr>
        <w:t xml:space="preserve">red. . </w:t>
      </w:r>
      <w:r w:rsidR="00FA2AAD">
        <w:rPr>
          <w:rStyle w:val="Fontdeparagrafimplicit"/>
          <w:sz w:val="20"/>
        </w:rPr>
        <w:t xml:space="preserve">             </w:t>
      </w:r>
    </w:p>
    <w:p w:rsidR="00B43FA4" w14:paraId="1A9A272E" w14:textId="77777777">
      <w:pPr>
        <w:ind w:firstLine="858"/>
        <w:jc w:val="both"/>
        <w:rPr>
          <w:rStyle w:val="Fontdeparagrafimplicit"/>
          <w:sz w:val="20"/>
        </w:rPr>
      </w:pPr>
    </w:p>
    <w:p w:rsidR="00B43FA4" w14:paraId="26DDE2BC" w14:textId="77777777">
      <w:pPr>
        <w:jc w:val="both"/>
        <w:rPr>
          <w:rStyle w:val="Fontdeparagrafimplicit"/>
        </w:rPr>
      </w:pPr>
    </w:p>
    <w:sectPr>
      <w:footerReference w:type="even" r:id="rId4"/>
      <w:footerReference w:type="default" r:id="rId5"/>
      <w:pgSz w:w="11906" w:h="16838"/>
      <w:pgMar w:top="1134" w:right="567" w:bottom="1134"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43FA4" w14:paraId="74E50943"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B43FA4" w14:paraId="11A140C9"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43FA4" w14:paraId="78C0E34A"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B43FA4" w14:paraId="1ADC7D4E" w14:textId="77777777">
    <w:pPr>
      <w:pStyle w:val="Subsol"/>
      <w:jc w:val="center"/>
      <w:rPr>
        <w:rStyle w:val="Numrdepagin"/>
      </w:rPr>
    </w:pPr>
  </w:p>
  <w:p w:rsidR="00B43FA4" w14:paraId="17BFD0B6"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FA4"/>
    <w:rsid w:val="000D0CC8"/>
    <w:rsid w:val="003F39C4"/>
    <w:rsid w:val="00612D34"/>
    <w:rsid w:val="008A4BE3"/>
    <w:rsid w:val="009F1E92"/>
    <w:rsid w:val="00B43FA4"/>
    <w:rsid w:val="00DF31DE"/>
    <w:rsid w:val="00F14246"/>
    <w:rsid w:val="00FA2AAD"/>
  </w:rsids>
  <w:docVars>
    <w:docVar w:name="url" w:val="http://10.1.48.53:80/ecris_cdms/document_upload.aspx?id_document=200000002559040&amp;id_departament=2&amp;id_sesiune=2183303&amp;id_user=601&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09FDF3B4"/>
  <w15:docId w15:val="{1DD9B27B-1982-40DD-8025-4D7CF4B09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CaracterCaracter1"/>
    <w:pPr>
      <w:tabs>
        <w:tab w:val="center" w:pos="4680"/>
        <w:tab w:val="right" w:pos="9360"/>
      </w:tabs>
    </w:pPr>
  </w:style>
  <w:style w:type="paragraph" w:customStyle="1" w:styleId="Subsol">
    <w:name w:val="Subsol"/>
    <w:basedOn w:val="Normal"/>
    <w:link w:val="CaracterCaracter"/>
    <w:pPr>
      <w:tabs>
        <w:tab w:val="center" w:pos="4680"/>
        <w:tab w:val="right" w:pos="9360"/>
      </w:tabs>
    </w:pPr>
  </w:style>
  <w:style w:type="paragraph" w:customStyle="1" w:styleId="Style1">
    <w:name w:val="Style1"/>
    <w:basedOn w:val="Normal"/>
    <w:pPr>
      <w:widowControl w:val="0"/>
      <w:spacing w:line="331" w:lineRule="exact"/>
      <w:jc w:val="both"/>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CaracterCaracter1">
    <w:name w:val="Caracter Caracter1"/>
    <w:link w:val="Antet"/>
  </w:style>
  <w:style w:type="character" w:customStyle="1" w:styleId="CaracterCaracter">
    <w:name w:val="Caracter Caracter"/>
    <w:link w:val="Subsol"/>
  </w:style>
  <w:style w:type="character" w:customStyle="1" w:styleId="FontStyle11">
    <w:name w:val="Font Style11"/>
    <w:rPr>
      <w:rFonts w:ascii="Times New Roman" w:hAnsi="Times New Roman"/>
      <w:sz w:val="24"/>
    </w:rPr>
  </w:style>
  <w:style w:type="character" w:customStyle="1" w:styleId="Numrdepagin">
    <w:name w:val="Număr de pagină"/>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8A4BE3"/>
    <w:rPr>
      <w:sz w:val="16"/>
      <w:szCs w:val="16"/>
    </w:rPr>
  </w:style>
  <w:style w:type="paragraph" w:styleId="CommentText">
    <w:name w:val="annotation text"/>
    <w:basedOn w:val="Normal"/>
    <w:link w:val="CommentTextChar"/>
    <w:uiPriority w:val="99"/>
    <w:semiHidden/>
    <w:unhideWhenUsed/>
    <w:rsid w:val="008A4BE3"/>
    <w:rPr>
      <w:sz w:val="20"/>
    </w:rPr>
  </w:style>
  <w:style w:type="character" w:customStyle="1" w:styleId="CommentTextChar">
    <w:name w:val="Comment Text Char"/>
    <w:basedOn w:val="DefaultParagraphFont"/>
    <w:link w:val="CommentText"/>
    <w:uiPriority w:val="99"/>
    <w:semiHidden/>
    <w:rsid w:val="008A4BE3"/>
    <w:rPr>
      <w:sz w:val="20"/>
      <w:lang w:val="ro-RO"/>
    </w:rPr>
  </w:style>
  <w:style w:type="paragraph" w:styleId="CommentSubject">
    <w:name w:val="annotation subject"/>
    <w:basedOn w:val="CommentText"/>
    <w:next w:val="CommentText"/>
    <w:link w:val="CommentSubjectChar"/>
    <w:uiPriority w:val="99"/>
    <w:semiHidden/>
    <w:unhideWhenUsed/>
    <w:rsid w:val="008A4BE3"/>
    <w:rPr>
      <w:b/>
      <w:bCs/>
    </w:rPr>
  </w:style>
  <w:style w:type="character" w:customStyle="1" w:styleId="CommentSubjectChar">
    <w:name w:val="Comment Subject Char"/>
    <w:basedOn w:val="CommentTextChar"/>
    <w:link w:val="CommentSubject"/>
    <w:uiPriority w:val="99"/>
    <w:semiHidden/>
    <w:rsid w:val="008A4BE3"/>
    <w:rPr>
      <w:b/>
      <w:bCs/>
      <w:sz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31</ap:TotalTime>
  <ap:Pages>1</ap:Pages>
  <ap:Words>3143</ap:Words>
  <ap:Characters>17918</ap:Characters>
  <ap:Application>Microsoft Office Word</ap:Application>
  <ap:DocSecurity>0</ap:DocSecurity>
  <ap:Lines>149</ap:Lines>
  <ap:Paragraphs>42</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21019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