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B509ED" w14:paraId="0F8D25F0" w14:textId="77777777">
      <w:pPr>
        <w:jc w:val="center"/>
      </w:pPr>
      <w:r>
        <w:t>R O M Â N I A</w:t>
      </w:r>
    </w:p>
    <w:p w:rsidR="00B509ED" w14:paraId="34F52B19" w14:textId="72CACE12">
      <w:pPr>
        <w:jc w:val="center"/>
      </w:pPr>
      <w:r>
        <w:t xml:space="preserve">CURTEA DE APEL </w:t>
      </w:r>
      <w:r w:rsidR="00E532FF">
        <w:t xml:space="preserve">.......... </w:t>
      </w:r>
    </w:p>
    <w:p w:rsidR="00B509ED" w14:paraId="3C833FCA" w14:textId="46BA188E">
      <w:pPr>
        <w:jc w:val="center"/>
      </w:pPr>
      <w:r>
        <w:t xml:space="preserve">SECŢIA </w:t>
      </w:r>
      <w:r w:rsidR="00E532FF">
        <w:t xml:space="preserve">.......... </w:t>
      </w:r>
    </w:p>
    <w:p w:rsidR="00B509ED" w14:paraId="1232FCD5" w14:textId="77777777">
      <w:pPr>
        <w:jc w:val="center"/>
      </w:pPr>
    </w:p>
    <w:p w:rsidR="00B509ED" w14:paraId="491A1FB1" w14:textId="4CE3EC20">
      <w:r>
        <w:t>Cod ECLI    ECLI:RO:</w:t>
      </w:r>
      <w:r w:rsidR="00E532FF">
        <w:t>...............</w:t>
      </w:r>
    </w:p>
    <w:p w:rsidR="00B509ED" w14:paraId="0A3E9881" w14:textId="2137B404">
      <w:r>
        <w:t xml:space="preserve">Dosar nr. </w:t>
      </w:r>
      <w:r w:rsidR="00E532FF">
        <w:t>28</w:t>
      </w:r>
    </w:p>
    <w:p w:rsidRPr="00E532FF" w:rsidR="00B509ED" w14:paraId="1E6D401E" w14:textId="303178FC">
      <w:pPr>
        <w:pStyle w:val="Titlu2"/>
        <w:jc w:val="center"/>
        <w:rPr>
          <w:rStyle w:val="Fontdeparagrafimplicit"/>
          <w:rFonts w:ascii="Times New Roman" w:hAnsi="Times New Roman"/>
          <w:sz w:val="24"/>
          <w:lang w:val="pt-PT"/>
        </w:rPr>
      </w:pPr>
      <w:r w:rsidRPr="00E532FF">
        <w:rPr>
          <w:rStyle w:val="Fontdeparagrafimplicit"/>
          <w:rFonts w:ascii="Times New Roman" w:hAnsi="Times New Roman"/>
          <w:i w:val="0"/>
          <w:sz w:val="24"/>
          <w:lang w:val="pt-PT"/>
        </w:rPr>
        <w:t>DECIZIA CIVILĂ NR.</w:t>
      </w:r>
      <w:r w:rsidR="00E532FF">
        <w:rPr>
          <w:rStyle w:val="Fontdeparagrafimplicit"/>
          <w:rFonts w:ascii="Times New Roman" w:hAnsi="Times New Roman"/>
          <w:i w:val="0"/>
          <w:sz w:val="24"/>
          <w:lang w:val="pt-PT"/>
        </w:rPr>
        <w:t>28</w:t>
      </w:r>
    </w:p>
    <w:p w:rsidR="00B509ED" w14:paraId="60417BAA" w14:textId="08FDF2B3">
      <w:pPr>
        <w:jc w:val="center"/>
      </w:pPr>
      <w:r>
        <w:t xml:space="preserve">Şedinţa publică din data de </w:t>
      </w:r>
      <w:r w:rsidR="00E532FF">
        <w:t xml:space="preserve">................... </w:t>
      </w:r>
    </w:p>
    <w:p w:rsidR="00B509ED" w14:paraId="4B320E83" w14:textId="77777777">
      <w:pPr>
        <w:jc w:val="center"/>
      </w:pPr>
      <w:r>
        <w:t>Instanţa constituită din:</w:t>
      </w:r>
    </w:p>
    <w:p w:rsidR="00B509ED" w14:paraId="5A6384B1" w14:textId="76A372A5">
      <w:pPr>
        <w:jc w:val="center"/>
      </w:pPr>
      <w:r>
        <w:t xml:space="preserve">PREŞEDINTE: </w:t>
      </w:r>
      <w:r w:rsidR="00E532FF">
        <w:t xml:space="preserve">................... </w:t>
      </w:r>
    </w:p>
    <w:p w:rsidR="00B509ED" w14:paraId="36E6509E" w14:textId="5804F1F7">
      <w:pPr>
        <w:jc w:val="center"/>
      </w:pPr>
      <w:r>
        <w:t xml:space="preserve">JUDECĂTOR: </w:t>
      </w:r>
      <w:r w:rsidR="00E532FF">
        <w:t>A0019</w:t>
      </w:r>
    </w:p>
    <w:p w:rsidR="00B509ED" w14:paraId="3CAFA0D4" w14:textId="45F7E177">
      <w:pPr>
        <w:jc w:val="center"/>
      </w:pPr>
      <w:r>
        <w:t xml:space="preserve">JUDECĂTOR: </w:t>
      </w:r>
      <w:r w:rsidR="00E532FF">
        <w:t xml:space="preserve">............... </w:t>
      </w:r>
    </w:p>
    <w:p w:rsidR="00B509ED" w14:paraId="38B9C047" w14:textId="6974142D">
      <w:pPr>
        <w:jc w:val="center"/>
      </w:pPr>
      <w:r>
        <w:t xml:space="preserve">GREFIER: </w:t>
      </w:r>
      <w:r w:rsidR="00E532FF">
        <w:t xml:space="preserve">............... </w:t>
      </w:r>
    </w:p>
    <w:p w:rsidR="00B509ED" w14:paraId="491246C6" w14:textId="77777777">
      <w:pPr>
        <w:ind w:firstLine="708"/>
        <w:jc w:val="both"/>
      </w:pPr>
    </w:p>
    <w:p w:rsidR="00B509ED" w14:paraId="5D31F1BF" w14:textId="66CE52B3">
      <w:pPr>
        <w:ind w:firstLine="708"/>
        <w:jc w:val="both"/>
      </w:pPr>
      <w:r>
        <w:t xml:space="preserve">S-a luat în examinare recursul declarat de CURTEA DE APEL </w:t>
      </w:r>
      <w:r w:rsidR="00E532FF">
        <w:t xml:space="preserve">............... </w:t>
      </w:r>
      <w:r>
        <w:t xml:space="preserve">împotriva sentinţei civile nr. </w:t>
      </w:r>
      <w:r w:rsidR="00E532FF">
        <w:t xml:space="preserve">........ </w:t>
      </w:r>
      <w:r>
        <w:t xml:space="preserve">din </w:t>
      </w:r>
      <w:r w:rsidR="00E532FF">
        <w:t xml:space="preserve">................ </w:t>
      </w:r>
      <w:r>
        <w:t xml:space="preserve">pronunţată de Tribunalul </w:t>
      </w:r>
      <w:r w:rsidR="00E532FF">
        <w:t xml:space="preserve">.......... </w:t>
      </w:r>
      <w:r>
        <w:t xml:space="preserve"> în dosar nr. </w:t>
      </w:r>
      <w:r w:rsidR="00E532FF">
        <w:t>28</w:t>
      </w:r>
      <w:r>
        <w:t xml:space="preserve">, privind şi pe intimata reclamantă </w:t>
      </w:r>
      <w:r w:rsidR="00E532FF">
        <w:t xml:space="preserve">1 </w:t>
      </w:r>
      <w:r>
        <w:t>, având ca obiect anulare act.</w:t>
      </w:r>
    </w:p>
    <w:p w:rsidR="00B509ED" w14:paraId="601401BA" w14:textId="77777777">
      <w:pPr>
        <w:ind w:firstLine="708"/>
        <w:jc w:val="both"/>
      </w:pPr>
      <w:r>
        <w:t>La apelul nominal făcut în şedinţă publică, la prima şi a doua strigare a cauzei, se constată lipsa părţilor de la dezbateri.</w:t>
      </w:r>
    </w:p>
    <w:p w:rsidR="00B509ED" w14:paraId="7A933880" w14:textId="77777777">
      <w:pPr>
        <w:ind w:firstLine="708"/>
        <w:jc w:val="both"/>
      </w:pPr>
      <w:r>
        <w:t>Procedura de citare este legal îndeplinită la acest termen de judecată.</w:t>
      </w:r>
    </w:p>
    <w:p w:rsidR="00B509ED" w14:paraId="7CEB70F8" w14:textId="77777777">
      <w:pPr>
        <w:ind w:firstLine="708"/>
        <w:jc w:val="both"/>
      </w:pPr>
      <w:r>
        <w:t>Având în vedere solicitarea de judecată în lipsă, Curtea reţine cauza în pronunţare.</w:t>
      </w:r>
    </w:p>
    <w:p w:rsidR="00B509ED" w14:paraId="6F59DEA4" w14:textId="77777777">
      <w:pPr>
        <w:jc w:val="both"/>
      </w:pPr>
    </w:p>
    <w:p w:rsidR="00B509ED" w14:paraId="65BF1FDA" w14:textId="77777777">
      <w:pPr>
        <w:jc w:val="center"/>
      </w:pPr>
      <w:r>
        <w:t>C U R T E A</w:t>
      </w:r>
    </w:p>
    <w:p w:rsidR="00B509ED" w14:paraId="7035EC26" w14:textId="77777777">
      <w:pPr>
        <w:jc w:val="center"/>
      </w:pPr>
    </w:p>
    <w:p w:rsidR="00B509ED" w14:paraId="5FB1549B" w14:textId="1931A788">
      <w:pPr>
        <w:ind w:firstLine="708"/>
        <w:jc w:val="both"/>
      </w:pPr>
      <w:r w:rsidRPr="00E532FF">
        <w:rPr>
          <w:rStyle w:val="Fontdeparagrafimplicit"/>
          <w:i/>
          <w:lang w:val="pt-PT"/>
        </w:rPr>
        <w:t xml:space="preserve">Prin sentinţa civilă nr. </w:t>
      </w:r>
      <w:r w:rsidR="00E532FF">
        <w:rPr>
          <w:rStyle w:val="Fontdeparagrafimplicit"/>
          <w:i/>
          <w:lang w:val="pt-PT"/>
        </w:rPr>
        <w:t xml:space="preserve">........ </w:t>
      </w:r>
      <w:r w:rsidRPr="00E532FF">
        <w:rPr>
          <w:rStyle w:val="Fontdeparagrafimplicit"/>
          <w:i/>
          <w:lang w:val="pt-PT"/>
        </w:rPr>
        <w:t xml:space="preserve">din </w:t>
      </w:r>
      <w:r w:rsidR="00E532FF">
        <w:rPr>
          <w:rStyle w:val="Fontdeparagrafimplicit"/>
          <w:i/>
          <w:lang w:val="pt-PT"/>
        </w:rPr>
        <w:t xml:space="preserve">................ </w:t>
      </w:r>
      <w:r w:rsidRPr="00E532FF">
        <w:rPr>
          <w:rStyle w:val="Fontdeparagrafimplicit"/>
          <w:i/>
          <w:lang w:val="pt-PT"/>
        </w:rPr>
        <w:t xml:space="preserve">pronunţată de Tribunalul </w:t>
      </w:r>
      <w:r w:rsidR="00E532FF">
        <w:rPr>
          <w:rStyle w:val="Fontdeparagrafimplicit"/>
          <w:i/>
          <w:lang w:val="pt-PT"/>
        </w:rPr>
        <w:t xml:space="preserve">.......... </w:t>
      </w:r>
      <w:r w:rsidRPr="00E532FF">
        <w:rPr>
          <w:rStyle w:val="Fontdeparagrafimplicit"/>
          <w:i/>
          <w:lang w:val="pt-PT"/>
        </w:rPr>
        <w:t xml:space="preserve"> în dosarul nr. </w:t>
      </w:r>
      <w:r w:rsidR="00E532FF">
        <w:rPr>
          <w:rStyle w:val="Fontdeparagrafimplicit"/>
          <w:i/>
          <w:lang w:val="pt-PT"/>
        </w:rPr>
        <w:t>28</w:t>
      </w:r>
      <w:r>
        <w:t xml:space="preserve"> s-a admis în parte acţiunea formulată de reclamanta </w:t>
      </w:r>
      <w:r w:rsidR="00E532FF">
        <w:t xml:space="preserve">1 </w:t>
      </w:r>
      <w:r>
        <w:t xml:space="preserve">în contradictoriu cu pârâta CURTEA DE APEL </w:t>
      </w:r>
      <w:r w:rsidR="00E532FF">
        <w:t xml:space="preserve">............ </w:t>
      </w:r>
      <w:r>
        <w:t>.</w:t>
      </w:r>
    </w:p>
    <w:p w:rsidR="00B509ED" w14:paraId="3107A03E" w14:textId="77777777">
      <w:pPr>
        <w:ind w:firstLine="708"/>
        <w:jc w:val="both"/>
      </w:pPr>
      <w:r>
        <w:t xml:space="preserve">Pârâta a fost obligată la plata către reclamantă a diferenţei de indemnizaţie aferentă lunii octombrie 2012, sumă actualizată cu indicele de inflaţie de la data scadenţei şi până la data plăţii efective şi cu dobânda legală de la data de 10.11.2012 şi până la data plăţii efective. </w:t>
      </w:r>
    </w:p>
    <w:p w:rsidR="00B509ED" w14:paraId="0C9B2D83" w14:textId="77777777">
      <w:pPr>
        <w:ind w:firstLine="708"/>
        <w:jc w:val="both"/>
      </w:pPr>
      <w:r>
        <w:t>Au fost respinse petitele privind daunele morale şi cheltuielile de judecată.</w:t>
      </w:r>
    </w:p>
    <w:p w:rsidR="00B509ED" w14:paraId="382DBCE7" w14:textId="4F41D58C">
      <w:pPr>
        <w:ind w:firstLine="708"/>
        <w:jc w:val="both"/>
      </w:pPr>
      <w:r>
        <w:t xml:space="preserve">Pentru a hotărî astfel, prima instanţă a reţinut că reclamanta este judecător în cadrul Curţii de Apel </w:t>
      </w:r>
      <w:r w:rsidR="00E532FF">
        <w:t xml:space="preserve">............... </w:t>
      </w:r>
      <w:r>
        <w:t xml:space="preserve">şi beneficiază de o indemnizaţie de încadrare brută lunară de 8470 lei, la care se adaugă sporul pentru condiţii de muncă grele, vătămătoare sau periculoase în cuantum de 1248 lei şi sporul pentru risc şi suprasolicitare neuropsihică şi sporul pentru păstrarea confidenţialităţii de 1251 lei, conform statului de plată depus la dosar de pârâtă. </w:t>
      </w:r>
    </w:p>
    <w:p w:rsidR="00B509ED" w14:paraId="4DB4BA3E" w14:textId="77777777">
      <w:pPr>
        <w:ind w:firstLine="708"/>
        <w:jc w:val="both"/>
      </w:pPr>
      <w:r>
        <w:t>Din analiza statului de plată a reieşit că reclamanta a primit doar 5312 lei din indemnizaţia care i se datora lunar, rezultând un total efectiv de 124 ore, în loc de 184 ore cât a reprezentat timpul normal de muncă.</w:t>
      </w:r>
    </w:p>
    <w:p w:rsidR="00B509ED" w14:paraId="2959AB93" w14:textId="77777777">
      <w:pPr>
        <w:ind w:firstLine="708"/>
        <w:jc w:val="both"/>
      </w:pPr>
      <w:r>
        <w:t>Pârâta, care în litigiile de muncă are sarcina de a depune toate înscrisurile necesare, nu a depus la dosar dovada modului de calculul a timpului efectiv prestat de reclamantă, aceasta susţinând că în cadrul instanţei nu există o condica de prezenţă sau vreo altă modalitate de stabilire a prezenţei judecătorilor în timpul orelor de program.</w:t>
      </w:r>
    </w:p>
    <w:p w:rsidR="00B509ED" w14:paraId="7017F214" w14:textId="710680A2">
      <w:pPr>
        <w:ind w:firstLine="708"/>
        <w:jc w:val="both"/>
      </w:pPr>
      <w:r>
        <w:t>Instanţa a reţinut că reclamanta, prin nerespectarea programului de muncă a săvârşit o abatere disciplinară, faptă prevăzută expres de art. 99 lit. k din Legea nr. 303/28.06</w:t>
      </w:r>
      <w:r w:rsidR="00FF3E22">
        <w:t>.</w:t>
      </w:r>
      <w:r>
        <w:t>2004 privind statutul judecătorilor şi procurorilor, sancţiunile aplicabile fiind expres menţionate în art. 100 din respectivul act normativ.</w:t>
      </w:r>
    </w:p>
    <w:p w:rsidR="00B509ED" w14:paraId="61AED4A3" w14:textId="77777777">
      <w:pPr>
        <w:ind w:firstLine="708"/>
        <w:jc w:val="both"/>
      </w:pPr>
      <w:r>
        <w:t>Cum în cauză nu a fost emisă nici o hotărâre a Consiliului Superior al Magistraturii care să constate abaterea şi să aplice sancţiunea disciplinară măsura diminuării indemnizaţiei, a apărut ca fiind luată în mod nelegal de către conducerea instanţei.</w:t>
      </w:r>
    </w:p>
    <w:p w:rsidR="00B509ED" w14:paraId="0B20564C" w14:textId="77777777">
      <w:pPr>
        <w:ind w:firstLine="708"/>
        <w:jc w:val="both"/>
      </w:pPr>
      <w:r>
        <w:t>În conformitate cu art. 159 alin.1 şi 2 din Codul muncii, salariul reprezintă contraprestaţia muncii prestate de salariat în baza contractului individual de muncă, iar pentru munca prestată, fiecare salariat are dreptul la un salariu exprimat în bani.</w:t>
      </w:r>
    </w:p>
    <w:p w:rsidR="00B509ED" w14:paraId="729B565B" w14:textId="77777777">
      <w:pPr>
        <w:ind w:firstLine="708"/>
        <w:jc w:val="both"/>
      </w:pPr>
      <w:r>
        <w:t>Potrivit art.166  alin. 1 din Codul muncii, salariul se plăteşte în bani, cel puţin o dată pe luna, la data stabilită în contractul individual de muncă, contractul colectiv de muncă sau regulamentul intern, după caz.</w:t>
      </w:r>
    </w:p>
    <w:p w:rsidR="00B509ED" w14:paraId="4C4CDC77" w14:textId="77777777">
      <w:pPr>
        <w:ind w:firstLine="708"/>
        <w:jc w:val="both"/>
      </w:pPr>
      <w:r>
        <w:t>De asemenea, în conformitate cu art.169 al. 1 din Codul muncii:”Nicio reţinere din salariu nu poate fi operată, în afara cazurilor şi condiţiilor prevăzute de lege.”</w:t>
      </w:r>
    </w:p>
    <w:p w:rsidR="00B509ED" w14:paraId="3BB2A15D" w14:textId="77777777">
      <w:pPr>
        <w:ind w:firstLine="708"/>
        <w:jc w:val="both"/>
      </w:pPr>
      <w:r>
        <w:t>Potrivit prevederilor art. 40 alin. 2 lit. c din Legea nr. 53/2003 - Codul muncii, angajatorul are obligaţia de a acorda salariaţilor toate drepturile ce decurg din lege, din contractul colectiv de muncă aplicabil şi din contractele individuale de muncă, iar, conform art. 253 din Codul muncii, angajatorul este obligat, în temeiul normelor şi principiilor răspunderii civile contractuale, să îl despăgubească pe salariat, în situaţia în care acesta a suferit un prejudiciu material sau moral din culpa angajatorului, în timpul îndeplinirii obligaţiilor de serviciu sau în legătură cu serviciul.</w:t>
      </w:r>
    </w:p>
    <w:p w:rsidR="00B509ED" w14:paraId="4EE54859" w14:textId="77777777">
      <w:pPr>
        <w:ind w:firstLine="708"/>
        <w:jc w:val="both"/>
      </w:pPr>
      <w:r>
        <w:t xml:space="preserve">Ca atare reţinerile cu titlu de daune cauzate angajatorului nu pot fi efectuate decât dacă datoria salariatului este scadentă, lichidă şi exigibilă şi a fost constatată ca atare printr-o hotărâre judecătorească definitivă şi irevocabilă. </w:t>
      </w:r>
    </w:p>
    <w:p w:rsidR="00B509ED" w14:paraId="4D1556D2" w14:textId="77777777">
      <w:pPr>
        <w:ind w:firstLine="708"/>
        <w:jc w:val="both"/>
      </w:pPr>
      <w:r>
        <w:t>Instanţa a menţionat şi faptul că, deşi i s-a reproşat lipsa de la serviciu în anumite zile, intimata nu a argumentat raţionamentul prin care a ajuns la concluzia că reclamanta nu ar fi fost prezentă la locul de muncă, motivul pentru care a ignorat modalităţile de verificare a prezenţei acesteia la locul de muncă în lipsa existenţei unei condici de prezenţă.</w:t>
      </w:r>
    </w:p>
    <w:p w:rsidR="00B509ED" w14:paraId="46B0A3FC" w14:textId="77777777">
      <w:pPr>
        <w:ind w:firstLine="708"/>
        <w:jc w:val="both"/>
      </w:pPr>
      <w:r>
        <w:t xml:space="preserve">Presupunând că într-adevăr a lipsit de la serviciu conform susţinerilor intimatei, responsabilitatea pentru întocmirea corectă a foilor de prezenţă şi verificarea faptică a prezenţei la locul de muncă aparţinea preşedintei secţiei din cadrul instanţei, reclamanta neavând nicio interacţiune/influenţă asupra evidenţei orelor lucru. </w:t>
      </w:r>
    </w:p>
    <w:p w:rsidR="00B509ED" w14:paraId="018FD165" w14:textId="77777777">
      <w:pPr>
        <w:ind w:firstLine="708"/>
        <w:jc w:val="both"/>
      </w:pPr>
      <w:r>
        <w:t>Având în vedere aspectele reţinute, instanţa a constatat că pârâta a procedat nelegal la diminuarea indemnizaţiei reclamantei şi, drept urmare acesta a fost obligată la plata către reclamantă a diferenţei de indemnizaţie aferentă lunii octombrie 2012, sumă actualizată cu indicele de inflaţie de la data scadenţei şi până la data plăţii efective.</w:t>
      </w:r>
    </w:p>
    <w:p w:rsidR="00B509ED" w14:paraId="0560B0D0" w14:textId="77777777">
      <w:pPr>
        <w:ind w:firstLine="708"/>
        <w:jc w:val="both"/>
      </w:pPr>
      <w:r>
        <w:t xml:space="preserve">Suma datorata reclamantei se va actualiza cu indicele de inflaţie la data plăţii, pentru repararea integrala a prejudiciului suferit de aceasta ca urmare a devalorizării monedei naţionale prin neplata la timp a drepturilor salariale. </w:t>
      </w:r>
    </w:p>
    <w:p w:rsidR="00B509ED" w14:paraId="696BD9FA" w14:textId="77777777">
      <w:pPr>
        <w:ind w:firstLine="708"/>
        <w:jc w:val="both"/>
      </w:pPr>
      <w:r>
        <w:t>Întrucât reclamantei i s-a produs un prejudiciu prin neplata tuturor drepturilor salariale stabilite acesta s-a reparat potrivit art.166 alin.4 Codul Muncii, care stipulează că ”Întârzierea nejustificata a plăţii salariului sau neplata acestuia poate determina obligarea angajatorului la plata de daune-interese pentru repararea prejudiciului produs salariatului.”</w:t>
      </w:r>
    </w:p>
    <w:p w:rsidRPr="00E532FF" w:rsidR="00B509ED" w14:paraId="69963CEB" w14:textId="77777777">
      <w:pPr>
        <w:ind w:firstLine="708"/>
        <w:jc w:val="both"/>
        <w:rPr>
          <w:rStyle w:val="Fontdeparagrafimplicit"/>
          <w:b/>
          <w:lang w:val="ro-RO"/>
        </w:rPr>
      </w:pPr>
      <w:r>
        <w:t>Cu privire la petitul privind daunele morale solicitate, instanţa a reţinut că nu se cuvin reclamantei daunele morale, având în vedere, pe de o parte, faptul că aceasta nu a dovedit producerea acestora, iar, pe de altă parte, faptul că repunerea părţilor în situaţia anterioară, cu obligarea angajatorului la plata despăgubirilor, constituie o reparaţie morală suficientă şi echitabilă</w:t>
      </w:r>
      <w:r w:rsidRPr="00E532FF">
        <w:rPr>
          <w:rStyle w:val="Fontdeparagrafimplicit"/>
          <w:b/>
          <w:i/>
          <w:lang w:val="ro-RO"/>
        </w:rPr>
        <w:t>.</w:t>
      </w:r>
    </w:p>
    <w:p w:rsidR="00B509ED" w14:paraId="43ABEFF1" w14:textId="77777777">
      <w:pPr>
        <w:ind w:firstLine="708"/>
        <w:jc w:val="both"/>
      </w:pPr>
      <w:r>
        <w:t>În temeiul art. 453, instanţa a respins petitul privind cheltuielile de judecată, având în vedere faptul că acesta nu a fost dovedit.</w:t>
      </w:r>
    </w:p>
    <w:p w:rsidR="00B509ED" w14:paraId="3620D1F5" w14:textId="3F29A938">
      <w:pPr>
        <w:ind w:firstLine="708"/>
        <w:jc w:val="both"/>
      </w:pPr>
      <w:r w:rsidRPr="00E532FF">
        <w:rPr>
          <w:rStyle w:val="Fontdeparagrafimplicit"/>
          <w:i/>
          <w:lang w:val="pt-PT"/>
        </w:rPr>
        <w:t xml:space="preserve">Prin sentinţa civilă nr. </w:t>
      </w:r>
      <w:r w:rsidR="00E532FF">
        <w:rPr>
          <w:rStyle w:val="Fontdeparagrafimplicit"/>
          <w:i/>
          <w:lang w:val="pt-PT"/>
        </w:rPr>
        <w:t xml:space="preserve">........ </w:t>
      </w:r>
      <w:r w:rsidRPr="00E532FF">
        <w:rPr>
          <w:rStyle w:val="Fontdeparagrafimplicit"/>
          <w:i/>
          <w:lang w:val="pt-PT"/>
        </w:rPr>
        <w:t xml:space="preserve">din </w:t>
      </w:r>
      <w:r w:rsidR="00E532FF">
        <w:rPr>
          <w:rStyle w:val="Fontdeparagrafimplicit"/>
          <w:i/>
          <w:lang w:val="pt-PT"/>
        </w:rPr>
        <w:t xml:space="preserve">........ </w:t>
      </w:r>
      <w:r w:rsidRPr="00E532FF">
        <w:rPr>
          <w:rStyle w:val="Fontdeparagrafimplicit"/>
          <w:i/>
          <w:lang w:val="pt-PT"/>
        </w:rPr>
        <w:t xml:space="preserve">pronunţată de Tribunalul </w:t>
      </w:r>
      <w:r w:rsidR="00E532FF">
        <w:rPr>
          <w:rStyle w:val="Fontdeparagrafimplicit"/>
          <w:i/>
          <w:lang w:val="pt-PT"/>
        </w:rPr>
        <w:t xml:space="preserve">.......... </w:t>
      </w:r>
      <w:r w:rsidRPr="00E532FF">
        <w:rPr>
          <w:rStyle w:val="Fontdeparagrafimplicit"/>
          <w:i/>
          <w:lang w:val="pt-PT"/>
        </w:rPr>
        <w:t xml:space="preserve"> în dosarul nr. </w:t>
      </w:r>
      <w:r w:rsidR="00E532FF">
        <w:rPr>
          <w:rStyle w:val="Fontdeparagrafimplicit"/>
          <w:i/>
          <w:lang w:val="pt-PT"/>
        </w:rPr>
        <w:t>28</w:t>
      </w:r>
      <w:r w:rsidRPr="00E532FF">
        <w:rPr>
          <w:rStyle w:val="Fontdeparagrafimplicit"/>
          <w:i/>
          <w:lang w:val="pt-PT"/>
        </w:rPr>
        <w:t xml:space="preserve"> </w:t>
      </w:r>
      <w:r>
        <w:t>s-a</w:t>
      </w:r>
      <w:r w:rsidRPr="00E532FF">
        <w:rPr>
          <w:rStyle w:val="Fontdeparagrafimplicit"/>
          <w:i/>
          <w:lang w:val="pt-PT"/>
        </w:rPr>
        <w:t xml:space="preserve"> </w:t>
      </w:r>
      <w:r>
        <w:t xml:space="preserve">admis cererea de completare a dispozitivului sentinţei civile nr. </w:t>
      </w:r>
      <w:r w:rsidR="00E532FF">
        <w:t xml:space="preserve">......../............ </w:t>
      </w:r>
      <w:r>
        <w:t xml:space="preserve">, pronunţată în dosarul nr. </w:t>
      </w:r>
      <w:r w:rsidR="00E532FF">
        <w:t>28</w:t>
      </w:r>
      <w:r>
        <w:t xml:space="preserve"> al Tribunalului </w:t>
      </w:r>
      <w:r w:rsidR="00E532FF">
        <w:t xml:space="preserve">.......... </w:t>
      </w:r>
      <w:r>
        <w:t xml:space="preserve">, formulată de reclamanta </w:t>
      </w:r>
      <w:r w:rsidR="00E532FF">
        <w:t xml:space="preserve">1 </w:t>
      </w:r>
      <w:r>
        <w:t xml:space="preserve">în contradictoriu cu intimata CURTEA DE APEL </w:t>
      </w:r>
      <w:r w:rsidR="00E532FF">
        <w:t xml:space="preserve">............ </w:t>
      </w:r>
      <w:r>
        <w:t>.</w:t>
      </w:r>
    </w:p>
    <w:p w:rsidR="00B509ED" w14:paraId="242382F1" w14:textId="1F2BF884">
      <w:pPr>
        <w:ind w:firstLine="708"/>
        <w:jc w:val="both"/>
      </w:pPr>
      <w:r>
        <w:t>S-a dispus completarea dispozitivului</w:t>
      </w:r>
      <w:r w:rsidRPr="00E532FF">
        <w:rPr>
          <w:rStyle w:val="Fontdeparagrafimplicit"/>
          <w:i/>
          <w:lang w:val="pt-PT"/>
        </w:rPr>
        <w:t xml:space="preserve"> </w:t>
      </w:r>
      <w:r>
        <w:t xml:space="preserve">sentinţei civile nr. </w:t>
      </w:r>
      <w:r w:rsidR="00E532FF">
        <w:t xml:space="preserve">......../............ </w:t>
      </w:r>
      <w:r>
        <w:t xml:space="preserve"> pronunţată de către Tribunalul </w:t>
      </w:r>
      <w:r w:rsidR="00E532FF">
        <w:t xml:space="preserve">.......... </w:t>
      </w:r>
      <w:r>
        <w:t xml:space="preserve">, Secţia </w:t>
      </w:r>
      <w:r w:rsidR="00E532FF">
        <w:t xml:space="preserve">............ </w:t>
      </w:r>
      <w:r>
        <w:t xml:space="preserve">în dosarul nr. </w:t>
      </w:r>
      <w:r w:rsidR="00E532FF">
        <w:t>28</w:t>
      </w:r>
      <w:r>
        <w:t xml:space="preserve"> în sensul că „Obligă pârâta la plata către reclamantă a diferenţei de indemnizaţie aferentă şi pentru lunile noiembrie şi decembrie 2012, sume actualizate cu indicele de inflaţie de la data scadenţei şi până la data plăţii efective şi  cu dobânda legală de la data de 10.12.2012, respectiv 10.01.2013 şi până la data plăţii efective.</w:t>
      </w:r>
    </w:p>
    <w:p w:rsidR="00B509ED" w14:paraId="0163105A" w14:textId="77777777">
      <w:pPr>
        <w:ind w:firstLine="708"/>
        <w:jc w:val="both"/>
      </w:pPr>
      <w:r>
        <w:t>Pentru a hotărî astfel, instanţa a reţinut că potrivit dispoziţiilor art.281</w:t>
      </w:r>
      <w:r w:rsidRPr="00E532FF">
        <w:rPr>
          <w:rStyle w:val="Fontdeparagrafimplicit"/>
          <w:vertAlign w:val="superscript"/>
          <w:lang w:val="ro-RO"/>
        </w:rPr>
        <w:t>2</w:t>
      </w:r>
      <w:r>
        <w:t xml:space="preserve"> C. pr. civ. „ Dacă prin hotărârea dată instanţa a omis să se pronunţe asupra unui capăt de cerere principal sau accesoriu ori asupra unei cereri conexe sau incidentale, se poate cere completarea hotărârii în acelaşi termen în care se poate declara, după caz, apel sau recurs împotriva acelei hotărâri. Cererea se soluţionează de urgenţă cu citarea părţilor, prin hotărâre separată”.  </w:t>
      </w:r>
    </w:p>
    <w:p w:rsidR="00B509ED" w14:paraId="5076F408" w14:textId="77777777">
      <w:pPr>
        <w:ind w:firstLine="708"/>
        <w:jc w:val="both"/>
      </w:pPr>
      <w:r>
        <w:t>Instanţa, analizând minuta, dispozitivul sentinţei întocmite cu ocazia deliberării ca şi pretenţiile pârâtei, a constatat că reclamanta a depus la dosar o cerere completatoare, cerere care nu a fost luată în considerare cu ocazia deliberării.</w:t>
      </w:r>
    </w:p>
    <w:p w:rsidRPr="00E532FF" w:rsidR="00B509ED" w14:paraId="7E7CBE9B" w14:textId="0F6DAA22">
      <w:pPr>
        <w:ind w:firstLine="708"/>
        <w:jc w:val="both"/>
        <w:rPr>
          <w:rStyle w:val="Fontdeparagrafimplicit"/>
          <w:lang w:val="pt-PT"/>
        </w:rPr>
      </w:pPr>
      <w:r>
        <w:t>Având în vedere aspectele reţinute, instanţa a admis</w:t>
      </w:r>
      <w:r w:rsidRPr="00E532FF">
        <w:rPr>
          <w:rStyle w:val="Fontdeparagrafimplicit"/>
          <w:lang w:val="pt-PT"/>
        </w:rPr>
        <w:t xml:space="preserve"> cererea de completare a dispozitivului </w:t>
      </w:r>
      <w:r>
        <w:t xml:space="preserve">sentinţei civile nr. </w:t>
      </w:r>
      <w:r w:rsidR="00E532FF">
        <w:t>........../.........</w:t>
      </w:r>
      <w:r>
        <w:t xml:space="preserve">, pronunţată în dosarul nr. </w:t>
      </w:r>
      <w:r w:rsidR="00E532FF">
        <w:t>28</w:t>
      </w:r>
      <w:r>
        <w:t xml:space="preserve"> al Tribunalului </w:t>
      </w:r>
      <w:r w:rsidR="00E532FF">
        <w:t xml:space="preserve">.......... </w:t>
      </w:r>
      <w:r w:rsidRPr="00E532FF">
        <w:rPr>
          <w:rStyle w:val="Fontdeparagrafimplicit"/>
          <w:lang w:val="pt-PT"/>
        </w:rPr>
        <w:t xml:space="preserve"> - Secţia </w:t>
      </w:r>
      <w:r w:rsidR="00E532FF">
        <w:rPr>
          <w:rStyle w:val="Fontdeparagrafimplicit"/>
          <w:lang w:val="pt-PT"/>
        </w:rPr>
        <w:t>.................</w:t>
      </w:r>
      <w:r w:rsidRPr="00E532FF">
        <w:rPr>
          <w:rStyle w:val="Fontdeparagrafimplicit"/>
          <w:lang w:val="pt-PT"/>
        </w:rPr>
        <w:t>formulată de reclamantă.</w:t>
      </w:r>
    </w:p>
    <w:p w:rsidR="00B509ED" w14:paraId="12A9349A" w14:textId="5274B930">
      <w:pPr>
        <w:ind w:firstLine="708"/>
        <w:jc w:val="both"/>
      </w:pPr>
      <w:r w:rsidRPr="00E532FF">
        <w:rPr>
          <w:rStyle w:val="Fontdeparagrafimplicit"/>
          <w:i/>
          <w:lang w:val="pt-PT"/>
        </w:rPr>
        <w:t xml:space="preserve">Împotriva acestor hotărâri a declarat recurs pârâta CURTEA DE APEL </w:t>
      </w:r>
      <w:r w:rsidR="00E532FF">
        <w:rPr>
          <w:rStyle w:val="Fontdeparagrafimplicit"/>
          <w:i/>
          <w:lang w:val="pt-PT"/>
        </w:rPr>
        <w:t xml:space="preserve">............ </w:t>
      </w:r>
      <w:r>
        <w:t>, solicitând admiterea recursului, schimbarea în parte a sentinţei recurate în sensul respingerii în tot a cererii de chemare în judecată formulată de reclamantă şi menţinerea dispoziţiilor privind respingerea capătului de cerere referitor la daunele morale şi a cheltuielilor de judecată</w:t>
      </w:r>
    </w:p>
    <w:p w:rsidR="00B509ED" w14:paraId="0053A7D4" w14:textId="77777777">
      <w:pPr>
        <w:ind w:firstLine="708"/>
        <w:jc w:val="both"/>
      </w:pPr>
      <w:r>
        <w:t>În motivarea recursului, recurenta a arătat că hotărârea pronunţată de către instanţa de fond este nelegală şi netemeinică pentru următoarele motive:</w:t>
      </w:r>
    </w:p>
    <w:p w:rsidR="00B509ED" w14:paraId="245A261E" w14:textId="77777777">
      <w:pPr>
        <w:ind w:firstLine="708"/>
        <w:jc w:val="both"/>
      </w:pPr>
      <w:r>
        <w:t>În primul rând, hotărârea recurată a fost dată cu aplicarea greşită a legii, respectiv a dispoziţiilor art.119 din Codul Muncii, a Ordinului Ministerului Finanţelor nr.3512/27.11.2008 (Grupa a V a - Statul de salarii), art.5 alin.2 lit. d) din Regulamentul de Ordine Interioară al Instanţelor Judecătoreşti aprobat prin Hotărârea Consiliului Superior al Magistraturii nr.387/2005, cu modificările şi completările ulterioare.</w:t>
      </w:r>
    </w:p>
    <w:p w:rsidR="00B509ED" w14:paraId="317505EC" w14:textId="77777777">
      <w:pPr>
        <w:ind w:firstLine="708"/>
        <w:jc w:val="both"/>
      </w:pPr>
      <w:r>
        <w:t>Astfel, instanţa a reţinut în motivarea hotărârii că pârâta, care în litigiile de muncă are sarcina de a depune toate înscrisurile necesare, nu a depus la dosar dovada modului de calcul a timpului efectiv prestat de reclamantă, aceasta susţinând că în cadrul instanţei nu există o condică de prezenţă sau vreo altă modalitate de stabilire a prezenţei judecătorilor în timpul orelor de program.</w:t>
      </w:r>
    </w:p>
    <w:p w:rsidRPr="00E532FF" w:rsidR="00B509ED" w14:paraId="7170F95C" w14:textId="025807E6">
      <w:pPr>
        <w:ind w:firstLine="708"/>
        <w:jc w:val="both"/>
        <w:rPr>
          <w:rStyle w:val="Fontdeparagrafimplicit"/>
          <w:color w:val="000000"/>
          <w:lang w:val="ro-RO"/>
        </w:rPr>
      </w:pPr>
      <w:r w:rsidRPr="00E532FF">
        <w:rPr>
          <w:rStyle w:val="Fontdeparagrafimplicit"/>
          <w:color w:val="000000"/>
          <w:lang w:val="ro-RO"/>
        </w:rPr>
        <w:t xml:space="preserve">Recurenta arătând că are obligaţia legală de a întocmi pontaj de prezenţă pentru tot personalul angajat în cadrul curţii de apel, atât în rândul judecătorilor cât şi în rândul personalului auxiliar sau conex, pontaj care este întocmit de către grefierul şef de secţie şi preşedintele acesteia, aşa cum a reieşit şi din foile de pontaj nr. </w:t>
      </w:r>
      <w:r w:rsidR="00E532FF">
        <w:rPr>
          <w:rStyle w:val="Fontdeparagrafimplicit"/>
          <w:color w:val="000000"/>
          <w:lang w:val="ro-RO"/>
        </w:rPr>
        <w:t>2</w:t>
      </w:r>
      <w:r w:rsidRPr="00E532FF">
        <w:rPr>
          <w:rStyle w:val="Fontdeparagrafimplicit"/>
          <w:color w:val="000000"/>
          <w:lang w:val="ro-RO"/>
        </w:rPr>
        <w:t xml:space="preserve">/01.11.2012, </w:t>
      </w:r>
      <w:r w:rsidR="00E532FF">
        <w:rPr>
          <w:rStyle w:val="Fontdeparagrafimplicit"/>
          <w:color w:val="000000"/>
          <w:lang w:val="ro-RO"/>
        </w:rPr>
        <w:t>3</w:t>
      </w:r>
      <w:r w:rsidRPr="00E532FF">
        <w:rPr>
          <w:rStyle w:val="Fontdeparagrafimplicit"/>
          <w:color w:val="000000"/>
          <w:lang w:val="ro-RO"/>
        </w:rPr>
        <w:t xml:space="preserve">/27.11.2012 şi </w:t>
      </w:r>
      <w:r w:rsidR="00E532FF">
        <w:rPr>
          <w:rStyle w:val="Fontdeparagrafimplicit"/>
          <w:color w:val="000000"/>
          <w:lang w:val="ro-RO"/>
        </w:rPr>
        <w:t>4</w:t>
      </w:r>
      <w:r w:rsidRPr="00E532FF">
        <w:rPr>
          <w:rStyle w:val="Fontdeparagrafimplicit"/>
          <w:color w:val="000000"/>
          <w:lang w:val="ro-RO"/>
        </w:rPr>
        <w:t>/</w:t>
      </w:r>
      <w:r w:rsidRPr="00E532FF" w:rsidR="00E532FF">
        <w:rPr>
          <w:rStyle w:val="Fontdeparagrafimplicit"/>
          <w:color w:val="000000"/>
          <w:lang w:val="ro-RO"/>
        </w:rPr>
        <w:t xml:space="preserve"> </w:t>
      </w:r>
      <w:r w:rsidRPr="00E532FF">
        <w:rPr>
          <w:rStyle w:val="Fontdeparagrafimplicit"/>
          <w:color w:val="000000"/>
          <w:lang w:val="ro-RO"/>
        </w:rPr>
        <w:t>28.12.2012, depuse la dosarul cauzei. Din această perspectivă, foaia de pontaj semnată şi asumată de preşedintele secţiei din care face parte judecătorul reprezintă dovada prezenţei la serviciu a judecătorului.</w:t>
      </w:r>
    </w:p>
    <w:p w:rsidRPr="00E532FF" w:rsidR="00B509ED" w14:paraId="161B3B55" w14:textId="7F24478D">
      <w:pPr>
        <w:ind w:firstLine="708"/>
        <w:jc w:val="both"/>
        <w:rPr>
          <w:rStyle w:val="Fontdeparagrafimplicit"/>
          <w:color w:val="000000"/>
          <w:lang w:val="ro-RO"/>
        </w:rPr>
      </w:pPr>
      <w:r w:rsidRPr="00E532FF">
        <w:rPr>
          <w:rStyle w:val="Fontdeparagrafimplicit"/>
          <w:color w:val="000000"/>
          <w:lang w:val="ro-RO"/>
        </w:rPr>
        <w:t xml:space="preserve">În cazul reclamantei însă, aşa cum a rezultat din rubrica ce corespunde doamnei judecător </w:t>
      </w:r>
      <w:r w:rsidR="00E532FF">
        <w:rPr>
          <w:rStyle w:val="Fontdeparagrafimplicit"/>
          <w:color w:val="000000"/>
          <w:lang w:val="ro-RO"/>
        </w:rPr>
        <w:t xml:space="preserve">1 </w:t>
      </w:r>
      <w:r w:rsidRPr="00E532FF">
        <w:rPr>
          <w:rStyle w:val="Fontdeparagrafimplicit"/>
          <w:color w:val="000000"/>
          <w:lang w:val="ro-RO"/>
        </w:rPr>
        <w:t>din foile de pontaj, în zilele de 22, 23, 24, 25, 26, 29 şi 31 octombrie, în zilele 5 noiembrie respectiv 17, 18, 19, 20, 21, 27 şi 18 decembrie nu a prestat deloc activitate în cadrul instanţei, fiind lipsă, astfel încât nu a existat contraprestaţia acesteia pentru plata indemnizaţiei.</w:t>
      </w:r>
    </w:p>
    <w:p w:rsidR="00B509ED" w14:paraId="2DBFD790" w14:textId="77777777">
      <w:pPr>
        <w:ind w:firstLine="708"/>
        <w:jc w:val="both"/>
      </w:pPr>
      <w:r>
        <w:t>Potrivit art.119 din Codul Muncii aprobat prin Legea nr.53/2003 republicată: „Angajatorul are obligaţia de a ţine evidenţa orelor de muncă prestate de fiecare salariat şi de a supune controlului inspecţiei muncii această evidenţă ori de câte ori este solicitat."</w:t>
      </w:r>
    </w:p>
    <w:p w:rsidR="00B509ED" w14:paraId="33BD852E" w14:textId="77777777">
      <w:pPr>
        <w:ind w:firstLine="708"/>
        <w:jc w:val="both"/>
      </w:pPr>
      <w:r w:rsidRPr="00E532FF">
        <w:rPr>
          <w:rStyle w:val="Fontdeparagrafimplicit"/>
          <w:color w:val="000000"/>
          <w:lang w:val="pt-PT"/>
        </w:rPr>
        <w:t>De asemenea</w:t>
      </w:r>
      <w:r>
        <w:t>, dispoziţiile Ordinului Ministrului Finanţelor nr.3512/27.11.2008 (Grupa a Va - Statul de salarii) stabilesc că orice document justificativ de înregistrare în contabilitate, se întocmeşte într-un exemplar sau în două exemplare, după caz, lunar, pe secţii, (...), servicii etc., pe baza documentelor de evidenţă a timpului lucrat efectiv, a documentelor de centralizare a salariilor individuale pentru muncitorii salarizaţi în acord etc., a evidenţei şi a documentelor privind reţinerile legale, a listelor de avans chenzinal, concediilor de odihnă, certificatelor medicale", din această categorie făcând parte şi fişa de evidenţă a timpului efectiv lucrat (denumită „Pontaj").</w:t>
      </w:r>
    </w:p>
    <w:p w:rsidR="00B509ED" w14:paraId="08AB15B3" w14:textId="5EDF3712">
      <w:pPr>
        <w:ind w:firstLine="708"/>
        <w:jc w:val="both"/>
      </w:pPr>
      <w:r>
        <w:t xml:space="preserve">Pe de altă parte, întocmirea pontajului fiind o condiţie necesară pentru efectuarea formalităţilor de plată a indemnizaţiei cuvenită judecătorului, în lipsa acestei formalităţi, neputându-se efectua operaţiunile financiar-contabile de către Curtea de Apel </w:t>
      </w:r>
      <w:r w:rsidR="00E532FF">
        <w:t xml:space="preserve">............ </w:t>
      </w:r>
      <w:r>
        <w:t>, ordonator secundar de credite.</w:t>
      </w:r>
    </w:p>
    <w:p w:rsidR="00B509ED" w14:paraId="266C1B4B" w14:textId="77777777">
      <w:pPr>
        <w:ind w:firstLine="708"/>
        <w:jc w:val="both"/>
      </w:pPr>
      <w:r>
        <w:t>Prin soluţia pronunţată, instanţa nu a ţinut seama de aceste dispoziţii legale care impun oricărui angajator, inclusiv instanţelor judecătoreşti, ţinerea evidenţei timpului lucrat efectiv, în scopul efectuării plăţii oricărei remuneraţii, fie că este vorba de salariu, fie că este vorba de indemnizaţie sau altele asemenea.</w:t>
      </w:r>
    </w:p>
    <w:p w:rsidR="00B509ED" w14:paraId="1C5FC69E" w14:textId="77777777">
      <w:pPr>
        <w:ind w:firstLine="708"/>
        <w:jc w:val="both"/>
      </w:pPr>
      <w:r>
        <w:t xml:space="preserve">Prin urmare, magistratul se supune legii, deci implicit şi a dispoziţiilor art. 5 alin. (2) lit. d din Hotărârea Consiliului Superior al Magistraturii nr. 387/2005 pentru aprobarea Regulamentului de ordine interioară al instanţelor judecătoreşti care prevăd: „Judecătorii au următoarele îndatoriri:(...) d) să respecte programul de lucru, să aibă un comportament decent şi civilizat în </w:t>
      </w:r>
      <w:r>
        <w:t>relaţiile de serviciu", precum şi a dispoziţiilor art. 88 alin. (1) din aceeaşi Hotărâre C.S.M. nr.387/2005: „Programul de lucru la instanţe este de 8 ore zilnic, timp de 5 zile pe săptămână; programul începe de regulă la ora 8,00 şi se încheie la ora 16,00", dispoziţii legale în vigoare la data luării măsurii contestate.</w:t>
      </w:r>
    </w:p>
    <w:p w:rsidR="00B509ED" w14:paraId="215361FC" w14:textId="77777777">
      <w:pPr>
        <w:ind w:firstLine="708"/>
        <w:jc w:val="both"/>
      </w:pPr>
      <w:r>
        <w:t>Din aceste prevederi legale desprinzându-se obligaţia judecătorului de a presta activitate în cadrul instanţei, în timpul unui program de lucru, care să permită rezolvarea lucrărilor cu caracter administrativ şi jurisdicţional.</w:t>
      </w:r>
    </w:p>
    <w:p w:rsidR="00B509ED" w14:paraId="16E2B812" w14:textId="14AD94A4">
      <w:pPr>
        <w:ind w:firstLine="708"/>
        <w:jc w:val="both"/>
      </w:pPr>
      <w:r>
        <w:t xml:space="preserve">La nivelul Curţi de Apel </w:t>
      </w:r>
      <w:r w:rsidR="00E532FF">
        <w:t xml:space="preserve">............ </w:t>
      </w:r>
      <w:r>
        <w:t>, chiar înainte de a fi amendate dispoziţiile art.88 alin. 1 din Regulament, prin instituirea unui program flexibil al judecătorului, ca şi în prezent, după abrogarea dispoziţiei privind „programul flexibil al judecătorului", recunoaşterea caracterului flexibil al acestui program a fost o realitate, fiind împărtăşită şi recunoscută tuturor judecătorilor.</w:t>
      </w:r>
    </w:p>
    <w:p w:rsidR="00B509ED" w14:paraId="12BC54DF" w14:textId="3E3C4A48">
      <w:pPr>
        <w:ind w:firstLine="708"/>
        <w:jc w:val="both"/>
      </w:pPr>
      <w:r>
        <w:t xml:space="preserve">De aceea, nici unui judecător din cadrul Curţii de Apel </w:t>
      </w:r>
      <w:r w:rsidR="00E532FF">
        <w:t xml:space="preserve">............... </w:t>
      </w:r>
      <w:r>
        <w:t>nu i s-a pretins „semnarea unei condici de prezenţă", dovada prezenţei judecătorului în cadrul instanţei fiind semnarea şi asumarea foii de pontaj completată pentru fiecare zi lucrătoare din lună, de câtre preşedintele secţiei.</w:t>
      </w:r>
    </w:p>
    <w:p w:rsidR="00B509ED" w14:paraId="5E10A9AE" w14:textId="77777777">
      <w:pPr>
        <w:ind w:firstLine="708"/>
        <w:jc w:val="both"/>
      </w:pPr>
      <w:r>
        <w:t>Cu toate acestea, în perioada îndelungată în care reclamanta nu s-a prezentat la serviciu deloc, nici măcar o oră într-una din zilele în care a fost trecută absent (timp de mai multe săptămâni), Curtea s-a confruntat cu o situaţie limită, nedorită, în care s-au produs blocaje în activitatea curentă, atât administrativă, cât şi jurisdicţională, a instanţei, prin lipsa de la deliberări a acesteia, imposibilitatea predării dosarelor în arhivă, în condiţiile în care încheierile de şedinţă nu erau semnate de doamna judecător, neredactarea în termen a hotărârilor judecătoreşti (aceasta generând repartizarea hotărârilor neredactate în termen către alţi judecători şi chiar somarea repetată de a se prezenta la serviciu pentru a aduce dosarele care nici nu se aflau în instanţă) şi alte disfuncţionalităţi interne.</w:t>
      </w:r>
    </w:p>
    <w:p w:rsidR="00B509ED" w14:paraId="404A5AAB" w14:textId="6AC29D5A">
      <w:pPr>
        <w:ind w:firstLine="708"/>
        <w:jc w:val="both"/>
      </w:pPr>
      <w:r>
        <w:t>Cu privire la unele dintre acestea au existat mai multe acţiuni disciplinare aplicate acesteia (</w:t>
      </w:r>
      <w:r w:rsidR="00FF3E22">
        <w:t>.........</w:t>
      </w:r>
      <w:r>
        <w:t>, unele dintre acestea aflate încă în curs).</w:t>
      </w:r>
    </w:p>
    <w:p w:rsidR="00B509ED" w14:paraId="7F851F85" w14:textId="77777777">
      <w:pPr>
        <w:ind w:firstLine="708"/>
        <w:jc w:val="both"/>
      </w:pPr>
      <w:r>
        <w:t>În al doilea rând, prima instanţă a reţinut greşit că angajatorul poate efectua reţineri din salariu sub forma sancţiunilor disciplinare.</w:t>
      </w:r>
    </w:p>
    <w:p w:rsidR="00B509ED" w14:paraId="31172382" w14:textId="77777777">
      <w:pPr>
        <w:ind w:firstLine="708"/>
        <w:jc w:val="both"/>
      </w:pPr>
      <w:r>
        <w:t>Recurenta considerând că o atare concluzie este netemeinică, deoarece nu a procedat la întocmirea pontajului, ca document financiar contabil premergător efectuării plăţii indemnizaţiei, cu titlu de sancţiune sau de „reţinere" dintr-o indemnizaţie cuvenită ca efect al timpului efectiv lucrat, ci a evidenţiat conform realităţii, timpul efectiv lucrat de către intimata-reclamantă, care a fost mai puţin de 8 ore zilnic, timp de 5 zile pe săptămână, astfel că plata indemnizaţiei s-a realizat conform timpului efectiv lucrat.</w:t>
      </w:r>
    </w:p>
    <w:p w:rsidR="00B509ED" w14:paraId="5FBA052C" w14:textId="77777777">
      <w:pPr>
        <w:ind w:firstLine="708"/>
        <w:jc w:val="both"/>
      </w:pPr>
      <w:r>
        <w:t>Recurenta a arătat că a accepta soluţia potrivit căreia judecătorului i se cuvine indemnizaţia lunară, chiar dacă nu a prestat activitatea de judecător, până când acesta nu este sancţionat disciplinar, însemnând implicit a accepta că are obligaţia de a întocmi evidenţe false ale timpului lucrat de către judecător, pentru plata unei indemnizaţii, chiar în lipsa prestării vreunei activităţi pentru aceasta sau a prezenţei acestuia în limitele unui program flexibil.</w:t>
      </w:r>
    </w:p>
    <w:p w:rsidR="00B509ED" w14:paraId="7E6545BE" w14:textId="77777777">
      <w:pPr>
        <w:ind w:firstLine="708"/>
        <w:jc w:val="both"/>
      </w:pPr>
      <w:r>
        <w:t>Interpretarea sintagmei „reţinere" de către instanţă fiind greşită deoarece aceasta s-ar putea aplica numai atunci când judecătorul ar demonstra că s-a prezentat la serviciu în zilele respective, ceea ce nu este real, iar în ciuda faptului că acesta a fost prezent, a operat o reţinere din „indemnizaţia" cuvenită.</w:t>
      </w:r>
    </w:p>
    <w:p w:rsidR="00B509ED" w14:paraId="0E318549" w14:textId="4F0A05C0">
      <w:pPr>
        <w:ind w:firstLine="708"/>
        <w:jc w:val="both"/>
      </w:pPr>
      <w:r>
        <w:t xml:space="preserve">Aşadar, instanţa de fond a făcut o aplicare mecanică şi nesistematică a dispoziţiilor de drept comun (art.169 alin. (1) şi (2) din Codul Muncii), deoarece a considerat că în cauză a operat o „reţinere" din salariu, cu titlu de sancţiune, însă a ignorat că potrivit dispoziţiilor legale speciale cuprinse în Legea nr.303/2004, sancţiunile aplicabile judecătorilor este de competenţa Secţiei de judecători a Consiliului Superior al Magistraturii, nu a Curţii de Apel </w:t>
      </w:r>
      <w:r w:rsidR="00E532FF">
        <w:t xml:space="preserve">............ </w:t>
      </w:r>
      <w:r>
        <w:t>, care nu a făcut altceva decât o plată a indemnizaţiei cuvenite în raport cu timpul efectiv lucrat (cu contraprestaţia judecătorului) şi cu obligaţia care îi revenea, potrivit dispoziţiilor legale menţionate anterior. Confuzia dintre cele două „instituţii juridice" (plata potrivit timpului efectiv lucrat şi reţinerea din indemnizaţia cuvenită, cu titlu de sancţiune) conducând la concluzia că hotărârea este nelegală şi netemeinică.</w:t>
      </w:r>
    </w:p>
    <w:p w:rsidR="00B509ED" w14:paraId="1CD2ED5B" w14:textId="77777777">
      <w:pPr>
        <w:ind w:firstLine="708"/>
        <w:jc w:val="both"/>
      </w:pPr>
      <w:r>
        <w:t>Subliniază recurenta că în speţă nu este vorba despre absenţe întâmplătoare şi pentru perioade scurte de timp, ci probatoriul administrat a dovedit că intimata-reclamantă nu s-a aflat în instanţă mai multe zile la rând, în mod repetat, fapt recunoscut de aceasta.</w:t>
      </w:r>
    </w:p>
    <w:p w:rsidR="00B509ED" w14:paraId="62E8797F" w14:textId="77777777">
      <w:pPr>
        <w:ind w:firstLine="708"/>
        <w:jc w:val="both"/>
      </w:pPr>
      <w:r>
        <w:t>Măsura având la bază o cauză efectivă, reală şi serioasă, dovedită de altfel, de foile de prezenţă întocmite la nivelul secţiei, în cadrul căreia îşi desfăşura activitatea intimata.</w:t>
      </w:r>
    </w:p>
    <w:p w:rsidR="00B509ED" w14:paraId="0B89FB3F" w14:textId="77777777">
      <w:pPr>
        <w:ind w:firstLine="708"/>
        <w:jc w:val="both"/>
      </w:pPr>
      <w:r>
        <w:t>În aceste condiţii, încasarea indemnizaţiei pentru perioadele de timp cât nu a prestat activitatea specifică funcţiei pe care o ocupă intimata-reclamantă ar reprezenta o plată nedatorată, la care în mod greşit au fost obligaţi.</w:t>
      </w:r>
    </w:p>
    <w:p w:rsidR="00B509ED" w14:paraId="477847E6" w14:textId="77777777">
      <w:pPr>
        <w:ind w:firstLine="708"/>
        <w:jc w:val="both"/>
      </w:pPr>
      <w:r>
        <w:t>În drept, au fost invocate dispoziţiile art. 299 şi următoarele din Codul de procedură civilă, Hotărârea CSM nr. 387/2005 pentru aprobarea Regulamentul de ordine interioară a instanţelor judecătoreşti, Legea nr.303/2004 republicată cu modificările şi completările ulterioare.</w:t>
      </w:r>
    </w:p>
    <w:p w:rsidRPr="00E532FF" w:rsidR="00B509ED" w14:paraId="6C6B1C3E" w14:textId="77777777">
      <w:pPr>
        <w:ind w:firstLine="708"/>
        <w:jc w:val="both"/>
        <w:rPr>
          <w:rStyle w:val="Fontdeparagrafimplicit"/>
          <w:i/>
          <w:lang w:val="pt-PT"/>
        </w:rPr>
      </w:pPr>
      <w:r w:rsidRPr="00E532FF">
        <w:rPr>
          <w:rStyle w:val="Fontdeparagrafimplicit"/>
          <w:i/>
          <w:lang w:val="pt-PT"/>
        </w:rPr>
        <w:t>Examinând sentinţa recurată prin prisma motivelor de recurs invocate, Curtea de Apel reţine următoarele:</w:t>
      </w:r>
    </w:p>
    <w:p w:rsidR="00B509ED" w14:paraId="6427609F" w14:textId="0C2F8B16">
      <w:pPr>
        <w:ind w:firstLine="708"/>
        <w:jc w:val="both"/>
      </w:pPr>
      <w:r>
        <w:t xml:space="preserve">În fapt, se reţine de către instanţa de fond că reclamanta este judecător în cadrul Curţii de Apel </w:t>
      </w:r>
      <w:r w:rsidR="00E532FF">
        <w:t xml:space="preserve">............... </w:t>
      </w:r>
      <w:r>
        <w:t>şi beneficiază de o indemnizaţie de încadrare brută lunară de 8470 lei, la care se adaugă sporul pentru condiţii de muncă grele, vătămătoare sau periculoase în cuantum de 1248 lei şi sporul pentru risc şi suprasolicitare neuropsihică şi sporul pentru păstrarea confidenţialităţii de 1251 lei. Stabilirea cuantumului indemnizaţiei s-a făcut prin ordinul nr. 3478/c emis de către Ministrul Justiţiei(fila 7 dosar fond).</w:t>
      </w:r>
    </w:p>
    <w:p w:rsidR="00B509ED" w14:paraId="55B29564" w14:textId="77777777">
      <w:pPr>
        <w:ind w:firstLine="708"/>
        <w:jc w:val="both"/>
      </w:pPr>
      <w:r>
        <w:t>Din analiza statului de plată aferent lunii octombrie 2012 a reieşit că reclamanta a primit doar 5312 lei din indemnizaţia mai sus amintite,  calculată ca fiind aferente unui timp de lucru de 124 ore, în loc de 184 ore, cât a reprezentat timpul de muncă calculat la 8 ore pe zi.</w:t>
      </w:r>
    </w:p>
    <w:p w:rsidR="00B509ED" w14:paraId="3F1A112B" w14:textId="77777777">
      <w:pPr>
        <w:ind w:firstLine="708"/>
        <w:jc w:val="both"/>
      </w:pPr>
      <w:r>
        <w:t>De asemenea, indemnizaţia aferentă lunilor noiembrie şi decembrie 2014 a fost de 6898 lei şi respectiv 5300 lei.</w:t>
      </w:r>
    </w:p>
    <w:p w:rsidR="00B509ED" w14:paraId="6611716A" w14:textId="77777777">
      <w:pPr>
        <w:ind w:firstLine="708"/>
        <w:jc w:val="both"/>
      </w:pPr>
      <w:r>
        <w:t>Pornind de la această situaţie de fapt, necontestată de părţi, Curtea notează că problema esenţială ce trebuie tranşată în prezenta cauză ţine de stabilirea naturii juridice a remuneraţiei judecătorilor, respectiv dacă acesta poate şi trebuie privită din perspectiva regulilor Codului muncii – aşa cum a făcut-o parţial judecătorul de fond şi la care se raportează şi apelanta – sau, dimpotrivă, aceasta trebuie privită strict din perspectiva statutului special al judecătorului, ca o componentă şi o garanţie a independenţei sale.</w:t>
      </w:r>
    </w:p>
    <w:p w:rsidR="00B509ED" w14:paraId="4638E4B2" w14:textId="77777777">
      <w:pPr>
        <w:ind w:firstLine="708"/>
        <w:jc w:val="both"/>
      </w:pPr>
      <w:r>
        <w:t>Problema naturii şi a rolului remuneraţiei judecătorilor a făcut obiectul unor numeroase documente internaţionale privind independenţa şi statutul judecătorilor, fiind cristalizată într-o serie de principii, ce au fost materializate şi de legiuitorul român prin norme specifice cuprinse în Legea 303/2004 privind statutul judecătorilor şi al procurorilor.</w:t>
      </w:r>
    </w:p>
    <w:p w:rsidR="00B509ED" w14:paraId="0FAA5DCE" w14:textId="77777777">
      <w:pPr>
        <w:ind w:firstLine="708"/>
        <w:jc w:val="both"/>
      </w:pPr>
      <w:r>
        <w:t>O prima regulă de principiu este cuprinsă în art. 73 din Legea 303/2004, care prevede că stabilirea drepturilor judecătorilor si procurorilor se face ţinându-se seama de locul si rolul justiţiei în statul de drept, de răspunderea şi complexitatea funcţiei de judecător şi procuror, de interdicţiile şi incompatibilităţile prevăzute de lege pentru aceste funcţii şi urmăreşte garantarea independentei şi imparţialităţii acestora.</w:t>
      </w:r>
    </w:p>
    <w:p w:rsidR="00B509ED" w14:paraId="15DD52D9" w14:textId="77777777">
      <w:pPr>
        <w:ind w:firstLine="708"/>
        <w:jc w:val="both"/>
      </w:pPr>
      <w:r>
        <w:t xml:space="preserve">În aplicarea particulară a acestui principiu la salarizare, art. 74 prevede că pentru activitatea desfăşurată judecătorii şi procurorii au dreptul la o remuneraţie stabilită în raport cu nivelul instanţei sau al parchetului, cu funcţia deţinută, cu vechimea în magistratură şi cu alte criterii prevăzute de lege. </w:t>
      </w:r>
    </w:p>
    <w:p w:rsidR="00B509ED" w14:paraId="66C00C59" w14:textId="77777777">
      <w:pPr>
        <w:ind w:firstLine="708"/>
        <w:jc w:val="both"/>
      </w:pPr>
      <w:r>
        <w:t xml:space="preserve">Alin. 2 al aceluiaşi articol prevede, ca şi garanţie a respectării principiilor anterior amintite, că </w:t>
      </w:r>
      <w:r w:rsidRPr="00E532FF">
        <w:rPr>
          <w:rStyle w:val="Fontdeparagrafimplicit"/>
          <w:u w:val="single"/>
          <w:lang w:val="ro-RO"/>
        </w:rPr>
        <w:t>drepturile salariale ale judecătorilor şi procurorilor nu pot fi diminuate sau suspendate decât în cazurile prevăzute de prezenta lege</w:t>
      </w:r>
      <w:r>
        <w:t>.</w:t>
      </w:r>
    </w:p>
    <w:p w:rsidR="00B509ED" w14:paraId="70A6910A" w14:textId="77777777">
      <w:pPr>
        <w:ind w:firstLine="851"/>
        <w:jc w:val="both"/>
      </w:pPr>
      <w:r>
        <w:t>Rezultă aşadar, în mod explicit şi neechivoc, că textul legal precitat interzice o</w:t>
      </w:r>
      <w:r w:rsidRPr="00E532FF">
        <w:rPr>
          <w:rStyle w:val="Fontdeparagrafimplicit"/>
          <w:u w:val="single"/>
          <w:lang w:val="pt-PT"/>
        </w:rPr>
        <w:t>rice diminuare</w:t>
      </w:r>
      <w:r>
        <w:t xml:space="preserve"> a drepturilor salariale prevăzute de lege, cu excepţia aplicării unei sancţiuni disciplinare, aceasta fiind singura modalitate de reducere a remuneraţiei prevăzute de Legea 303/2004. </w:t>
      </w:r>
    </w:p>
    <w:p w:rsidR="00B509ED" w14:paraId="41171D40" w14:textId="77777777">
      <w:pPr>
        <w:ind w:firstLine="851"/>
        <w:jc w:val="both"/>
      </w:pPr>
      <w:r>
        <w:t>Această interdicţie, impusă de art.74 alin.2 din Legea 303/2004, operează indiferent dacă această reducere este una directă – prin reţinere din salariu – sau indirectă, printr-o modalitate de calcul a acestuia ce are ca efect diminuarea sa, aşa cum este cazul în speţă.</w:t>
      </w:r>
    </w:p>
    <w:p w:rsidR="00B509ED" w14:paraId="2EC9FA64" w14:textId="77777777">
      <w:pPr>
        <w:ind w:firstLine="708"/>
        <w:jc w:val="both"/>
      </w:pPr>
      <w:r>
        <w:t>Curtea va înlătura criticile recurentei potrivit cărora plata indemnizaţiei s-a realizat conform timpului efectiv lucrat, această modalitate de calcul fiind una ce contravine prevederilor legale, după cum se va argumenta în cele ce succed.</w:t>
      </w:r>
    </w:p>
    <w:p w:rsidR="00B509ED" w14:paraId="15979583" w14:textId="77777777">
      <w:pPr>
        <w:ind w:firstLine="851"/>
        <w:jc w:val="both"/>
      </w:pPr>
      <w:r>
        <w:t>În ceea ce priveşte criticile recurentei potrivit cărora în mod greşit a reţinut instanţa de fond că nu a făcut dovada modului de calcul a timpului efectiv prestat de reclamantă, Curtea notează că acestea sunt nefondate, in condiţiile în care fişa de pontaj are un caracter unilateral, ce emite de la pârâtă, şi nu poate fi opusă reclamantei. Acest aspect a fost notat de Curte doar ca aspect colateral, pentru ca este irelevant în contextul obiectului specific al acestei cauze.</w:t>
      </w:r>
    </w:p>
    <w:p w:rsidR="00B509ED" w14:paraId="734F8B7E" w14:textId="77777777">
      <w:pPr>
        <w:ind w:firstLine="851"/>
        <w:jc w:val="both"/>
      </w:pPr>
      <w:r>
        <w:t>Astfel, nici o normă legală nu prevede că drepturile salariale ale judecătorilor sunt stabilite în funcţie de numărul de ore lucrate de acesta. Judecătorul nu se află într-un raport clasic de muncă, născut în temeiul unui contract individual de muncă, care să îi impună să fie la dispoziţia angajatorului timp de opt ore pe zi, 40 de ore pe săptămână. Judecătorul nu este un muncitor care vine şi pleacă de la muncă într-un program rigid, după terminarea căruia este liber de orice obligaţii.</w:t>
      </w:r>
    </w:p>
    <w:p w:rsidR="00B509ED" w14:paraId="4DA756DC" w14:textId="77777777">
      <w:pPr>
        <w:ind w:firstLine="851"/>
        <w:jc w:val="both"/>
      </w:pPr>
      <w:r>
        <w:t xml:space="preserve">O abordare de acest tip nu doar că încalcă principii fundamentale privind statutul şi independenţa judecătorului, dar desconsideră norme interne şi internaţionale care, în unanimitate, includ remuneraţia judecătorilor în garanţii ale independenţei justiţiei, îndepărtând totodată în mod periculos şi inacceptabil judecătorii de la statutul lor, asimilându-i unor angajaţi cu contract de muncă, în care regula specifică este cea a raportului de subordonare între angajator şi angajat. </w:t>
      </w:r>
    </w:p>
    <w:p w:rsidR="00B509ED" w14:paraId="27BC19F4" w14:textId="77777777">
      <w:pPr>
        <w:ind w:firstLine="851"/>
        <w:jc w:val="both"/>
      </w:pPr>
      <w:r>
        <w:t xml:space="preserve">Curtea subliniază că art. 74 din Legea 303/2004 prevede că remuneraţia judecătorilor se stabileşte strict prin raportare la criteriile prevăzute de lege şi este </w:t>
      </w:r>
      <w:r w:rsidRPr="00E532FF">
        <w:rPr>
          <w:rStyle w:val="Fontdeparagrafimplicit"/>
          <w:u w:val="single"/>
          <w:lang w:val="pt-PT"/>
        </w:rPr>
        <w:t>o contraprestaţie pentru activitatea lor</w:t>
      </w:r>
      <w:r>
        <w:t>.</w:t>
      </w:r>
    </w:p>
    <w:p w:rsidR="00B509ED" w14:paraId="763C6BEC" w14:textId="77777777">
      <w:pPr>
        <w:ind w:firstLine="851"/>
        <w:jc w:val="both"/>
      </w:pPr>
      <w:r>
        <w:t>Or, noţiunea de activitate a judecătorilor nu poate fi privită în mod rigid şi limitat la un program zilnic de opt ore de muncă, aşa cum acesta este reglementat de Codul muncii.</w:t>
      </w:r>
    </w:p>
    <w:p w:rsidR="00B509ED" w14:paraId="0705251D" w14:textId="77777777">
      <w:pPr>
        <w:ind w:firstLine="851"/>
        <w:jc w:val="both"/>
      </w:pPr>
      <w:r>
        <w:t xml:space="preserve">Pe de-o parte, activitatea judecătorului este o noţiune complexă, a cărui conţinut este dat de funcţia judecătorului ca parte a unui puteri în stat. </w:t>
      </w:r>
    </w:p>
    <w:p w:rsidR="00B509ED" w14:paraId="6B6D7E0F" w14:textId="77777777">
      <w:pPr>
        <w:ind w:firstLine="851"/>
        <w:jc w:val="both"/>
      </w:pPr>
      <w:r>
        <w:t>Statutul judecătorului include o serie de obligaţii care nu sunt limitate la programul de lucru, ci au un caracter continuu. Astfel, judecătorii au o sfera extrem de extinsă de interdicţii şi incompatibilităţi, au obligaţia de a se abţine de la orice manifestări ce aduc atingere onoarei sau probităţii profesionale ori prestigiului justiţiei, săvârşite în exercitarea sau în afara exercitării atribuţiilor de serviciu, de la desfăşurarea de activităţi cu caracter politic, cu alte cuvinte o sferă extinsă de obligaţii ce impun în mod real o serie importantă de interdicţii, obligaţii cărora le corespund în consecinţă drepturi corelative, între care un loc primordial îl ocupă remuneraţia.</w:t>
      </w:r>
    </w:p>
    <w:p w:rsidR="00B509ED" w14:paraId="6289EBF3" w14:textId="77777777">
      <w:pPr>
        <w:ind w:firstLine="851"/>
        <w:jc w:val="both"/>
      </w:pPr>
      <w:r>
        <w:t>Stabilirea drepturilor judecătorilor prin raportare la aceste interdicţii, la importanţa şi complexitatea funcţiei desfăşurate de judecător este în mod explicit prevăzută de art. 73 din legea 303/2004, precitat.</w:t>
      </w:r>
    </w:p>
    <w:p w:rsidR="00B509ED" w14:paraId="602DB5B2" w14:textId="77777777">
      <w:pPr>
        <w:ind w:firstLine="851"/>
        <w:jc w:val="both"/>
      </w:pPr>
      <w:r>
        <w:t xml:space="preserve"> Din acest motiv activitatea magistratului nu poate fi privită rigid ca fiind aferentă timpului de muncă efectiv lucrat, aşa cum în mod neîntemeiat se susţine în apel. A accepta o astfel de interpretare echivalează cu negarea însăşi a statutului şi specificului funcţiei de magistrat.</w:t>
      </w:r>
    </w:p>
    <w:p w:rsidR="00B509ED" w14:paraId="54A0677F" w14:textId="77777777">
      <w:pPr>
        <w:ind w:firstLine="851"/>
        <w:jc w:val="both"/>
      </w:pPr>
      <w:r>
        <w:t xml:space="preserve">Pe de altă parte, este unanim acceptat că judecătorii nu beneficiază de plata orelor suplimentare, în condiţiile în care programul invocat, de opt ore, este deseori depăşit, fie datorită volumului de muncă, fie activităţii specifice în diverse materii, în special în cea penală, ce implică prezenţa judecătorilor in instanţe inclusiv în zilele de sâmbătă şi duminica sau in zile de sărbătoare legală. </w:t>
      </w:r>
    </w:p>
    <w:p w:rsidR="00B509ED" w14:paraId="28AF5A51" w14:textId="77777777">
      <w:pPr>
        <w:ind w:firstLine="851"/>
        <w:jc w:val="both"/>
      </w:pPr>
      <w:r>
        <w:t>Or, faptul că nu există temei legal pentru plata orelor suplimentare ale magistraţilor este justificată exact de faptul că remuneraţiei acestora este stabilită prin raportare la activitatea lor în ansamblu, privită în mod global şi specific, aşa cum s-a argumentat mai sus.</w:t>
      </w:r>
    </w:p>
    <w:p w:rsidR="00B509ED" w14:paraId="6A288D78" w14:textId="77777777">
      <w:pPr>
        <w:ind w:firstLine="851"/>
        <w:jc w:val="both"/>
      </w:pPr>
      <w:r>
        <w:t>Aceeaşi concluzie apare, cu caracter incidental, în cuprinsul a Hotărârii nr.1144 din 01 iulie 2009 a Plenului Consiliului Superior al Magistraturii în care se arată că „acceptarea tezei potrivit căreia judecătorul ar trebui să lucreze 8 ore pe zi şi ar trebui să se prezinte la serviciu exclusiv între orele fixate în cadrul programului de lucru stabilit de instanţă, ar avea drept consecinţă imposibilitatea rămânerii în instanţă a judecătorului după orele de program sau în zilele nelucrătoare şi efectuarea activităţilor strict în cadrul programului de lucru ori majorarea drepturilor băneşti, proporţional cu orele lucrate.</w:t>
      </w:r>
    </w:p>
    <w:p w:rsidR="00B509ED" w14:paraId="30C82FB4" w14:textId="77777777">
      <w:pPr>
        <w:ind w:firstLine="851"/>
        <w:jc w:val="both"/>
      </w:pPr>
      <w:r>
        <w:t>Or, niciuna dintre aceste variante nu ar satisface conceptul de îndeplinire corectă şi eficientă a responsabilităţilor judiciare şi de remunerare a magistraţilor pentru activitatea desfăşurată.”</w:t>
      </w:r>
    </w:p>
    <w:p w:rsidR="00B509ED" w14:paraId="0ADAD094" w14:textId="77777777">
      <w:pPr>
        <w:ind w:firstLine="851"/>
        <w:jc w:val="both"/>
      </w:pPr>
      <w:r>
        <w:t xml:space="preserve">În ceea ce priveşte criticile din recurs referitoare la faptul că, în perioada îndelungată în care reclamanta nu s-a prezentat la serviciu deloc, nici măcar o oră într-una din zilele în care a fost trecută absent (timp de mai multe săptămâni), instanţa s-a confruntat cu o situaţie limită, nedorită, în care s-au produs blocaje în activitatea curentă, atât administrativă, cât şi jurisdicţională, Curtea notează că, aşa cum admite chiar recurenta, aceste aspecte au fost avute în vedere de Inspecţia Judiciară, respectiv de Consiliul Superior al Magistraturii,  în cadrul acţiunilor disciplinare derulate împotriva reclamantei. </w:t>
      </w:r>
    </w:p>
    <w:p w:rsidR="00B509ED" w14:paraId="07807C7C" w14:textId="77777777">
      <w:pPr>
        <w:ind w:firstLine="708"/>
        <w:jc w:val="both"/>
      </w:pPr>
      <w:r>
        <w:t>Conform art.99 lit. k din Legea 303/2004, absenţele nemotivate de la serviciu, în mod repetat sau care afectează în mod direct activitatea instanţei ori a parchetului, constituie abatere disciplinară, însă constatarea acestora se poate face însă strict în cadrul procedurii disciplinare, cu respectarea procedurilor şi a drepturilor instituite exact în scopul de a respecta echilibrul necesar dintre independenţa judecătorului şi răspunderea sa.</w:t>
      </w:r>
    </w:p>
    <w:p w:rsidR="00B509ED" w14:paraId="673455CB" w14:textId="77777777">
      <w:pPr>
        <w:ind w:firstLine="851"/>
        <w:jc w:val="both"/>
      </w:pPr>
      <w:r>
        <w:t xml:space="preserve">Este irelevant aşadar, din punctul de vedere al stabilirii cuantumului remuneraţiei, invocarea unor astfel de aspecte, câtă vreme cauza nu are ca obiect contestarea unor sancţiuni disciplinare. </w:t>
      </w:r>
    </w:p>
    <w:p w:rsidR="00B509ED" w14:paraId="5DCC4827" w14:textId="77777777">
      <w:pPr>
        <w:ind w:firstLine="851"/>
        <w:jc w:val="both"/>
      </w:pPr>
      <w:r>
        <w:t>Ca atare,  criticile din recurs referitoare la acest aspect apar aşadar ca superflue, nefiind în măsură să constituie argumente de natură să justifice, în mod legal, modul în care pârâta recurentă a înţeles să stabilească cuantumul  remuneraţiei ce se cuvenea reclamantei.</w:t>
      </w:r>
    </w:p>
    <w:p w:rsidR="00B509ED" w14:paraId="00F8E03B" w14:textId="77777777">
      <w:pPr>
        <w:ind w:firstLine="851"/>
        <w:jc w:val="both"/>
      </w:pPr>
      <w:r>
        <w:t>În final, adiţional argumentelor deja expuse, Curtea reaminteşte o serie de documente internaţionale care includ remuneraţia între garanţiile independenţei judecătorilor, documente la care a făcut referire în cuprinsul considerentelor.</w:t>
      </w:r>
    </w:p>
    <w:p w:rsidR="00B509ED" w14:paraId="66BEE5AA" w14:textId="77777777">
      <w:pPr>
        <w:ind w:firstLine="720"/>
        <w:jc w:val="both"/>
      </w:pPr>
      <w:r>
        <w:t xml:space="preserve">Astfel, </w:t>
      </w:r>
      <w:r w:rsidRPr="00E532FF">
        <w:rPr>
          <w:rStyle w:val="Fontdeparagrafimplicit"/>
          <w:i/>
          <w:lang w:val="ro-RO"/>
        </w:rPr>
        <w:t>Principiile de bază privind independenta justiţiei</w:t>
      </w:r>
      <w:r>
        <w:t xml:space="preserve">, care au fost ulterior unanim avizate de Adunarea Generală prin rezoluţiile 40/32 din 29 noiembrie 1985 si 40/146 din 13 decembrie 1985 prevăd că „judecătorii să dispună de remunerare corespunzătoare, precum şi de pensii adecvate”; prin </w:t>
      </w:r>
      <w:r w:rsidRPr="00E532FF">
        <w:rPr>
          <w:rStyle w:val="Fontdeparagrafimplicit"/>
          <w:i/>
          <w:lang w:val="ro-RO"/>
        </w:rPr>
        <w:t>Carta europeană privind statutul judecătorilor</w:t>
      </w:r>
      <w:r>
        <w:t xml:space="preserve">, Consiliul Europei subliniază că „nivelul remuneraţiei trebuie fixat în aşa fel încât să îi pună pe magistraţi la adăpost de presiunile care vizează să le influenţeze sensul deciziilor şi în general comportamentul jurisdicţional, alterându-le astfel independenţa şi imparţialitatea”, iar art. 13 din </w:t>
      </w:r>
      <w:r w:rsidRPr="00E532FF">
        <w:rPr>
          <w:rStyle w:val="Fontdeparagrafimplicit"/>
          <w:i/>
          <w:lang w:val="ro-RO"/>
        </w:rPr>
        <w:t>Statutul Universal al Judecătorilor</w:t>
      </w:r>
      <w:r>
        <w:t xml:space="preserve"> statuează că „judecătorul trebuie să primească o remuneraţie suficientă pentru a i se asigura o reală independenţa economică, remuneraţie care nu poate depinde de rezultatele activităţii judecătorului”.</w:t>
      </w:r>
    </w:p>
    <w:p w:rsidRPr="00E532FF" w:rsidR="00B509ED" w14:paraId="447D875F" w14:textId="77777777">
      <w:pPr>
        <w:ind w:firstLine="720"/>
        <w:jc w:val="both"/>
        <w:rPr>
          <w:rStyle w:val="Fontdeparagrafimplicit"/>
          <w:lang w:val="ro-RO"/>
        </w:rPr>
      </w:pPr>
      <w:r w:rsidRPr="00E532FF">
        <w:rPr>
          <w:rStyle w:val="Fontdeparagrafimplicit"/>
          <w:i/>
          <w:lang w:val="ro-RO"/>
        </w:rPr>
        <w:t>Magna carta privind judecătorii</w:t>
      </w:r>
      <w:r>
        <w:t>, adoptata de Consiliul Consultativ al Judecătorilor Europenei la 17 noiembrie 2010, prevede la art. 4 că „</w:t>
      </w:r>
      <w:r w:rsidRPr="00E532FF">
        <w:rPr>
          <w:rStyle w:val="Fontdeparagrafimplicit"/>
          <w:color w:val="000000"/>
          <w:shd w:val="clear" w:color="auto" w:fill="FFFFFF"/>
          <w:lang w:val="ro-RO"/>
        </w:rPr>
        <w:t>independenţa judecătorului trebuie să fie garantată în exercitarea activităţii judiciare, în mod special cu privire la (…) remunerare”.</w:t>
      </w:r>
    </w:p>
    <w:p w:rsidRPr="00E532FF" w:rsidR="00B509ED" w14:paraId="1EBF19EF" w14:textId="77777777">
      <w:pPr>
        <w:ind w:firstLine="720"/>
        <w:jc w:val="both"/>
        <w:rPr>
          <w:rStyle w:val="Fontdeparagrafimplicit"/>
          <w:lang w:val="ro-RO"/>
        </w:rPr>
      </w:pPr>
      <w:r w:rsidRPr="00E532FF">
        <w:rPr>
          <w:rStyle w:val="Fontdeparagrafimplicit"/>
          <w:color w:val="000000"/>
          <w:shd w:val="clear" w:color="auto" w:fill="FFFFFF"/>
          <w:lang w:val="ro-RO"/>
        </w:rPr>
        <w:t>Toate aceste documente internaţionale, ce îşi găsesc expresie şi în reglementările interne, relevă, odată în plus, natura juridică specifică a remuneraţiei judecătorilor, ca şi garanţie a independenţei lor şi parte a statului lor, fapt ce o deosebeşte în mod ferm de salariul reglementat de Codul muncii şi îi oferă, din acest motiv, o protecţie sporită.</w:t>
      </w:r>
    </w:p>
    <w:p w:rsidRPr="00E532FF" w:rsidR="00B509ED" w14:paraId="2452B82C" w14:textId="77777777">
      <w:pPr>
        <w:ind w:firstLine="720"/>
        <w:jc w:val="both"/>
        <w:rPr>
          <w:rStyle w:val="Fontdeparagrafimplicit"/>
          <w:color w:val="000000"/>
          <w:shd w:val="clear" w:color="auto" w:fill="FFFFFF"/>
          <w:lang w:val="ro-RO"/>
        </w:rPr>
      </w:pPr>
      <w:r w:rsidRPr="00E532FF">
        <w:rPr>
          <w:rStyle w:val="Fontdeparagrafimplicit"/>
          <w:color w:val="000000"/>
          <w:shd w:val="clear" w:color="auto" w:fill="FFFFFF"/>
          <w:lang w:val="ro-RO"/>
        </w:rPr>
        <w:t xml:space="preserve">În consecinţă, Curtea reţine, pe de-o parte, că remuneraţia judecătorilor este stabilită prin raportare la criterii limitativ prevăzute de lege, este aferentă activităţii acestora şi timpului de muncă efectiv lucrat şi, pe de altă parte, nu poate fi diminuată decât în condiţiile prevăzute de Legea 303/2004. </w:t>
      </w:r>
    </w:p>
    <w:p w:rsidRPr="00E532FF" w:rsidR="00B509ED" w14:paraId="14703B5D" w14:textId="77777777">
      <w:pPr>
        <w:ind w:firstLine="720"/>
        <w:jc w:val="both"/>
        <w:rPr>
          <w:rStyle w:val="Fontdeparagrafimplicit"/>
          <w:color w:val="000000"/>
          <w:shd w:val="clear" w:color="auto" w:fill="FFFFFF"/>
          <w:lang w:val="pt-PT"/>
        </w:rPr>
      </w:pPr>
      <w:r w:rsidRPr="00E532FF">
        <w:rPr>
          <w:rStyle w:val="Fontdeparagrafimplicit"/>
          <w:color w:val="000000"/>
          <w:shd w:val="clear" w:color="auto" w:fill="FFFFFF"/>
          <w:lang w:val="pt-PT"/>
        </w:rPr>
        <w:t>Aşa fiind, hotărârea instanţei de fond este legală şi temeinică, considerentele acesteia fiind completate cu cele ce se regăsesc în cuprinsul prezentei decizii.</w:t>
      </w:r>
    </w:p>
    <w:p w:rsidRPr="00E532FF" w:rsidR="00B509ED" w14:paraId="30A22E49" w14:textId="63273ED8">
      <w:pPr>
        <w:ind w:firstLine="720"/>
        <w:jc w:val="both"/>
        <w:rPr>
          <w:rStyle w:val="Fontdeparagrafimplicit"/>
          <w:color w:val="000000"/>
          <w:shd w:val="clear" w:color="auto" w:fill="FFFFFF"/>
          <w:lang w:val="pt-PT"/>
        </w:rPr>
      </w:pPr>
      <w:r w:rsidRPr="00E532FF">
        <w:rPr>
          <w:rStyle w:val="Fontdeparagrafimplicit"/>
          <w:color w:val="000000"/>
          <w:shd w:val="clear" w:color="auto" w:fill="FFFFFF"/>
          <w:lang w:val="pt-PT"/>
        </w:rPr>
        <w:t xml:space="preserve">Având în vedere ansamblul considerentelor expuse mai sus, în temeiul art. 480 alin.1 C.pr.civilă, Curtea va respinge ca nefondat </w:t>
      </w:r>
      <w:r>
        <w:t xml:space="preserve">recursul declarat de CURTEA DE APEL </w:t>
      </w:r>
      <w:r w:rsidR="00E532FF">
        <w:t xml:space="preserve">............... </w:t>
      </w:r>
      <w:r>
        <w:t xml:space="preserve">împotriva sentinţei civile nr. </w:t>
      </w:r>
      <w:r w:rsidR="00E532FF">
        <w:t xml:space="preserve">........ </w:t>
      </w:r>
      <w:r>
        <w:t xml:space="preserve">din </w:t>
      </w:r>
      <w:r w:rsidR="00E532FF">
        <w:t xml:space="preserve">................ </w:t>
      </w:r>
      <w:r>
        <w:t xml:space="preserve">şi nr. </w:t>
      </w:r>
      <w:r w:rsidR="00E532FF">
        <w:t xml:space="preserve">........ </w:t>
      </w:r>
      <w:r>
        <w:t xml:space="preserve">din </w:t>
      </w:r>
      <w:r w:rsidR="00E532FF">
        <w:t xml:space="preserve">........ </w:t>
      </w:r>
      <w:r>
        <w:t xml:space="preserve">a Tribunalului </w:t>
      </w:r>
      <w:r w:rsidR="00E532FF">
        <w:t xml:space="preserve">.......... </w:t>
      </w:r>
      <w:r>
        <w:t xml:space="preserve"> pronunţate în dosar nr. </w:t>
      </w:r>
      <w:r w:rsidR="00E532FF">
        <w:t>28</w:t>
      </w:r>
      <w:r>
        <w:t>, pe care le menţine.</w:t>
      </w:r>
    </w:p>
    <w:p w:rsidRPr="00E532FF" w:rsidR="00B509ED" w14:paraId="58D675A5" w14:textId="77777777">
      <w:pPr>
        <w:jc w:val="both"/>
        <w:rPr>
          <w:rStyle w:val="Fontdeparagrafimplicit"/>
          <w:lang w:val="pt-PT"/>
        </w:rPr>
      </w:pPr>
    </w:p>
    <w:p w:rsidRPr="00E532FF" w:rsidR="00B509ED" w14:paraId="366C0D97" w14:textId="77777777">
      <w:pPr>
        <w:jc w:val="center"/>
        <w:rPr>
          <w:rStyle w:val="Fontdeparagrafimplicit"/>
          <w:lang w:val="pt-PT"/>
        </w:rPr>
      </w:pPr>
    </w:p>
    <w:p w:rsidR="00B509ED" w14:paraId="6A521ABE" w14:textId="77777777">
      <w:pPr>
        <w:jc w:val="center"/>
      </w:pPr>
      <w:r>
        <w:t>PENTRU ACESTE MOTIVE</w:t>
      </w:r>
    </w:p>
    <w:p w:rsidR="00B509ED" w14:paraId="6AD8D066" w14:textId="77777777">
      <w:pPr>
        <w:jc w:val="center"/>
      </w:pPr>
      <w:r>
        <w:t>ÎN NUMELE LEGII</w:t>
      </w:r>
    </w:p>
    <w:p w:rsidR="00B509ED" w14:paraId="1ABFD00B" w14:textId="77777777">
      <w:pPr>
        <w:jc w:val="center"/>
      </w:pPr>
      <w:r>
        <w:t>D E C I D E:</w:t>
      </w:r>
    </w:p>
    <w:p w:rsidRPr="00E532FF" w:rsidR="00B509ED" w14:paraId="4B9CFA8E" w14:textId="77777777">
      <w:pPr>
        <w:ind w:firstLine="720"/>
        <w:jc w:val="both"/>
        <w:rPr>
          <w:rStyle w:val="Fontdeparagrafimplicit"/>
          <w:i/>
          <w:lang w:val="pt-PT"/>
        </w:rPr>
      </w:pPr>
    </w:p>
    <w:p w:rsidR="00B509ED" w14:paraId="6044FB24" w14:textId="4831AE6D">
      <w:pPr>
        <w:ind w:firstLine="708"/>
        <w:jc w:val="both"/>
      </w:pPr>
      <w:r>
        <w:t xml:space="preserve">Respinge ca nefondat recursul declarat de CURTEA DE APEL </w:t>
      </w:r>
      <w:r w:rsidR="00E532FF">
        <w:t xml:space="preserve">............... </w:t>
      </w:r>
      <w:r>
        <w:t xml:space="preserve">împotriva sentinţei civile nr. </w:t>
      </w:r>
      <w:r w:rsidR="00E532FF">
        <w:t xml:space="preserve">........ </w:t>
      </w:r>
      <w:r>
        <w:t xml:space="preserve">din </w:t>
      </w:r>
      <w:r w:rsidR="00E532FF">
        <w:t xml:space="preserve">................ </w:t>
      </w:r>
      <w:r>
        <w:t xml:space="preserve">şi nr. </w:t>
      </w:r>
      <w:r w:rsidR="00E532FF">
        <w:t xml:space="preserve">........ </w:t>
      </w:r>
      <w:r>
        <w:t xml:space="preserve">din </w:t>
      </w:r>
      <w:r w:rsidR="00E532FF">
        <w:t xml:space="preserve">........ </w:t>
      </w:r>
      <w:r>
        <w:t xml:space="preserve">a Tribunalului </w:t>
      </w:r>
      <w:r w:rsidR="00E532FF">
        <w:t xml:space="preserve">.......... </w:t>
      </w:r>
      <w:r>
        <w:t xml:space="preserve"> pronunţate în dosar nr. </w:t>
      </w:r>
      <w:r w:rsidR="00E532FF">
        <w:t>28</w:t>
      </w:r>
      <w:r>
        <w:t>, pe care le menţine.</w:t>
      </w:r>
    </w:p>
    <w:p w:rsidR="00B509ED" w14:paraId="516380F3" w14:textId="77777777">
      <w:pPr>
        <w:ind w:firstLine="708"/>
        <w:jc w:val="both"/>
      </w:pPr>
      <w:r>
        <w:t>Decizia este irevocabilă.</w:t>
      </w:r>
    </w:p>
    <w:p w:rsidR="00B509ED" w14:paraId="7156C131" w14:textId="6F477837">
      <w:pPr>
        <w:ind w:firstLine="708"/>
        <w:jc w:val="both"/>
      </w:pPr>
      <w:r>
        <w:t xml:space="preserve">Dată şi pronunţată în şedinţa publică din </w:t>
      </w:r>
      <w:r w:rsidR="00E532FF">
        <w:t xml:space="preserve">................... </w:t>
      </w:r>
      <w:r>
        <w:t>.</w:t>
      </w:r>
    </w:p>
    <w:p w:rsidR="00B509ED" w14:paraId="283E699E" w14:textId="77777777">
      <w:pPr>
        <w:ind w:firstLine="708"/>
        <w:jc w:val="both"/>
      </w:pPr>
    </w:p>
    <w:p w:rsidRPr="00FF3E22" w:rsidR="00B509ED" w14:paraId="7D668CC4" w14:textId="77777777">
      <w:pPr>
        <w:rPr>
          <w:rStyle w:val="Fontdeparagrafimplicit"/>
          <w:b/>
          <w:sz w:val="20"/>
          <w:lang w:val="ro-RO"/>
        </w:rPr>
      </w:pPr>
      <w:r w:rsidRPr="00E532FF">
        <w:rPr>
          <w:rStyle w:val="Fontdeparagrafimplicit"/>
          <w:sz w:val="20"/>
          <w:lang w:val="ro-RO"/>
        </w:rPr>
        <w:t xml:space="preserve"> </w:t>
      </w:r>
      <w:r w:rsidRPr="00E532FF">
        <w:rPr>
          <w:rStyle w:val="Fontdeparagrafimplicit"/>
          <w:sz w:val="20"/>
          <w:lang w:val="ro-RO"/>
        </w:rPr>
        <w:tab/>
        <w:t xml:space="preserve"> </w:t>
      </w:r>
      <w:r w:rsidRPr="00FF3E22">
        <w:rPr>
          <w:rStyle w:val="Fontdeparagrafimplicit"/>
          <w:b/>
          <w:sz w:val="20"/>
          <w:lang w:val="ro-RO"/>
        </w:rPr>
        <w:t>PREŞEDINTE                                        JUDECĂTOR                                                    JUDECĂTOR</w:t>
      </w:r>
    </w:p>
    <w:p w:rsidRPr="00FF3E22" w:rsidR="00B509ED" w14:paraId="62332826" w14:textId="4B956F56">
      <w:pPr>
        <w:ind w:firstLine="708"/>
        <w:rPr>
          <w:rStyle w:val="Fontdeparagrafimplicit"/>
          <w:b/>
          <w:sz w:val="20"/>
          <w:lang w:val="ro-RO"/>
        </w:rPr>
      </w:pPr>
      <w:r w:rsidRPr="00FF3E22">
        <w:rPr>
          <w:rStyle w:val="Fontdeparagrafimplicit"/>
          <w:b/>
          <w:sz w:val="20"/>
          <w:lang w:val="ro-RO"/>
        </w:rPr>
        <w:t xml:space="preserve">................... </w:t>
      </w:r>
      <w:r w:rsidRPr="00FF3E22" w:rsidR="00C80215">
        <w:rPr>
          <w:rStyle w:val="Fontdeparagrafimplicit"/>
          <w:b/>
          <w:sz w:val="20"/>
          <w:lang w:val="ro-RO"/>
        </w:rPr>
        <w:t xml:space="preserve">                      </w:t>
      </w:r>
      <w:r w:rsidRPr="00FF3E22">
        <w:rPr>
          <w:rStyle w:val="Fontdeparagrafimplicit"/>
          <w:b/>
          <w:sz w:val="20"/>
          <w:lang w:val="ro-RO"/>
        </w:rPr>
        <w:tab/>
      </w:r>
      <w:r w:rsidRPr="00FF3E22">
        <w:rPr>
          <w:rStyle w:val="Fontdeparagrafimplicit"/>
          <w:b/>
          <w:sz w:val="20"/>
          <w:lang w:val="ro-RO"/>
        </w:rPr>
        <w:tab/>
      </w:r>
      <w:r w:rsidRPr="00FF3E22">
        <w:rPr>
          <w:rStyle w:val="Fontdeparagrafimplicit"/>
          <w:b/>
          <w:sz w:val="20"/>
          <w:lang w:val="ro-RO"/>
        </w:rPr>
        <w:tab/>
      </w:r>
      <w:r w:rsidRPr="00FF3E22" w:rsidR="00C80215">
        <w:rPr>
          <w:rStyle w:val="Fontdeparagrafimplicit"/>
          <w:b/>
          <w:sz w:val="20"/>
          <w:lang w:val="ro-RO"/>
        </w:rPr>
        <w:t xml:space="preserve">  </w:t>
      </w:r>
      <w:r w:rsidRPr="00FF3E22">
        <w:rPr>
          <w:rStyle w:val="Fontdeparagrafimplicit"/>
          <w:b/>
          <w:sz w:val="20"/>
          <w:lang w:val="ro-RO"/>
        </w:rPr>
        <w:t>A0019</w:t>
      </w:r>
      <w:r w:rsidRPr="00FF3E22" w:rsidR="00C80215">
        <w:rPr>
          <w:rStyle w:val="Fontdeparagrafimplicit"/>
          <w:b/>
          <w:sz w:val="20"/>
          <w:lang w:val="ro-RO"/>
        </w:rPr>
        <w:t xml:space="preserve">                           </w:t>
      </w:r>
      <w:r w:rsidRPr="00FF3E22">
        <w:rPr>
          <w:rStyle w:val="Fontdeparagrafimplicit"/>
          <w:b/>
          <w:sz w:val="20"/>
          <w:lang w:val="ro-RO"/>
        </w:rPr>
        <w:tab/>
      </w:r>
      <w:r w:rsidRPr="00FF3E22">
        <w:rPr>
          <w:rStyle w:val="Fontdeparagrafimplicit"/>
          <w:b/>
          <w:sz w:val="20"/>
          <w:lang w:val="ro-RO"/>
        </w:rPr>
        <w:tab/>
      </w:r>
      <w:r w:rsidRPr="00FF3E22">
        <w:rPr>
          <w:rStyle w:val="Fontdeparagrafimplicit"/>
          <w:b/>
          <w:sz w:val="20"/>
          <w:lang w:val="ro-RO"/>
        </w:rPr>
        <w:tab/>
      </w:r>
      <w:r w:rsidRPr="00FF3E22" w:rsidR="00C80215">
        <w:rPr>
          <w:rStyle w:val="Fontdeparagrafimplicit"/>
          <w:b/>
          <w:sz w:val="20"/>
          <w:lang w:val="ro-RO"/>
        </w:rPr>
        <w:t xml:space="preserve"> </w:t>
      </w:r>
      <w:r w:rsidRPr="00FF3E22">
        <w:rPr>
          <w:rStyle w:val="Fontdeparagrafimplicit"/>
          <w:b/>
          <w:sz w:val="20"/>
          <w:lang w:val="ro-RO"/>
        </w:rPr>
        <w:t xml:space="preserve">............... </w:t>
      </w:r>
      <w:r w:rsidRPr="00FF3E22" w:rsidR="00C80215">
        <w:rPr>
          <w:rStyle w:val="Fontdeparagrafimplicit"/>
          <w:sz w:val="20"/>
          <w:lang w:val="ro-RO"/>
        </w:rPr>
        <w:t xml:space="preserve">       </w:t>
      </w:r>
    </w:p>
    <w:p w:rsidRPr="00FF3E22" w:rsidR="00B509ED" w14:paraId="5F9817D7" w14:textId="77777777">
      <w:pPr>
        <w:rPr>
          <w:rStyle w:val="Fontdeparagrafimplicit"/>
          <w:b/>
          <w:sz w:val="20"/>
          <w:lang w:val="ro-RO"/>
        </w:rPr>
      </w:pPr>
    </w:p>
    <w:p w:rsidRPr="00FF3E22" w:rsidR="00B509ED" w14:paraId="68D76B5E" w14:textId="77777777">
      <w:pPr>
        <w:rPr>
          <w:rStyle w:val="Fontdeparagrafimplicit"/>
          <w:b/>
          <w:sz w:val="20"/>
          <w:lang w:val="ro-RO"/>
        </w:rPr>
      </w:pPr>
    </w:p>
    <w:p w:rsidRPr="00FF3E22" w:rsidR="00B509ED" w14:paraId="2B3EF44E" w14:textId="77777777">
      <w:pPr>
        <w:rPr>
          <w:rStyle w:val="Fontdeparagrafimplicit"/>
          <w:b/>
          <w:sz w:val="20"/>
          <w:lang w:val="ro-RO"/>
        </w:rPr>
      </w:pPr>
    </w:p>
    <w:p w:rsidRPr="00FF3E22" w:rsidR="00B509ED" w14:paraId="292F112E" w14:textId="77777777">
      <w:pPr>
        <w:rPr>
          <w:rStyle w:val="Fontdeparagrafimplicit"/>
          <w:b/>
          <w:sz w:val="20"/>
          <w:lang w:val="ro-RO"/>
        </w:rPr>
      </w:pPr>
    </w:p>
    <w:p w:rsidRPr="00FF3E22" w:rsidR="00B509ED" w14:paraId="0DB2D812" w14:textId="77777777">
      <w:pPr>
        <w:rPr>
          <w:rStyle w:val="Fontdeparagrafimplicit"/>
          <w:b/>
          <w:sz w:val="20"/>
          <w:lang w:val="ro-RO"/>
        </w:rPr>
      </w:pPr>
    </w:p>
    <w:p w:rsidRPr="00FF3E22" w:rsidR="00B509ED" w14:paraId="2117F385" w14:textId="77777777">
      <w:pPr>
        <w:rPr>
          <w:rStyle w:val="Fontdeparagrafimplicit"/>
          <w:b/>
          <w:sz w:val="20"/>
          <w:lang w:val="ro-RO"/>
        </w:rPr>
      </w:pPr>
    </w:p>
    <w:p w:rsidRPr="00FF3E22" w:rsidR="00B509ED" w14:paraId="2EE60C03" w14:textId="77777777">
      <w:pPr>
        <w:jc w:val="center"/>
        <w:rPr>
          <w:rStyle w:val="Fontdeparagrafimplicit"/>
          <w:b/>
          <w:sz w:val="20"/>
          <w:lang w:val="ro-RO"/>
        </w:rPr>
      </w:pPr>
      <w:r w:rsidRPr="00FF3E22">
        <w:rPr>
          <w:rStyle w:val="Fontdeparagrafimplicit"/>
          <w:b/>
          <w:sz w:val="20"/>
          <w:lang w:val="ro-RO"/>
        </w:rPr>
        <w:t xml:space="preserve">                                                                               GREFIER</w:t>
      </w:r>
    </w:p>
    <w:p w:rsidRPr="00FF3E22" w:rsidR="00B509ED" w14:paraId="4A6788A2" w14:textId="45AF8357">
      <w:pPr>
        <w:jc w:val="center"/>
        <w:rPr>
          <w:rStyle w:val="Fontdeparagrafimplicit"/>
          <w:b/>
          <w:sz w:val="20"/>
          <w:lang w:val="ro-RO"/>
        </w:rPr>
      </w:pPr>
      <w:r w:rsidRPr="00FF3E22">
        <w:rPr>
          <w:rStyle w:val="Fontdeparagrafimplicit"/>
          <w:b/>
          <w:sz w:val="20"/>
          <w:lang w:val="ro-RO"/>
        </w:rPr>
        <w:t xml:space="preserve">                                                                             </w:t>
      </w:r>
      <w:r w:rsidRPr="00FF3E22" w:rsidR="00E532FF">
        <w:rPr>
          <w:rStyle w:val="Fontdeparagrafimplicit"/>
          <w:b/>
          <w:sz w:val="20"/>
          <w:lang w:val="ro-RO"/>
        </w:rPr>
        <w:t xml:space="preserve">............... </w:t>
      </w:r>
    </w:p>
    <w:p w:rsidRPr="00FF3E22" w:rsidR="00B509ED" w14:paraId="00F19BE0" w14:textId="77777777">
      <w:pPr>
        <w:jc w:val="both"/>
        <w:rPr>
          <w:rStyle w:val="Fontdeparagrafimplicit"/>
          <w:b/>
          <w:sz w:val="20"/>
          <w:lang w:val="ro-RO"/>
        </w:rPr>
      </w:pPr>
      <w:r w:rsidRPr="00FF3E22">
        <w:rPr>
          <w:rStyle w:val="Fontdeparagrafimplicit"/>
          <w:b/>
          <w:sz w:val="20"/>
          <w:lang w:val="ro-RO"/>
        </w:rPr>
        <w:t xml:space="preserve">                                                                                                                   Plecat în CO, semnează </w:t>
      </w:r>
    </w:p>
    <w:p w:rsidRPr="00E532FF" w:rsidR="00B509ED" w14:paraId="4FF59EDD" w14:textId="77777777">
      <w:pPr>
        <w:jc w:val="both"/>
        <w:rPr>
          <w:rStyle w:val="Fontdeparagrafimplicit"/>
          <w:b/>
          <w:sz w:val="20"/>
          <w:lang w:val="pt-PT"/>
        </w:rPr>
      </w:pPr>
      <w:r w:rsidRPr="00FF3E22">
        <w:rPr>
          <w:rStyle w:val="Fontdeparagrafimplicit"/>
          <w:b/>
          <w:sz w:val="20"/>
          <w:lang w:val="ro-RO"/>
        </w:rPr>
        <w:t xml:space="preserve">                                                                                                                           </w:t>
      </w:r>
      <w:r w:rsidRPr="00E532FF">
        <w:rPr>
          <w:rStyle w:val="Fontdeparagrafimplicit"/>
          <w:b/>
          <w:sz w:val="20"/>
          <w:lang w:val="pt-PT"/>
        </w:rPr>
        <w:t>grefier şef secţie</w:t>
      </w:r>
    </w:p>
    <w:p w:rsidRPr="00E532FF" w:rsidR="00B509ED" w14:paraId="1CDC70DC" w14:textId="4370C984">
      <w:pPr>
        <w:jc w:val="both"/>
        <w:rPr>
          <w:rStyle w:val="Fontdeparagrafimplicit"/>
          <w:b/>
          <w:sz w:val="20"/>
          <w:lang w:val="pt-PT"/>
        </w:rPr>
      </w:pPr>
      <w:r w:rsidRPr="00E532FF">
        <w:rPr>
          <w:rStyle w:val="Fontdeparagrafimplicit"/>
          <w:b/>
          <w:lang w:val="pt-PT"/>
        </w:rPr>
        <w:t xml:space="preserve">                                                                                                       </w:t>
      </w:r>
      <w:r w:rsidR="00E532FF">
        <w:rPr>
          <w:rStyle w:val="Fontdeparagrafimplicit"/>
          <w:b/>
          <w:lang w:val="pt-PT"/>
        </w:rPr>
        <w:t>....................</w:t>
      </w:r>
    </w:p>
    <w:p w:rsidRPr="00E532FF" w:rsidR="00B509ED" w14:paraId="4FE26E6E" w14:textId="77777777">
      <w:pPr>
        <w:rPr>
          <w:rStyle w:val="Fontdeparagrafimplicit"/>
          <w:b/>
          <w:lang w:val="pt-PT"/>
        </w:rPr>
      </w:pPr>
    </w:p>
    <w:p w:rsidRPr="00E532FF" w:rsidR="00B509ED" w14:paraId="3CB348E1" w14:textId="77777777">
      <w:pPr>
        <w:rPr>
          <w:rStyle w:val="Fontdeparagrafimplicit"/>
          <w:b/>
          <w:lang w:val="pt-PT"/>
        </w:rPr>
      </w:pPr>
    </w:p>
    <w:p w:rsidRPr="00E532FF" w:rsidR="00B509ED" w14:paraId="44FFAE30" w14:textId="77777777">
      <w:pPr>
        <w:jc w:val="both"/>
        <w:rPr>
          <w:rStyle w:val="Fontdeparagrafimplicit"/>
          <w:lang w:val="pt-PT"/>
        </w:rPr>
      </w:pPr>
    </w:p>
    <w:p w:rsidRPr="00E532FF" w:rsidR="00B509ED" w14:paraId="1FCA4819" w14:textId="77777777">
      <w:pPr>
        <w:jc w:val="both"/>
        <w:rPr>
          <w:rStyle w:val="Fontdeparagrafimplicit"/>
          <w:lang w:val="pt-PT"/>
        </w:rPr>
      </w:pPr>
    </w:p>
    <w:p w:rsidRPr="00E532FF" w:rsidR="00B509ED" w14:paraId="2E3CA6B3" w14:textId="77777777">
      <w:pPr>
        <w:jc w:val="both"/>
        <w:rPr>
          <w:rStyle w:val="Fontdeparagrafimplicit"/>
          <w:lang w:val="pt-PT"/>
        </w:rPr>
      </w:pPr>
    </w:p>
    <w:p w:rsidRPr="00E532FF" w:rsidR="00B509ED" w14:paraId="67D3DCAB" w14:textId="77777777">
      <w:pPr>
        <w:jc w:val="both"/>
        <w:rPr>
          <w:rStyle w:val="Fontdeparagrafimplicit"/>
          <w:lang w:val="pt-PT"/>
        </w:rPr>
      </w:pPr>
    </w:p>
    <w:p w:rsidRPr="00E532FF" w:rsidR="00B509ED" w14:paraId="45C57C70" w14:textId="77777777">
      <w:pPr>
        <w:jc w:val="both"/>
        <w:rPr>
          <w:rStyle w:val="Fontdeparagrafimplicit"/>
          <w:sz w:val="18"/>
          <w:lang w:val="pt-PT"/>
        </w:rPr>
      </w:pPr>
    </w:p>
    <w:p w:rsidRPr="00E532FF" w:rsidR="00B509ED" w14:paraId="4443B93E" w14:textId="77777777">
      <w:pPr>
        <w:jc w:val="both"/>
        <w:rPr>
          <w:rStyle w:val="Fontdeparagrafimplicit"/>
          <w:sz w:val="18"/>
          <w:lang w:val="pt-PT"/>
        </w:rPr>
      </w:pPr>
    </w:p>
    <w:p w:rsidRPr="00E532FF" w:rsidR="00B509ED" w14:paraId="75265038" w14:textId="15000323">
      <w:pPr>
        <w:jc w:val="both"/>
        <w:rPr>
          <w:rStyle w:val="Fontdeparagrafimplicit"/>
          <w:sz w:val="18"/>
          <w:lang w:val="pt-PT"/>
        </w:rPr>
      </w:pPr>
      <w:r w:rsidRPr="00E532FF">
        <w:rPr>
          <w:rStyle w:val="Fontdeparagrafimplicit"/>
          <w:sz w:val="18"/>
          <w:lang w:val="pt-PT"/>
        </w:rPr>
        <w:t>Red.</w:t>
      </w:r>
      <w:r w:rsidR="00F7504B">
        <w:rPr>
          <w:rStyle w:val="Fontdeparagrafimplicit"/>
          <w:sz w:val="18"/>
          <w:lang w:val="pt-PT"/>
        </w:rPr>
        <w:t>A0019</w:t>
      </w:r>
      <w:r w:rsidRPr="00E532FF">
        <w:rPr>
          <w:rStyle w:val="Fontdeparagrafimplicit"/>
          <w:sz w:val="18"/>
          <w:lang w:val="pt-PT"/>
        </w:rPr>
        <w:t>/dact.</w:t>
      </w:r>
      <w:r w:rsidR="00F7504B">
        <w:rPr>
          <w:rStyle w:val="Fontdeparagrafimplicit"/>
          <w:sz w:val="18"/>
          <w:lang w:val="pt-PT"/>
        </w:rPr>
        <w:t>.............</w:t>
      </w:r>
    </w:p>
    <w:p w:rsidRPr="00F7504B" w:rsidR="00B509ED" w14:paraId="59E0663C" w14:textId="479086DC">
      <w:pPr>
        <w:jc w:val="both"/>
        <w:rPr>
          <w:rStyle w:val="Fontdeparagrafimplicit"/>
          <w:sz w:val="18"/>
          <w:lang w:val="pt-PT"/>
        </w:rPr>
      </w:pPr>
      <w:r w:rsidRPr="00F7504B">
        <w:rPr>
          <w:rStyle w:val="Fontdeparagrafimplicit"/>
          <w:sz w:val="18"/>
          <w:lang w:val="pt-PT"/>
        </w:rPr>
        <w:t>2ex./</w:t>
      </w:r>
      <w:r w:rsidRPr="00F7504B" w:rsidR="00F7504B">
        <w:rPr>
          <w:rStyle w:val="Fontdeparagrafimplicit"/>
          <w:sz w:val="18"/>
          <w:lang w:val="pt-PT"/>
        </w:rPr>
        <w:t>..............</w:t>
      </w:r>
    </w:p>
    <w:p w:rsidRPr="00F7504B" w:rsidR="00B509ED" w14:paraId="10BEE93C" w14:textId="3C19796C">
      <w:pPr>
        <w:jc w:val="both"/>
        <w:rPr>
          <w:rStyle w:val="Fontdeparagrafimplicit"/>
          <w:sz w:val="18"/>
          <w:lang w:val="pt-PT"/>
        </w:rPr>
      </w:pPr>
      <w:r w:rsidRPr="00F7504B">
        <w:rPr>
          <w:rStyle w:val="Fontdeparagrafimplicit"/>
          <w:sz w:val="18"/>
          <w:lang w:val="pt-PT"/>
        </w:rPr>
        <w:t xml:space="preserve">Jud.fond: </w:t>
      </w:r>
      <w:r w:rsidRPr="00F7504B" w:rsidR="00F7504B">
        <w:rPr>
          <w:rStyle w:val="Fontdeparagrafimplicit"/>
          <w:sz w:val="18"/>
          <w:lang w:val="pt-PT"/>
        </w:rPr>
        <w:t>.</w:t>
      </w:r>
      <w:r w:rsidR="00F7504B">
        <w:rPr>
          <w:rStyle w:val="Fontdeparagrafimplicit"/>
          <w:sz w:val="18"/>
          <w:lang w:val="pt-PT"/>
        </w:rPr>
        <w:t>..............</w:t>
      </w:r>
    </w:p>
    <w:p w:rsidRPr="00F7504B" w:rsidR="00B509ED" w14:paraId="070669AF" w14:textId="77777777">
      <w:pPr>
        <w:ind w:firstLine="1080"/>
        <w:jc w:val="both"/>
        <w:rPr>
          <w:rStyle w:val="Fontdeparagrafimplicit"/>
          <w:lang w:val="pt-PT"/>
        </w:rPr>
      </w:pP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509ED" w14:paraId="2EA42C24"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B509ED" w14:paraId="6B3E22A3"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509ED" w14:paraId="766749F5"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B509ED" w14:paraId="738D383B"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9ED"/>
    <w:rsid w:val="002E780B"/>
    <w:rsid w:val="009A3DD6"/>
    <w:rsid w:val="00B509ED"/>
    <w:rsid w:val="00C80215"/>
    <w:rsid w:val="00E532FF"/>
    <w:rsid w:val="00F7504B"/>
    <w:rsid w:val="00FF3E22"/>
  </w:rsids>
  <w:docVars>
    <w:docVar w:name="url" w:val="http://bd-cjca:80/ecris_cdms/document_upload.aspx?id_document=3300000000823223&amp;id_departament=3&amp;id_sesiune=845925&amp;id_user=15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88E3CDA"/>
  <w15:docId w15:val="{31F8F6F6-4ED9-4AF0-87FB-480B50A95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customStyle="1" w:styleId="Titlu2">
    <w:name w:val="Titlu 2"/>
    <w:basedOn w:val="Normal"/>
    <w:next w:val="Normal"/>
    <w:qFormat/>
    <w:pPr>
      <w:keepNext/>
      <w:spacing w:before="240" w:after="60"/>
      <w:outlineLvl w:val="1"/>
    </w:pPr>
    <w:rPr>
      <w:rFonts w:ascii="Arial" w:hAnsi="Arial"/>
      <w:b/>
      <w:i/>
      <w:sz w:val="28"/>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320"/>
        <w:tab w:val="right" w:pos="8640"/>
      </w:tabs>
    </w:pPr>
  </w:style>
  <w:style w:type="paragraph" w:customStyle="1" w:styleId="CaracterCaracterCaracterCaracterCaracterCaracterCaracterCaracterCaracterCaracterCaracterCaracter">
    <w:name w:val="Caracter Caracter Caracter Caracter Caracter Caracter Caracter Caracter Caracter Caracter Caracter Caracter"/>
    <w:basedOn w:val="Normal"/>
    <w:link w:val="Fontdeparagrafimplicit"/>
    <w:rPr>
      <w:lang w:val="pl-PL"/>
    </w:rPr>
  </w:style>
  <w:style w:type="paragraph" w:customStyle="1" w:styleId="CaracterCaracter1CaracterCaracterCaracterCaracter">
    <w:name w:val="Caracter Caracter1 Caracter Caracter Caracter Caracter"/>
    <w:basedOn w:val="Normal"/>
    <w:pPr>
      <w:widowControl w:val="0"/>
      <w:suppressAutoHyphens/>
    </w:pPr>
    <w:rPr>
      <w:lang w:val="pl-PL"/>
    </w:rPr>
  </w:style>
  <w:style w:type="paragraph" w:customStyle="1" w:styleId="CaracterCaracterCaracterCaracter1">
    <w:name w:val="Caracter Caracter Caracter Caracter1"/>
    <w:basedOn w:val="Normal"/>
    <w:rPr>
      <w:lang w:val="pl-PL"/>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 Caracter Caracter Caracter Caracter Caracter Caracter Caracter Caracter Caracter Caracter Caracter Caracter"/>
    <w:link w:val="CaracterCaracterCaracterCaracterCaracterCaracterCaracterCaracterCaracterCaracterCaracterCaracter"/>
    <w:rPr>
      <w:lang w:val="pl-PL"/>
    </w:rPr>
  </w:style>
  <w:style w:type="character" w:customStyle="1" w:styleId="Numrdepagin">
    <w:name w:val="Număr de pagină"/>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29</ap:TotalTime>
  <ap:Pages>8</ap:Pages>
  <ap:Words>4777</ap:Words>
  <ap:Characters>27233</ap:Characters>
  <ap:Application>Microsoft Office Word</ap:Application>
  <ap:DocSecurity>0</ap:DocSecurity>
  <ap:Lines>226</ap:Lines>
  <ap:Paragraphs>63</ap:Paragraphs>
  <ap:ScaleCrop>false</ap:ScaleCrop>
  <ap:CharactersWithSpaces>31947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2016-07-08T08:56:00.0000000Z</lastPrinted>
  <dc:subject/>
  <dc:description/>
  <keywords/>
  <category/>
  <contentStatus/>
  <dc:identifier/>
  <dc:language/>
  <version/>
</coreProperties>
</file>