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25.5.0 -->
  <w:body>
    <w:p w:rsidR="00F327DD" w:rsidP="00F327DD">
      <w:pPr>
        <w:rPr>
          <w:b/>
        </w:rPr>
      </w:pPr>
      <w:r>
        <w:rPr>
          <w:b/>
        </w:rPr>
        <w:t>HOTĂRÂREA NR. 2</w:t>
      </w:r>
      <w:r>
        <w:rPr>
          <w:b/>
        </w:rPr>
        <w:t xml:space="preserve">                                                        CANDIDAT  A0009</w:t>
      </w:r>
    </w:p>
    <w:p w:rsidR="00C129D0">
      <w:pPr>
        <w:rPr>
          <w:rStyle w:val="Fontdeparagrafimplicit"/>
          <w:rFonts w:ascii="Garamond" w:hAnsi="Garamond"/>
        </w:rPr>
      </w:pPr>
      <w:r>
        <w:rPr>
          <w:rStyle w:val="Fontdeparagrafimplicit"/>
          <w:rFonts w:ascii="Garamond" w:hAnsi="Garamond"/>
        </w:rPr>
        <w:t>Cod ECLI    ECLI:RO:</w:t>
      </w:r>
      <w:r w:rsidR="00CE46AC">
        <w:rPr>
          <w:rStyle w:val="Fontdeparagrafimplicit"/>
          <w:rFonts w:ascii="Garamond" w:hAnsi="Garamond"/>
        </w:rPr>
        <w:t>...........</w:t>
      </w:r>
    </w:p>
    <w:p w:rsidR="00C129D0">
      <w:pPr>
        <w:rPr>
          <w:rStyle w:val="Fontdeparagrafimplicit"/>
          <w:b/>
        </w:rPr>
      </w:pPr>
      <w:r>
        <w:rPr>
          <w:rStyle w:val="Fontdeparagrafimplicit"/>
          <w:b/>
        </w:rPr>
        <w:t xml:space="preserve">Dosar nr. </w:t>
      </w:r>
      <w:r w:rsidR="00CE46AC">
        <w:rPr>
          <w:rStyle w:val="Fontdeparagrafimplicit"/>
          <w:b/>
        </w:rPr>
        <w:t>............</w:t>
      </w:r>
    </w:p>
    <w:p w:rsidR="00C129D0">
      <w:pPr>
        <w:jc w:val="center"/>
        <w:rPr>
          <w:rStyle w:val="Fontdeparagrafimplicit"/>
          <w:b/>
        </w:rPr>
      </w:pPr>
    </w:p>
    <w:p w:rsidR="00C129D0">
      <w:pPr>
        <w:jc w:val="center"/>
      </w:pPr>
      <w:r>
        <w:t>R O M Â N I A</w:t>
      </w:r>
    </w:p>
    <w:p w:rsidR="00C129D0">
      <w:pPr>
        <w:jc w:val="center"/>
      </w:pPr>
      <w:r>
        <w:t xml:space="preserve">CURTEA DE APEL </w:t>
      </w:r>
      <w:r w:rsidR="00CE46AC">
        <w:t>.............</w:t>
      </w:r>
    </w:p>
    <w:p w:rsidR="00C129D0">
      <w:pPr>
        <w:jc w:val="center"/>
      </w:pPr>
      <w:r>
        <w:t xml:space="preserve">SECŢIA </w:t>
      </w:r>
      <w:r w:rsidR="00CE46AC">
        <w:t>...........</w:t>
      </w:r>
      <w:r>
        <w:t>CONTENCIOS ADMINISTRATIV ŞI FISCAL</w:t>
      </w:r>
    </w:p>
    <w:p w:rsidR="00C129D0">
      <w:pPr>
        <w:jc w:val="center"/>
      </w:pPr>
    </w:p>
    <w:p w:rsidR="00C129D0">
      <w:pPr>
        <w:jc w:val="center"/>
        <w:rPr>
          <w:rStyle w:val="Fontdeparagrafimplicit"/>
          <w:b/>
        </w:rPr>
      </w:pPr>
      <w:r>
        <w:rPr>
          <w:rStyle w:val="Fontdeparagrafimplicit"/>
          <w:b/>
        </w:rPr>
        <w:t xml:space="preserve">SENTINŢA </w:t>
      </w:r>
      <w:r w:rsidR="00CE46AC">
        <w:rPr>
          <w:rStyle w:val="Fontdeparagrafimplicit"/>
          <w:b/>
        </w:rPr>
        <w:t>CIVILĂ NR...........</w:t>
      </w:r>
    </w:p>
    <w:p w:rsidR="00C129D0">
      <w:pPr>
        <w:jc w:val="center"/>
        <w:rPr>
          <w:rStyle w:val="Fontdeparagrafimplicit"/>
          <w:b/>
        </w:rPr>
      </w:pPr>
      <w:r>
        <w:rPr>
          <w:rStyle w:val="Fontdeparagrafimplicit"/>
          <w:b/>
        </w:rPr>
        <w:t xml:space="preserve">Şedinţa publică de la </w:t>
      </w:r>
      <w:r w:rsidR="00CE46AC">
        <w:rPr>
          <w:rStyle w:val="Fontdeparagrafimplicit"/>
          <w:b/>
        </w:rPr>
        <w:t>................</w:t>
      </w:r>
    </w:p>
    <w:p w:rsidR="00C129D0">
      <w:pPr>
        <w:jc w:val="center"/>
      </w:pPr>
      <w:r>
        <w:t>Curtea constituită din:</w:t>
      </w:r>
    </w:p>
    <w:p w:rsidR="00C129D0">
      <w:pPr>
        <w:jc w:val="center"/>
      </w:pPr>
      <w:r>
        <w:t xml:space="preserve">Preşedinte: </w:t>
      </w:r>
      <w:r w:rsidR="00CE46AC">
        <w:t>CANDIDAT A0009</w:t>
      </w:r>
    </w:p>
    <w:p w:rsidR="00C129D0">
      <w:pPr>
        <w:jc w:val="center"/>
      </w:pPr>
      <w:r>
        <w:t xml:space="preserve">     Grefier: </w:t>
      </w:r>
      <w:r w:rsidR="00CE46AC">
        <w:t>.................</w:t>
      </w:r>
    </w:p>
    <w:p w:rsidR="00C129D0">
      <w:pPr>
        <w:jc w:val="both"/>
      </w:pPr>
    </w:p>
    <w:p w:rsidR="00C129D0">
      <w:pPr>
        <w:ind w:firstLine="720"/>
        <w:jc w:val="both"/>
        <w:rPr>
          <w:rStyle w:val="Fontdeparagrafimplicit"/>
          <w:i/>
        </w:rPr>
      </w:pPr>
      <w:r>
        <w:t xml:space="preserve">Pe rol se află cererea de chemare în judecată formulată de reclamanta </w:t>
      </w:r>
      <w:r w:rsidR="00CE46AC">
        <w:rPr>
          <w:rStyle w:val="Fontdeparagrafimplicit"/>
          <w:b/>
        </w:rPr>
        <w:t xml:space="preserve">AB </w:t>
      </w:r>
      <w:r>
        <w:t xml:space="preserve">în contradictoriu cu pârâta </w:t>
      </w:r>
      <w:r>
        <w:rPr>
          <w:rStyle w:val="Fontdeparagrafimplicit"/>
          <w:b/>
        </w:rPr>
        <w:t>Inspecţia Judiciară,</w:t>
      </w:r>
      <w:r>
        <w:t xml:space="preserve"> având ca obiect </w:t>
      </w:r>
      <w:r>
        <w:rPr>
          <w:rStyle w:val="Fontdeparagrafimplicit"/>
          <w:i/>
        </w:rPr>
        <w:t>anulare rezoluţie IJ.</w:t>
      </w:r>
    </w:p>
    <w:p w:rsidR="00C129D0">
      <w:pPr>
        <w:ind w:right="23" w:firstLine="709"/>
        <w:jc w:val="both"/>
        <w:rPr>
          <w:rStyle w:val="Fontdeparagrafimplicit"/>
          <w:color w:val="000000"/>
        </w:rPr>
      </w:pPr>
      <w:r>
        <w:rPr>
          <w:rStyle w:val="Fontdeparagrafimplicit"/>
          <w:color w:val="000000"/>
        </w:rPr>
        <w:t>Cauza a rămas în pronunţare în şedinţa publică de la</w:t>
      </w:r>
      <w:r w:rsidR="00CE46AC">
        <w:rPr>
          <w:rStyle w:val="Fontdeparagrafimplicit"/>
          <w:color w:val="000000"/>
        </w:rPr>
        <w:t xml:space="preserve"> ...........</w:t>
      </w:r>
      <w:r>
        <w:rPr>
          <w:rStyle w:val="Fontdeparagrafimplicit"/>
          <w:color w:val="000000"/>
        </w:rPr>
        <w:t xml:space="preserve">, desfăşurarea şedinţei fiind consemnată în încheierea de şedinţă de la acea dată, care face parte integrantă din prezenta hotărâre, dată la care Curtea, din lipsă de timp pentru a delibera, a amânat pronunţarea la data de  </w:t>
      </w:r>
      <w:r w:rsidR="00CE46AC">
        <w:rPr>
          <w:rStyle w:val="Fontdeparagrafimplicit"/>
          <w:color w:val="000000"/>
        </w:rPr>
        <w:t>..........</w:t>
      </w:r>
      <w:r>
        <w:rPr>
          <w:rStyle w:val="Fontdeparagrafimplicit"/>
          <w:color w:val="000000"/>
        </w:rPr>
        <w:t xml:space="preserve">, </w:t>
      </w:r>
      <w:r w:rsidR="00CE46AC">
        <w:rPr>
          <w:rStyle w:val="Fontdeparagrafimplicit"/>
          <w:color w:val="000000"/>
        </w:rPr>
        <w:t>..........</w:t>
      </w:r>
      <w:r>
        <w:rPr>
          <w:rStyle w:val="Fontdeparagrafimplicit"/>
          <w:color w:val="000000"/>
        </w:rPr>
        <w:t xml:space="preserve">, </w:t>
      </w:r>
      <w:r w:rsidR="00CE46AC">
        <w:rPr>
          <w:rStyle w:val="Fontdeparagrafimplicit"/>
          <w:color w:val="000000"/>
        </w:rPr>
        <w:t xml:space="preserve">............. </w:t>
      </w:r>
      <w:r>
        <w:rPr>
          <w:rStyle w:val="Fontdeparagrafimplicit"/>
          <w:color w:val="000000"/>
        </w:rPr>
        <w:t xml:space="preserve">şi </w:t>
      </w:r>
      <w:r w:rsidR="00CE46AC">
        <w:rPr>
          <w:rStyle w:val="Fontdeparagrafimplicit"/>
          <w:color w:val="000000"/>
        </w:rPr>
        <w:t>............</w:t>
      </w:r>
      <w:r>
        <w:rPr>
          <w:rStyle w:val="Fontdeparagrafimplicit"/>
          <w:color w:val="000000"/>
        </w:rPr>
        <w:t xml:space="preserve">, când a pronunţat următoarea hotărâre: </w:t>
      </w:r>
    </w:p>
    <w:p w:rsidR="00C129D0">
      <w:pPr>
        <w:ind w:firstLine="708"/>
        <w:jc w:val="center"/>
        <w:rPr>
          <w:rStyle w:val="Fontdeparagrafimplicit"/>
          <w:b/>
        </w:rPr>
      </w:pPr>
    </w:p>
    <w:p w:rsidR="00C129D0">
      <w:pPr>
        <w:ind w:firstLine="708"/>
        <w:jc w:val="center"/>
        <w:rPr>
          <w:rStyle w:val="Fontdeparagrafimplicit"/>
          <w:b/>
        </w:rPr>
      </w:pPr>
      <w:r>
        <w:rPr>
          <w:rStyle w:val="Fontdeparagrafimplicit"/>
          <w:b/>
        </w:rPr>
        <w:t>CURTEA,</w:t>
      </w:r>
    </w:p>
    <w:p w:rsidR="00C129D0">
      <w:pPr>
        <w:ind w:firstLine="708"/>
        <w:jc w:val="center"/>
        <w:rPr>
          <w:rStyle w:val="Fontdeparagrafimplicit"/>
          <w:b/>
        </w:rPr>
      </w:pPr>
    </w:p>
    <w:p w:rsidR="00C129D0">
      <w:pPr>
        <w:numPr>
          <w:ilvl w:val="0"/>
          <w:numId w:val="1"/>
        </w:numPr>
        <w:spacing w:line="256" w:lineRule="auto"/>
        <w:ind w:left="0" w:firstLine="708"/>
        <w:contextualSpacing/>
        <w:jc w:val="both"/>
        <w:rPr>
          <w:rStyle w:val="Fontdeparagrafimplicit"/>
          <w:b/>
        </w:rPr>
      </w:pPr>
      <w:r>
        <w:rPr>
          <w:rStyle w:val="Fontdeparagrafimplicit"/>
          <w:b/>
        </w:rPr>
        <w:t xml:space="preserve">Cererea de chemare în judecată. </w:t>
      </w:r>
    </w:p>
    <w:p w:rsidR="00C129D0">
      <w:pPr>
        <w:ind w:firstLine="708"/>
        <w:jc w:val="both"/>
        <w:rPr>
          <w:rStyle w:val="Fontdeparagrafimplicit"/>
        </w:rPr>
      </w:pPr>
    </w:p>
    <w:p w:rsidR="00C129D0">
      <w:pPr>
        <w:ind w:firstLine="708"/>
        <w:jc w:val="both"/>
      </w:pPr>
      <w:r>
        <w:t xml:space="preserve">Prin cererea de chemare în judecată înregistrată pe rolul </w:t>
      </w:r>
      <w:r w:rsidR="00CE46AC">
        <w:t>Curții de Apel ...........</w:t>
      </w:r>
      <w:r>
        <w:t xml:space="preserve">la data de 13.09.2021, reclamantul </w:t>
      </w:r>
      <w:r w:rsidR="00CE46AC">
        <w:rPr>
          <w:rStyle w:val="Fontdeparagrafimplicit"/>
          <w:b/>
        </w:rPr>
        <w:t>AB</w:t>
      </w:r>
      <w:r>
        <w:rPr>
          <w:rStyle w:val="Fontdeparagrafimplicit"/>
          <w:b/>
        </w:rPr>
        <w:t>,</w:t>
      </w:r>
      <w:r>
        <w:t xml:space="preserve"> în contradictoriu cu pârâta </w:t>
      </w:r>
      <w:r>
        <w:rPr>
          <w:rStyle w:val="Fontdeparagrafimplicit"/>
          <w:b/>
        </w:rPr>
        <w:t xml:space="preserve">Inspecţia Judiciară, </w:t>
      </w:r>
      <w:r>
        <w:t xml:space="preserve">a formulat contestație împotriva rezoluţiei inspectorului şef nr. </w:t>
      </w:r>
      <w:r w:rsidR="00CE46AC">
        <w:t>...........</w:t>
      </w:r>
      <w:r>
        <w:t xml:space="preserve">din 02.09.2021 şi împotriva rezoluţiei de clasare </w:t>
      </w:r>
      <w:r w:rsidR="00CE46AC">
        <w:t>...........</w:t>
      </w:r>
      <w:r>
        <w:t xml:space="preserve"> din 21.07.2021, solicitând instanţei admiterea contestaţiei, desfiinţarea rezoluţiilor atacate şi să trimiterea dosarului pentru completarea verificărilor.</w:t>
      </w:r>
    </w:p>
    <w:p w:rsidR="00C129D0">
      <w:pPr>
        <w:ind w:firstLine="708"/>
        <w:jc w:val="both"/>
      </w:pPr>
      <w:r>
        <w:t xml:space="preserve">În motivarea contestației, reclamantul a arătat că judecătorul </w:t>
      </w:r>
      <w:r w:rsidR="00CE46AC">
        <w:t xml:space="preserve">BC </w:t>
      </w:r>
      <w:r>
        <w:t xml:space="preserve">a condus, în calitate de preşedinte, şedinţa de judecată din data de 18.05.2021, în care s-a judecat dosarul nr. </w:t>
      </w:r>
      <w:r w:rsidR="00CE46AC">
        <w:t>............</w:t>
      </w:r>
      <w:r>
        <w:t xml:space="preserve">, cauză în care reclamantul a avut calitatea de apelant. </w:t>
      </w:r>
    </w:p>
    <w:p w:rsidR="00C129D0">
      <w:pPr>
        <w:ind w:firstLine="708"/>
        <w:jc w:val="both"/>
      </w:pPr>
      <w:r>
        <w:t>În această calitate, domnul judecător, în cadrul discuţiilor purtate pe marginea competenţei, a nesocotit în mod grav, nescuzabil şi şicanator dispoziţiile obligatorii ale deciziei nr. 18/2016, pronunţată de Înalta Curte de Casaţie şi Justiţie – Completul pentru soluţionarea recursului în interesul legii, prin care s-a stabilit, cu caracter obligatoriu, că obiectul sau natura litigiilor şi nu calitatea de profesionist a uneia dintre părţi este criteriul în raport de care se determină competenţa material-procesuală a tribunalelor/secţiilor specializate.</w:t>
      </w:r>
    </w:p>
    <w:p w:rsidR="00C129D0">
      <w:pPr>
        <w:ind w:firstLine="708"/>
        <w:jc w:val="both"/>
      </w:pPr>
      <w:r>
        <w:t>Interpretarea în sens contrar dată de instanţele de judecată, care au calificat litigiile nu după obiectul sau natura pricinii, ci după calitatea de profesionist a uneia dintre părţi, este fără nicio acoperire în dreptul pozitiv contravenind practic prevederilor art. 122 din C.proc.civ.</w:t>
      </w:r>
    </w:p>
    <w:p w:rsidR="00C129D0">
      <w:pPr>
        <w:ind w:firstLine="708"/>
        <w:jc w:val="both"/>
      </w:pPr>
      <w:r>
        <w:t xml:space="preserve">Indiferent de invocarea sau nu de către părţile litigante a excepţiei necompetenţei funcţionale/materiale a instanţei de apel, preşedintele completului colegial, domnul judecător </w:t>
      </w:r>
      <w:r w:rsidR="00CE46AC">
        <w:t>BC</w:t>
      </w:r>
      <w:r>
        <w:t xml:space="preserve">, trebuia din oficiu să invoce excepţia necompetenţei şi să să-şi decline competenţa în favoarea secţiei I a Tribunalului </w:t>
      </w:r>
      <w:r w:rsidR="00CE46AC">
        <w:t>...........</w:t>
      </w:r>
      <w:r>
        <w:t xml:space="preserve">, fie în timpul procedurii prealabile a regularizării apelului, fie cel mai târziu la primul termen de judecată din apel. </w:t>
      </w:r>
    </w:p>
    <w:p w:rsidR="00C129D0">
      <w:pPr>
        <w:ind w:firstLine="708"/>
        <w:jc w:val="both"/>
      </w:pPr>
    </w:p>
    <w:p w:rsidR="00C129D0">
      <w:pPr>
        <w:ind w:firstLine="708"/>
        <w:jc w:val="both"/>
      </w:pPr>
      <w:r>
        <w:t xml:space="preserve">Domnul judecător </w:t>
      </w:r>
      <w:r w:rsidR="00CE46AC">
        <w:t>BC</w:t>
      </w:r>
      <w:r>
        <w:t xml:space="preserve">, în dosarul vizat de sesizare, a întrerupt concluziile pe fondul apelului şi a iniţiat un dialog neacademic, în care a indus ideea că, în momentul în care critici raţionamentul judecătorului fondului, de fapt, ai ceva cu persoana judecătorului fondului, astfel că acesta ar trebui citat ca şi parte litigantă pentru a i se respecta dreptul la apărare. </w:t>
      </w:r>
    </w:p>
    <w:p w:rsidR="00C129D0">
      <w:pPr>
        <w:ind w:firstLine="708"/>
        <w:jc w:val="both"/>
      </w:pPr>
      <w:r>
        <w:t xml:space="preserve">Concret, domnul </w:t>
      </w:r>
      <w:r w:rsidR="00CE46AC">
        <w:t>BC</w:t>
      </w:r>
      <w:r>
        <w:t xml:space="preserve"> a afirmat următoarele: „Lăsaţi-1 pe domnul judecător că el şi-a făcut treaba, aşa cum şi noi ne facem treaba. Dacă aveţi ceva cu persoanele chemaţi-i pe ei, ei trebuie să se apere.”.</w:t>
      </w:r>
    </w:p>
    <w:p w:rsidR="00C129D0">
      <w:pPr>
        <w:ind w:firstLine="708"/>
        <w:jc w:val="both"/>
      </w:pPr>
      <w:r>
        <w:t>Este evident că, în circumstanţele redate anterior, nu a mai putut beneficia de o judecată.</w:t>
      </w:r>
    </w:p>
    <w:p w:rsidR="00C129D0">
      <w:pPr>
        <w:ind w:firstLine="708"/>
        <w:jc w:val="both"/>
      </w:pPr>
      <w:r>
        <w:t>Faptele magistratului nu pot constitui decât o greşeală neîndoielnică, evidentă, şicanatorie căreia îi lipseşte chiar şi cea mai slabă justificare, îndeplinind elementul constitutiv al exercitării funcţiei cu rea-credinţă sau cu gravă neglijenţă.</w:t>
      </w:r>
    </w:p>
    <w:p w:rsidR="00C129D0">
      <w:pPr>
        <w:ind w:firstLine="708"/>
        <w:jc w:val="both"/>
      </w:pPr>
      <w:r>
        <w:t xml:space="preserve">În ceea ce priveşte abaterea disciplinară constând în atitudini nedemne în timpul exercitării atribuţiilor de serviciu faţă de avocaţi şi justiţiabili, reclamantul a arătat că, în ciuda celor reţinute de inspectorul judiciar, rezultă că în timpul dezbaterilor judiciare modalitatea de adresare şi tonalitatea folosite de magistratul judecător a cărui sancţionare o solicită nu au fost civilizate şi în concordanţă cu prevederile legale, astfel că există indicii temeinice cu privire la încălcarea atribuţiilor profesionale sub aspectul abaterii disciplinare prev. de art. 99 lit. c din Legea nr. 303/2004. </w:t>
      </w:r>
    </w:p>
    <w:p w:rsidR="00C129D0">
      <w:pPr>
        <w:ind w:firstLine="708"/>
        <w:jc w:val="both"/>
      </w:pPr>
      <w:r>
        <w:t xml:space="preserve">Din conţinutul celor exprimate de domnul judecător </w:t>
      </w:r>
      <w:r w:rsidR="00CE46AC">
        <w:t>BC</w:t>
      </w:r>
      <w:r>
        <w:t xml:space="preserve"> în timpul şedinţei de judecată, rezultă existenţa relaţiei de prietenie dintre acesta şi magistratul </w:t>
      </w:r>
      <w:r w:rsidR="00CE46AC">
        <w:t>CD</w:t>
      </w:r>
      <w:r>
        <w:t>, cel care a soluţionat cauza în fond, relaţia având caracter notoriu şi fiind confirmată şi de împrejurarea că cei doi sunt concitadini.</w:t>
      </w:r>
    </w:p>
    <w:p w:rsidR="00C129D0">
      <w:pPr>
        <w:ind w:firstLine="708"/>
        <w:jc w:val="both"/>
      </w:pPr>
      <w:r>
        <w:t xml:space="preserve">Relativ la omisiunea formulării unei cereri de strămutare sau de recuzare a magistratului </w:t>
      </w:r>
      <w:r w:rsidR="00CE46AC">
        <w:t>BC</w:t>
      </w:r>
      <w:r>
        <w:t xml:space="preserve">, fundamentată pe existenţa relaţiei de prietenie cu judecătorul </w:t>
      </w:r>
      <w:r w:rsidR="00CE46AC">
        <w:t>CD</w:t>
      </w:r>
      <w:r>
        <w:t>, aspect reţinut în cuprinsul rezoluţiilor, reclamantul a arătat că o astfel de cerere de recuzare era inadmisibilă şi nu se putea formula, deoarece nu s-a judecat în contradictoriu cu judecătorul de la instanţa inferioară.</w:t>
      </w:r>
    </w:p>
    <w:p w:rsidR="00C129D0">
      <w:pPr>
        <w:ind w:firstLine="708"/>
        <w:jc w:val="both"/>
      </w:pPr>
      <w:r>
        <w:t>Reclamantul a menţionat, în continuare, că a produs suficiente probe din care se degajă faptul că judecătorul a încălcat cu ştiinţă normele de drept material ori procesual, urmărind sau acceptând vătămarea unei persoane.</w:t>
      </w:r>
    </w:p>
    <w:p w:rsidR="00C129D0">
      <w:pPr>
        <w:ind w:firstLine="708"/>
        <w:jc w:val="both"/>
      </w:pPr>
      <w:r>
        <w:t xml:space="preserve">De altfel, faptul că magistratul judecător </w:t>
      </w:r>
      <w:r w:rsidR="00CE46AC">
        <w:t xml:space="preserve">BC </w:t>
      </w:r>
      <w:r>
        <w:t>nu a formulat un punct de vedere în procedura derulată în faţa Inspecţie Judiciare arată, chiar şi tacit, o achiesare la aspectele sesizate.</w:t>
      </w:r>
    </w:p>
    <w:p w:rsidR="00C129D0">
      <w:pPr>
        <w:ind w:firstLine="708"/>
        <w:jc w:val="both"/>
      </w:pPr>
      <w:r>
        <w:t>Contrar celor reţinute de Inspecţia Judiciară, este lipsit de relevanţă faptul că hotărârea pronunţată în apel, în complet colegial din care a făcut parte şi magistratul a cărui sancţionare disciplinară o solicită, a fost recurată şi are termen fixat pentru soluţionarea recursului în data de 11.11.2021.</w:t>
      </w:r>
    </w:p>
    <w:p w:rsidR="00C129D0">
      <w:pPr>
        <w:ind w:firstLine="708"/>
        <w:jc w:val="both"/>
      </w:pPr>
      <w:r>
        <w:t xml:space="preserve">O astfel de concluzie se impune, deoarece este inadmisibil ca Inspecţia Judiciară să analizeze legalitatea şi temeinicia hotărârilor judecătoreşti, în realitate, ea având competenţa de a analiza, strict din punct de vedere disciplina, conduita magistraţilor. </w:t>
      </w:r>
    </w:p>
    <w:p w:rsidR="00C129D0">
      <w:pPr>
        <w:ind w:firstLine="708"/>
        <w:jc w:val="both"/>
      </w:pPr>
      <w:r>
        <w:t>Altfel spus, soluţia care va fi pronunţată în recurs nu are relevanţă în ceea ce priveşte  existenţa elementelor constitutive ale abaterilor disciplinare sesizate.</w:t>
      </w:r>
    </w:p>
    <w:p w:rsidR="00C129D0">
      <w:pPr>
        <w:ind w:firstLine="708"/>
        <w:jc w:val="both"/>
      </w:pPr>
      <w:r>
        <w:t>Relativ la aspectele consemnate în cuprinsul rezoluţiilor, în sensul că nu a produs probe pentru a dovedi reaua – credinţă a magistratului, reclamantul a susţinut că e imposibil să obţină astfel de probe.</w:t>
      </w:r>
    </w:p>
    <w:p w:rsidR="00C129D0">
      <w:pPr>
        <w:ind w:firstLine="708"/>
        <w:jc w:val="both"/>
      </w:pPr>
      <w:r>
        <w:t>În drept, au fost invocate următoarele dispoziții legale:  art. 45</w:t>
      </w:r>
      <w:r>
        <w:rPr>
          <w:rStyle w:val="Fontdeparagrafimplicit"/>
          <w:vertAlign w:val="superscript"/>
        </w:rPr>
        <w:t>1</w:t>
      </w:r>
      <w:r>
        <w:t xml:space="preserve"> alin.3 din Legea nr. 317/2004, art. 97 alin. 1 raportat la art. 99 lit. e şi i din Legea nr. 303/ 2004, art.7 şi urm. din Legea nr. 554/2004 a contenciosului administrativ.</w:t>
      </w:r>
    </w:p>
    <w:p w:rsidR="00C129D0">
      <w:pPr>
        <w:ind w:firstLine="708"/>
        <w:jc w:val="both"/>
      </w:pPr>
      <w:r>
        <w:t xml:space="preserve">În probațiune, s-a solicitat încuviințarea administrării probei cu înscrisuri. </w:t>
      </w:r>
    </w:p>
    <w:p w:rsidR="00C129D0">
      <w:pPr>
        <w:ind w:firstLine="708"/>
        <w:jc w:val="both"/>
      </w:pPr>
    </w:p>
    <w:p w:rsidR="00C129D0">
      <w:pPr>
        <w:numPr>
          <w:ilvl w:val="0"/>
          <w:numId w:val="1"/>
        </w:numPr>
        <w:spacing w:line="256" w:lineRule="auto"/>
        <w:ind w:left="0" w:firstLine="708"/>
        <w:contextualSpacing/>
        <w:jc w:val="both"/>
        <w:rPr>
          <w:rStyle w:val="Fontdeparagrafimplicit"/>
          <w:b/>
        </w:rPr>
      </w:pPr>
      <w:r>
        <w:rPr>
          <w:rStyle w:val="Fontdeparagrafimplicit"/>
          <w:b/>
        </w:rPr>
        <w:t>Poziţia procesuală a părţii adverse.</w:t>
      </w:r>
    </w:p>
    <w:p w:rsidR="00C129D0">
      <w:pPr>
        <w:ind w:firstLine="708"/>
        <w:jc w:val="both"/>
        <w:rPr>
          <w:rStyle w:val="Fontdeparagrafimplicit"/>
        </w:rPr>
      </w:pPr>
    </w:p>
    <w:p w:rsidR="00C129D0">
      <w:pPr>
        <w:ind w:firstLine="708"/>
        <w:jc w:val="both"/>
      </w:pPr>
      <w:r>
        <w:t>Pârâta Inspecția Judiciară de depus întâmpinare (filele 28-31), prin care a solicitat instanţei respingerea acţiunii, ca neîntemeiată.</w:t>
      </w:r>
    </w:p>
    <w:p w:rsidR="00C129D0">
      <w:pPr>
        <w:ind w:firstLine="708"/>
        <w:jc w:val="both"/>
      </w:pPr>
      <w:r>
        <w:t xml:space="preserve">În motivarea poziţiei sale procesuale, a arătat, în esenţă, că cercetarea disciplinară a magistraţilor se poate realiza doar în condiţiile Legii nr. 317/2004 privind Consiliul Superior </w:t>
      </w:r>
      <w:r>
        <w:t>al Magistraturii, care reglementează atât competenţele Inspecţiei Judiciare şi atribuţiile inspectorilor judiciari, cât şi procedura cercetării disciplinare.</w:t>
      </w:r>
    </w:p>
    <w:p w:rsidR="00C129D0">
      <w:pPr>
        <w:ind w:firstLine="708"/>
        <w:jc w:val="both"/>
      </w:pPr>
      <w:r>
        <w:t>Motivele invocate de reclamant nu impun o reanalizare sau o completare a verificărilor prealabile, nefiind expuse unele distincte de cele care au făcut obiectul analizei inspectorului de caz.</w:t>
      </w:r>
    </w:p>
    <w:p w:rsidR="00C129D0">
      <w:pPr>
        <w:ind w:firstLine="708"/>
        <w:jc w:val="both"/>
      </w:pPr>
      <w:r>
        <w:t xml:space="preserve">În cauză a fost efectuată o analiză judicioasă, în urma căreia s-a stabilit corespunzător că o examinare pe cale administrativă a pretinselor neregularităţi referitoare la modalitatea de interpretare şi de aplicare a normelor de drept în instrumentarea cauzei nr. </w:t>
      </w:r>
      <w:r w:rsidR="00CE46AC">
        <w:t>............</w:t>
      </w:r>
      <w:r>
        <w:t xml:space="preserve"> nu este permisă de lege, fiind rezultatul deliberării completului asupra respectivelor chestiuni, astfel că nemulţumirea vizând probatoriul administrat ori competenţa instanţei de judecată nu putea fi analizată de Inspecţia Judiciară în acest cadru procesual.</w:t>
      </w:r>
    </w:p>
    <w:p w:rsidR="00C129D0">
      <w:pPr>
        <w:ind w:firstLine="708"/>
        <w:jc w:val="both"/>
      </w:pPr>
      <w:r>
        <w:t>Pârâta  a arătat că nu îndeplineşte rolul unei „suprainstanţe de control judiciar", care să intervină în activitatea parchetelor sau instanţelor de judecată, în ipoteza în care petiţionarii nu sunt mulţumiţi de modalitatea, diferită de a lor, în care s-au interpretat şi aplicat normele legale materiale sau procedurale.</w:t>
      </w:r>
    </w:p>
    <w:p w:rsidR="00C129D0">
      <w:pPr>
        <w:ind w:firstLine="708"/>
        <w:jc w:val="both"/>
      </w:pPr>
      <w:r>
        <w:t>Analiza inspectorului de caz este una judicioasă şi a vizat fiecare aspect criticat prin sesizarea iniţială, iar nemulţumirea reclamantului nu este suficientă pentru a se impune o completare a verificărilor prealabile, raportat la sesizarea iniţială.</w:t>
      </w:r>
    </w:p>
    <w:p w:rsidR="00C129D0">
      <w:pPr>
        <w:ind w:firstLine="708"/>
        <w:jc w:val="both"/>
      </w:pPr>
      <w:r>
        <w:t>Cele reţinute de inspectorul judiciar sunt în acord inclusiv cu Decizia nr. 588 din 19 iunie 2007, publicată în Monitorul Oficial al României, Partea I, nr. 581 din data de 23 august 2007, a Curţii Constituţionale a României din cuprinsul căreia rezultă, în esenţă, că:„Reglementarea unei abateri disciplinare nu instituie o noua cale de atac împotriva hotărârilor judecătoreşti. Astfel, de esenţa înfăptuirii actului de justiţie este supunerea judecătorului în faţa legii şi, ca un corolar al acestei cerinţe, respectarea normelor de procedură. Consiliul Superior al Magistraturii, în virtutea rolului său constituţional de garant al independenţei justiţiei, îndeplineşte rolul de instanţă de judecată, prin secţiile sale, în domeniul răspunderii disciplinare a judecătorilor şi procurorilor, aşadar şi în situaţia nerespectării, de către aceştia, cu rea-credință sau din gravă neglijenţă, a normelor de procedură. Obiectul judecăţii îl constituie însă, numai abaterile disciplinare, aşadar conduita magistraţilor, aspect ce nu poate fi interpretat ca având semnificaţia unui control administrativ al hotărârilor judecătoreşti pronunţate de aceştia.".</w:t>
      </w:r>
    </w:p>
    <w:p w:rsidR="00C129D0">
      <w:pPr>
        <w:ind w:firstLine="708"/>
        <w:jc w:val="both"/>
      </w:pPr>
      <w:r>
        <w:t>În cauză, nu s-a confirmat manifestarea vreunei „atitudini nedemne în timpul exercitării atribuţiilor de serviciu faţa de colegi, celălalt personal al instanţei sau al parchetului în care funcţionează, inspectori judiciari, avocaţi, experţi, martori, justiţiabili ori reprezentanţii altor instituţii".</w:t>
      </w:r>
    </w:p>
    <w:p w:rsidR="00C129D0">
      <w:pPr>
        <w:ind w:firstLine="708"/>
        <w:jc w:val="both"/>
      </w:pPr>
      <w:r>
        <w:t xml:space="preserve">În acest sens, s-a arătat că faptul că judecătorul reclamat i-a pus în vedere domnului </w:t>
      </w:r>
      <w:r w:rsidR="00CE46AC">
        <w:t xml:space="preserve">AB </w:t>
      </w:r>
      <w:r>
        <w:t>să formuleze concluzii cu privire la nelegalitatea şi netemeinicia soluţiei instanţei de fond şi nu faţă de persoana judecătorului nu poate constitui o abatere de la normele procedurale.</w:t>
      </w:r>
    </w:p>
    <w:p w:rsidR="00C129D0">
      <w:pPr>
        <w:ind w:firstLine="708"/>
        <w:jc w:val="both"/>
      </w:pPr>
      <w:r>
        <w:t>De altfel, nu se putea constata nici nerespectarea unei decizii pronunţate de I.C.CJ în soluţionarea recursurilor în interesul legii, pe de o parte pentru că o astfel de decizie nu fusese invocată în cauză, aspect care reiese din înregistrarea audio confirmată şi de considerentele încheierii de şedinţă, iar, pe de altă parte, pentru că reclamantul nu a invocat o veritabilă excepţie procedurală, ci a purtat o discuţie generică asupra acestui aspect.</w:t>
      </w:r>
    </w:p>
    <w:p w:rsidR="00C129D0">
      <w:pPr>
        <w:ind w:firstLine="708"/>
        <w:jc w:val="both"/>
      </w:pPr>
      <w:r>
        <w:t>Referitor la lipsa de imparţialitate a magistratului reclamat, pârâta a arătat că elementele circumstanţiate acestei abateri judiciare au fost analizate corect de către inspectorul judiciar, concluziile sale fiind temeinice şi legale, prin raportare la elementele constitutive ale abaterii disciplinare prevăzute de art. 99 lit. i) din Legea nr. 303/2004, republicată.</w:t>
      </w:r>
    </w:p>
    <w:p w:rsidR="00C129D0">
      <w:pPr>
        <w:ind w:firstLine="708"/>
        <w:jc w:val="both"/>
      </w:pPr>
      <w:r>
        <w:t>În drept, au fost invocate dispoziţiile art. 205-208 Cod procedură civilă, art. 45-47 din Legea nr. 317/2004 privind Consiliul Superior al Magistraturii, republicată, prevederile Legii nr. 303/2004 privind statutul judecătorilor şi procurorilor, republicată şi modificată, precum şi ale Legii nr. 304/2004 privind organizarea judiciară, republicată şi modificată.</w:t>
      </w:r>
    </w:p>
    <w:p w:rsidR="00C129D0">
      <w:pPr>
        <w:ind w:firstLine="708"/>
        <w:jc w:val="both"/>
      </w:pPr>
      <w:r>
        <w:t>În probațiune, s-a solicitat  încuviințarea administrării probei cu înscrisuri.</w:t>
      </w:r>
    </w:p>
    <w:p w:rsidR="00C129D0">
      <w:pPr>
        <w:ind w:firstLine="708"/>
        <w:jc w:val="both"/>
        <w:rPr>
          <w:rStyle w:val="Fontdeparagrafimplicit"/>
          <w:color w:val="FF0000"/>
        </w:rPr>
      </w:pPr>
    </w:p>
    <w:p w:rsidR="00C129D0">
      <w:pPr>
        <w:numPr>
          <w:ilvl w:val="0"/>
          <w:numId w:val="1"/>
        </w:numPr>
        <w:spacing w:line="256" w:lineRule="auto"/>
        <w:ind w:left="0" w:firstLine="708"/>
        <w:contextualSpacing/>
        <w:jc w:val="both"/>
        <w:rPr>
          <w:rStyle w:val="Fontdeparagrafimplicit"/>
          <w:b/>
        </w:rPr>
      </w:pPr>
      <w:r>
        <w:rPr>
          <w:rStyle w:val="Fontdeparagrafimplicit"/>
          <w:b/>
        </w:rPr>
        <w:t xml:space="preserve">Soluția instanței. </w:t>
      </w:r>
    </w:p>
    <w:p w:rsidR="00C129D0">
      <w:pPr>
        <w:ind w:firstLine="708"/>
        <w:jc w:val="both"/>
        <w:rPr>
          <w:rStyle w:val="Fontdeparagrafimplicit"/>
          <w:b/>
        </w:rPr>
      </w:pPr>
    </w:p>
    <w:p w:rsidR="00C129D0">
      <w:pPr>
        <w:numPr>
          <w:ilvl w:val="1"/>
          <w:numId w:val="1"/>
        </w:numPr>
        <w:spacing w:line="60" w:lineRule="atLeast"/>
        <w:ind w:left="0" w:right="-22" w:firstLine="708"/>
        <w:contextualSpacing/>
        <w:jc w:val="both"/>
        <w:rPr>
          <w:rStyle w:val="Fontdeparagrafimplicit"/>
          <w:b/>
        </w:rPr>
      </w:pPr>
      <w:r>
        <w:rPr>
          <w:rStyle w:val="Fontdeparagrafimplicit"/>
          <w:b/>
        </w:rPr>
        <w:t>Situaţia de fapt.</w:t>
      </w:r>
    </w:p>
    <w:p w:rsidR="00C129D0">
      <w:pPr>
        <w:spacing w:line="60" w:lineRule="atLeast"/>
        <w:ind w:right="-22" w:firstLine="708"/>
        <w:jc w:val="both"/>
        <w:rPr>
          <w:rStyle w:val="Fontdeparagrafimplicit"/>
          <w:b/>
        </w:rPr>
      </w:pPr>
    </w:p>
    <w:p w:rsidR="00C129D0">
      <w:pPr>
        <w:spacing w:line="60" w:lineRule="atLeast"/>
        <w:ind w:right="-22" w:firstLine="708"/>
        <w:jc w:val="both"/>
      </w:pPr>
      <w:r>
        <w:t xml:space="preserve">Prin sesizarea adresată Inspecţiei Judiciare la data de 09.06.2021 (filele 34 şi următoarele), domnul </w:t>
      </w:r>
      <w:r w:rsidR="00CE46AC">
        <w:t xml:space="preserve">AB </w:t>
      </w:r>
      <w:r>
        <w:t xml:space="preserve">a solicitat efectuarea de verificări cu privire la conduita manifestată de domnul judecător </w:t>
      </w:r>
      <w:r w:rsidR="00CE46AC">
        <w:t>BC</w:t>
      </w:r>
      <w:r>
        <w:t xml:space="preserve">, cu ocazia soluţionării apelului în dosarul nr. </w:t>
      </w:r>
      <w:r w:rsidR="00CE46AC">
        <w:t>............</w:t>
      </w:r>
      <w:r>
        <w:t>, susţinând că aceasta întruneşte elementele constitutive ale abaterilor disciplinare prevăzute de art. 99 lit. a, lit. c, lit. j, lit. ş teza a II-a şi lit. t rap. la art. 99</w:t>
      </w:r>
      <w:r>
        <w:rPr>
          <w:rStyle w:val="Fontdeparagrafimplicit"/>
          <w:vertAlign w:val="superscript"/>
        </w:rPr>
        <w:t xml:space="preserve">1 </w:t>
      </w:r>
      <w:r>
        <w:t xml:space="preserve"> din legea nr. 303/2004.</w:t>
      </w:r>
    </w:p>
    <w:p w:rsidR="00C129D0">
      <w:pPr>
        <w:spacing w:line="60" w:lineRule="atLeast"/>
        <w:ind w:right="-22" w:firstLine="708"/>
        <w:jc w:val="both"/>
      </w:pPr>
      <w:r>
        <w:t>Concret, elementele de fapt semnalate au vizat următoarele aspecte:</w:t>
      </w:r>
    </w:p>
    <w:p w:rsidR="00C129D0">
      <w:pPr>
        <w:numPr>
          <w:ilvl w:val="0"/>
          <w:numId w:val="2"/>
        </w:numPr>
        <w:spacing w:line="60" w:lineRule="atLeast"/>
        <w:ind w:left="0" w:right="-22" w:firstLine="708"/>
        <w:contextualSpacing/>
        <w:jc w:val="both"/>
      </w:pPr>
      <w:r>
        <w:t>a folosit o manieră de exprimare nepotrivită: „Domnule avocat dacă doriţi să îmi luaţi locul şi să conduceţi dumneavoastră şedinţa.”; „Lăsaţi-l pe domnul judecător că el şi-a făcut treaba, aşa cum şi noi ne facem treaba. Dacă aveţi ceva cu persoanele, chemaţi-i pe ei, ei trebuie să se apere.”;</w:t>
      </w:r>
    </w:p>
    <w:p w:rsidR="00C129D0">
      <w:pPr>
        <w:numPr>
          <w:ilvl w:val="0"/>
          <w:numId w:val="2"/>
        </w:numPr>
        <w:spacing w:line="60" w:lineRule="atLeast"/>
        <w:ind w:left="0" w:right="-22" w:firstLine="708"/>
        <w:contextualSpacing/>
        <w:jc w:val="both"/>
      </w:pPr>
      <w:r>
        <w:t>a întrerupt concluziile pe fondul apelului;</w:t>
      </w:r>
    </w:p>
    <w:p w:rsidR="00C129D0">
      <w:pPr>
        <w:numPr>
          <w:ilvl w:val="0"/>
          <w:numId w:val="2"/>
        </w:numPr>
        <w:spacing w:line="60" w:lineRule="atLeast"/>
        <w:ind w:left="0" w:right="-22" w:firstLine="708"/>
        <w:contextualSpacing/>
        <w:jc w:val="both"/>
      </w:pPr>
      <w:r>
        <w:t>nu a respectat secretul deliberării;</w:t>
      </w:r>
    </w:p>
    <w:p w:rsidR="00C129D0">
      <w:pPr>
        <w:numPr>
          <w:ilvl w:val="0"/>
          <w:numId w:val="2"/>
        </w:numPr>
        <w:spacing w:line="60" w:lineRule="atLeast"/>
        <w:ind w:left="0" w:right="-22" w:firstLine="708"/>
        <w:contextualSpacing/>
        <w:jc w:val="both"/>
      </w:pPr>
      <w:r>
        <w:t>nu a respectat Decizia R.I.L. nr. 17/17.09.2018.</w:t>
      </w:r>
    </w:p>
    <w:p w:rsidR="00C129D0">
      <w:pPr>
        <w:tabs>
          <w:tab w:val="left" w:pos="2954"/>
        </w:tabs>
        <w:spacing w:line="60" w:lineRule="atLeast"/>
        <w:ind w:right="-22" w:firstLine="708"/>
        <w:jc w:val="both"/>
      </w:pPr>
      <w:r>
        <w:t xml:space="preserve">Prin rezoluţia nr. </w:t>
      </w:r>
      <w:r w:rsidR="00CE46AC">
        <w:t>...........</w:t>
      </w:r>
      <w:r>
        <w:t>/21.07.2021 (filele 118 şi următoarele), s-a dispus clasarea sesizării formulate, inspectorul judiciar reţinând, în esenţă, că aspectele sesizate se încadrează în prevederile art. 99 lit. c), ş) şi t) din Lege nr. 303/2004., însă nu sunt confirmate de probele administrate. Concret, s-a reţinut că</w:t>
      </w:r>
      <w:r>
        <w:rPr>
          <w:rStyle w:val="Fontdeparagrafimplicit"/>
          <w:shd w:val="clear" w:color="auto" w:fill="FFFFFF"/>
        </w:rPr>
        <w:t xml:space="preserve"> modul de desfășurare al ședinței a fost unul normal, că</w:t>
      </w:r>
      <w:r>
        <w:t xml:space="preserve"> o examinare pe cale administrativă a aplicării în cauză a Decizie R.I.L. nr. 17/2018, nu este permisă de lege, fiind rezultatul deliberării completului asupra respectivelor chestiuni, cu atât mai mult cu cât procesul nu este finalizat printr-o hotărâre definitivă, că nu există indicii referitoare la lipsa de imparţialitate, reclamantul având posibilitatea să formuleze o cerere de recuzare sau de strămutare.</w:t>
      </w:r>
    </w:p>
    <w:p w:rsidR="00C129D0">
      <w:pPr>
        <w:spacing w:line="60" w:lineRule="atLeast"/>
        <w:ind w:right="-22" w:firstLine="708"/>
        <w:jc w:val="both"/>
      </w:pPr>
      <w:r>
        <w:t xml:space="preserve">Împotriva rezoluţiei de clasare nr. </w:t>
      </w:r>
      <w:r w:rsidR="00CE46AC">
        <w:t>...........</w:t>
      </w:r>
      <w:r>
        <w:t xml:space="preserve">/21.07.2021, domnul </w:t>
      </w:r>
      <w:r w:rsidR="00474497">
        <w:t>AB</w:t>
      </w:r>
      <w:r>
        <w:t xml:space="preserve"> a formulat plângere (filele 127 şi următoarele) în care a reiterat aspectele sesizate inițial, aceasta fiind respinsă de către inspectorul-şef al Inspecției Judiciare, prin rezoluția din data de 02.09.2021 (filele 131 şi următoarele).</w:t>
      </w:r>
    </w:p>
    <w:p w:rsidR="00C129D0">
      <w:pPr>
        <w:spacing w:line="60" w:lineRule="atLeast"/>
        <w:ind w:right="-22" w:firstLine="708"/>
        <w:jc w:val="both"/>
      </w:pPr>
      <w:r>
        <w:t xml:space="preserve">În motivarea soluţiei, s-a reţinut că, în urma analizei efectuate, s-a constat că rezoluția criticată e temeinic motivată, răspunzându-se tuturor aspectelor invocate în sesizarea formulată de către reclamant, precum și faptul că aceasta cuprinde argumentele de fapt și de drept care au stat la baza măsurii de clasare luate de inspectorul judiciar, aceasta fiind dispusă cu respectarea condițiilor legale speciale în materie, în temeiul dispozițiilor art. 45 alin. 2 din Legea nr 317/2004 privind Consiliul Superior al Magistraturii, republicată, raportat la art. 18 din normele pentru efectuarea lucrărilor de inspecție, aprobate prin ordinul Inspectorului Șef al Inspecției Judiciare nr. 51 din 14.06.2021. </w:t>
      </w:r>
    </w:p>
    <w:p w:rsidR="00C129D0">
      <w:pPr>
        <w:spacing w:line="60" w:lineRule="atLeast"/>
        <w:ind w:right="-22" w:firstLine="708"/>
        <w:jc w:val="both"/>
      </w:pPr>
      <w:r>
        <w:t>Împotriva celor două rezoluţii, reclamantul a promovat prezenta acţiune.</w:t>
      </w:r>
    </w:p>
    <w:p w:rsidR="00C129D0">
      <w:pPr>
        <w:tabs>
          <w:tab w:val="left" w:pos="2954"/>
        </w:tabs>
        <w:spacing w:line="60" w:lineRule="atLeast"/>
        <w:ind w:right="-22"/>
        <w:contextualSpacing/>
        <w:jc w:val="both"/>
        <w:rPr>
          <w:rStyle w:val="Fontdeparagrafimplicit"/>
          <w:color w:val="FF0000"/>
        </w:rPr>
      </w:pPr>
    </w:p>
    <w:p w:rsidR="00C129D0">
      <w:pPr>
        <w:numPr>
          <w:ilvl w:val="0"/>
          <w:numId w:val="3"/>
        </w:numPr>
        <w:spacing w:line="60" w:lineRule="atLeast"/>
        <w:ind w:right="-22"/>
        <w:contextualSpacing/>
        <w:jc w:val="both"/>
        <w:rPr>
          <w:rStyle w:val="Fontdeparagrafimplicit"/>
          <w:b/>
          <w:color w:val="FF0000"/>
        </w:rPr>
      </w:pPr>
      <w:r>
        <w:rPr>
          <w:rStyle w:val="Fontdeparagrafimplicit"/>
          <w:b/>
          <w:color w:val="FF0000"/>
        </w:rPr>
        <w:t>Examinarea argumentelor părţilor.</w:t>
      </w:r>
    </w:p>
    <w:p w:rsidR="00C129D0">
      <w:pPr>
        <w:tabs>
          <w:tab w:val="left" w:pos="2954"/>
        </w:tabs>
        <w:spacing w:line="60" w:lineRule="atLeast"/>
        <w:ind w:right="-22"/>
        <w:jc w:val="both"/>
        <w:rPr>
          <w:rStyle w:val="Fontdeparagrafimplicit"/>
          <w:color w:val="FF0000"/>
        </w:rPr>
      </w:pPr>
    </w:p>
    <w:p w:rsidR="00C129D0">
      <w:pPr>
        <w:spacing w:line="60" w:lineRule="atLeast"/>
        <w:ind w:right="-22"/>
        <w:jc w:val="both"/>
      </w:pPr>
      <w:r>
        <w:rPr>
          <w:rStyle w:val="Fontdeparagrafimplicit"/>
          <w:b/>
          <w:i/>
        </w:rPr>
        <w:tab/>
        <w:t>Cu titlu preliminar</w:t>
      </w:r>
      <w:r>
        <w:t xml:space="preserve">, Curtea arată că, deşi în cuprinsul rezoluţiei nr. </w:t>
      </w:r>
      <w:r w:rsidR="00CE46AC">
        <w:t>...........</w:t>
      </w:r>
      <w:r>
        <w:t>/21.07.2021 (fila 5 din rezoluţie), inspectorul judiciar încadrat în drept a aspectele reclamate, apreciind că examinarea acestora se impune a făcută prin prisma prevederilor art. 99 lit. c), ş) şi t) din Legea nr. 303/2004, a procedat şi la examinarea susţinerilor referitoare la omisiunea magistratului de a se abţine de la soluţionarea cauzei, chiar dacă, în mod formal, nu nu le-a încadrat în drept, motiv pentru care, în cele ce urmează, instanţa se va pronunţa şi cu privire la abaterea de la art. 99 lit.) i din Legea nr. 303/2004 (n</w:t>
      </w:r>
      <w:r>
        <w:rPr>
          <w:rStyle w:val="Fontdeparagrafimplicit"/>
          <w:i/>
        </w:rPr>
        <w:t xml:space="preserve">erespectarea îndatoririi de a se abţine atunci când judecătorul sau procurorul ştie că există una din cauzele prevăzute de lege pentru abţinerea sa). </w:t>
      </w:r>
      <w:r>
        <w:t>De altfel, Curtea observă că şi pârâta a formulat apărări în cuprinsul întâmpinării cu privire la această abatere.</w:t>
      </w:r>
    </w:p>
    <w:p w:rsidR="00C129D0">
      <w:pPr>
        <w:tabs>
          <w:tab w:val="left" w:pos="2954"/>
        </w:tabs>
        <w:spacing w:line="60" w:lineRule="atLeast"/>
        <w:ind w:right="-22" w:firstLine="708"/>
        <w:jc w:val="both"/>
        <w:rPr>
          <w:rStyle w:val="Fontdeparagrafimplicit"/>
        </w:rPr>
      </w:pPr>
      <w:r>
        <w:t>Concret, în ceea ce priveşte abaterea disciplinară de la lit. c) a art. 99, Curtea reţine că, potrivit textului menţionat „C</w:t>
      </w:r>
      <w:r>
        <w:rPr>
          <w:rStyle w:val="Fontdeparagrafimplicit"/>
          <w:i/>
        </w:rPr>
        <w:t xml:space="preserve">onstituie abateri disciplinare:(…) atitudinile nedemne în timpul </w:t>
      </w:r>
      <w:r>
        <w:rPr>
          <w:rStyle w:val="Fontdeparagrafimplicit"/>
          <w:i/>
        </w:rPr>
        <w:t>exercitării atribuţiilor de serviciu faţă de colegi, celălalt personal al instanţei sau al parchetului în care funcţionează, inspectori judiciari, avocaţi, experţi, martori, justiţiabili ori reprezentanţii altor instituţii; (…)”.</w:t>
      </w:r>
    </w:p>
    <w:p w:rsidR="00C129D0">
      <w:pPr>
        <w:spacing w:line="60" w:lineRule="atLeast"/>
        <w:ind w:right="-22" w:firstLine="708"/>
        <w:jc w:val="both"/>
        <w:rPr>
          <w:rStyle w:val="Fontdeparagrafimplicit"/>
          <w:shd w:val="clear" w:color="auto" w:fill="FFFFFF"/>
        </w:rPr>
      </w:pPr>
      <w:r>
        <w:rPr>
          <w:rStyle w:val="Fontdeparagrafimplicit"/>
          <w:shd w:val="clear" w:color="auto" w:fill="FFFFFF"/>
        </w:rPr>
        <w:t>În cuprinsul rezoluţiilor contestate, s-a reţinut că, din ascultarea înregistrării audio, rezultă că modul de desfășurare al ședinței a fost unul normal, modalitatea de adresare şi tonalitatea folosite fiind civilizate şi în concordanţă cu prevederile legale, astfel încât nu există indicii cu privire la încălcarea atribuţiilor profesionale sub aspectul abaterii disciplinare prevăzute de art. 99 lit. c) din Legea nr. 303/2004.</w:t>
      </w:r>
    </w:p>
    <w:p w:rsidR="00C129D0">
      <w:pPr>
        <w:tabs>
          <w:tab w:val="left" w:pos="2954"/>
        </w:tabs>
        <w:spacing w:line="60" w:lineRule="atLeast"/>
        <w:ind w:right="-22" w:firstLine="708"/>
        <w:jc w:val="both"/>
        <w:rPr>
          <w:rStyle w:val="Fontdeparagrafimplicit"/>
          <w:lang w:val="en-US"/>
        </w:rPr>
      </w:pPr>
      <w:r>
        <w:t xml:space="preserve">Curtea, deşi nu poate să nu observe maniera inedită de adresare folosită de domnul judecător </w:t>
      </w:r>
      <w:r w:rsidR="00CE46AC">
        <w:t>BC</w:t>
      </w:r>
      <w:r>
        <w:t xml:space="preserve">, totuşi </w:t>
      </w:r>
      <w:r>
        <w:rPr>
          <w:rStyle w:val="Fontdeparagrafimplicit"/>
          <w:lang w:val="en-US"/>
        </w:rPr>
        <w:t>constată</w:t>
      </w:r>
      <w:r>
        <w:rPr>
          <w:rStyle w:val="Fontdeparagrafimplicit"/>
          <w:lang w:val="en-US"/>
        </w:rPr>
        <w:t xml:space="preserve"> </w:t>
      </w:r>
      <w:r>
        <w:rPr>
          <w:rStyle w:val="Fontdeparagrafimplicit"/>
          <w:lang w:val="en-US"/>
        </w:rPr>
        <w:t>că</w:t>
      </w:r>
      <w:r>
        <w:rPr>
          <w:rStyle w:val="Fontdeparagrafimplicit"/>
          <w:lang w:val="en-US"/>
        </w:rPr>
        <w:t xml:space="preserve"> </w:t>
      </w:r>
      <w:r>
        <w:rPr>
          <w:rStyle w:val="Fontdeparagrafimplicit"/>
          <w:lang w:val="en-US"/>
        </w:rPr>
        <w:t>în</w:t>
      </w:r>
      <w:r>
        <w:rPr>
          <w:rStyle w:val="Fontdeparagrafimplicit"/>
          <w:lang w:val="en-US"/>
        </w:rPr>
        <w:t xml:space="preserve"> mod </w:t>
      </w:r>
      <w:r>
        <w:rPr>
          <w:rStyle w:val="Fontdeparagrafimplicit"/>
          <w:lang w:val="en-US"/>
        </w:rPr>
        <w:t>corect</w:t>
      </w:r>
      <w:r>
        <w:rPr>
          <w:rStyle w:val="Fontdeparagrafimplicit"/>
          <w:lang w:val="en-US"/>
        </w:rPr>
        <w:t xml:space="preserve"> </w:t>
      </w:r>
      <w:r>
        <w:rPr>
          <w:rStyle w:val="Fontdeparagrafimplicit"/>
          <w:lang w:val="en-US"/>
        </w:rPr>
        <w:t>inspectorul</w:t>
      </w:r>
      <w:r>
        <w:rPr>
          <w:rStyle w:val="Fontdeparagrafimplicit"/>
          <w:lang w:val="en-US"/>
        </w:rPr>
        <w:t xml:space="preserve"> </w:t>
      </w:r>
      <w:r>
        <w:rPr>
          <w:rStyle w:val="Fontdeparagrafimplicit"/>
          <w:lang w:val="en-US"/>
        </w:rPr>
        <w:t>judiciar</w:t>
      </w:r>
      <w:r>
        <w:rPr>
          <w:rStyle w:val="Fontdeparagrafimplicit"/>
          <w:lang w:val="en-US"/>
        </w:rPr>
        <w:t xml:space="preserve"> a </w:t>
      </w:r>
      <w:r>
        <w:rPr>
          <w:rStyle w:val="Fontdeparagrafimplicit"/>
          <w:lang w:val="en-US"/>
        </w:rPr>
        <w:t>dispus</w:t>
      </w:r>
      <w:r>
        <w:rPr>
          <w:rStyle w:val="Fontdeparagrafimplicit"/>
          <w:lang w:val="en-US"/>
        </w:rPr>
        <w:t xml:space="preserve"> </w:t>
      </w:r>
      <w:r>
        <w:rPr>
          <w:rStyle w:val="Fontdeparagrafimplicit"/>
          <w:lang w:val="en-US"/>
        </w:rPr>
        <w:t>clasarea</w:t>
      </w:r>
      <w:r>
        <w:rPr>
          <w:rStyle w:val="Fontdeparagrafimplicit"/>
          <w:lang w:val="en-US"/>
        </w:rPr>
        <w:t xml:space="preserve">, </w:t>
      </w:r>
      <w:r>
        <w:rPr>
          <w:rStyle w:val="Fontdeparagrafimplicit"/>
          <w:lang w:val="en-US"/>
        </w:rPr>
        <w:t>reținând</w:t>
      </w:r>
      <w:r>
        <w:rPr>
          <w:rStyle w:val="Fontdeparagrafimplicit"/>
          <w:lang w:val="en-US"/>
        </w:rPr>
        <w:t xml:space="preserve"> </w:t>
      </w:r>
      <w:r>
        <w:rPr>
          <w:rStyle w:val="Fontdeparagrafimplicit"/>
          <w:lang w:val="en-US"/>
        </w:rPr>
        <w:t>că</w:t>
      </w:r>
      <w:r>
        <w:rPr>
          <w:rStyle w:val="Fontdeparagrafimplicit"/>
          <w:lang w:val="en-US"/>
        </w:rPr>
        <w:t xml:space="preserve"> nu </w:t>
      </w:r>
      <w:r>
        <w:rPr>
          <w:rStyle w:val="Fontdeparagrafimplicit"/>
          <w:lang w:val="en-US"/>
        </w:rPr>
        <w:t>sunt</w:t>
      </w:r>
      <w:r>
        <w:rPr>
          <w:rStyle w:val="Fontdeparagrafimplicit"/>
          <w:lang w:val="en-US"/>
        </w:rPr>
        <w:t xml:space="preserve"> </w:t>
      </w:r>
      <w:r>
        <w:rPr>
          <w:rStyle w:val="Fontdeparagrafimplicit"/>
          <w:lang w:val="en-US"/>
        </w:rPr>
        <w:t>indicii</w:t>
      </w:r>
      <w:r>
        <w:rPr>
          <w:rStyle w:val="Fontdeparagrafimplicit"/>
          <w:lang w:val="en-US"/>
        </w:rPr>
        <w:t xml:space="preserve"> </w:t>
      </w:r>
      <w:r>
        <w:rPr>
          <w:rStyle w:val="Fontdeparagrafimplicit"/>
          <w:lang w:val="en-US"/>
        </w:rPr>
        <w:t>privind</w:t>
      </w:r>
      <w:r>
        <w:rPr>
          <w:rStyle w:val="Fontdeparagrafimplicit"/>
          <w:lang w:val="en-US"/>
        </w:rPr>
        <w:t xml:space="preserve"> </w:t>
      </w:r>
      <w:r>
        <w:rPr>
          <w:rStyle w:val="Fontdeparagrafimplicit"/>
          <w:lang w:val="en-US"/>
        </w:rPr>
        <w:t>săvârșirea</w:t>
      </w:r>
      <w:r>
        <w:rPr>
          <w:rStyle w:val="Fontdeparagrafimplicit"/>
          <w:lang w:val="en-US"/>
        </w:rPr>
        <w:t xml:space="preserve"> </w:t>
      </w:r>
      <w:r>
        <w:rPr>
          <w:rStyle w:val="Fontdeparagrafimplicit"/>
          <w:lang w:val="en-US"/>
        </w:rPr>
        <w:t>acesteia</w:t>
      </w:r>
      <w:r>
        <w:rPr>
          <w:rStyle w:val="Fontdeparagrafimplicit"/>
          <w:lang w:val="en-US"/>
        </w:rPr>
        <w:t xml:space="preserve">. </w:t>
      </w:r>
    </w:p>
    <w:p w:rsidR="00C129D0">
      <w:pPr>
        <w:spacing w:line="60" w:lineRule="atLeast"/>
        <w:ind w:right="-22" w:firstLine="708"/>
        <w:jc w:val="both"/>
        <w:rPr>
          <w:rStyle w:val="Fontdeparagrafimplicit"/>
          <w:shd w:val="clear" w:color="auto" w:fill="FFFFFF"/>
        </w:rPr>
      </w:pPr>
      <w:r>
        <w:rPr>
          <w:rStyle w:val="Fontdeparagrafimplicit"/>
          <w:shd w:val="clear" w:color="auto" w:fill="FFFFFF"/>
        </w:rPr>
        <w:t>Pentru a ajunge la această concluzie, Curtea are în vedere faptul că dispoziţiile legale, regulamentare şi deontologice impun judecătorilor un comportament conform statului profesiei de judecător, făcându-se referire la art. </w:t>
      </w:r>
      <w:hyperlink w:tgtFrame="_blank" w:history="1" w:anchor="/dokument/16852243/2016-05-20?unitId=art(90)&amp;cm=DOCUMENT" r:id="rId4">
        <w:r>
          <w:rPr>
            <w:rStyle w:val="Hyperlink"/>
            <w:shd w:val="clear" w:color="auto" w:fill="FFFFFF"/>
          </w:rPr>
          <w:t>90</w:t>
        </w:r>
      </w:hyperlink>
      <w:r>
        <w:rPr>
          <w:rStyle w:val="Fontdeparagrafimplicit"/>
          <w:shd w:val="clear" w:color="auto" w:fill="FFFFFF"/>
        </w:rPr>
        <w:t xml:space="preserve"> alin. 2 din Legea 303/2004, art. 5 lit. d din Regulamentul de organizare interioară a instanţelor judecătoreşti şi la Codul deontologic al judecătorilor şi procurorilor. </w:t>
      </w:r>
    </w:p>
    <w:p w:rsidR="00C129D0">
      <w:pPr>
        <w:spacing w:line="60" w:lineRule="atLeast"/>
        <w:ind w:right="-22" w:firstLine="708"/>
        <w:jc w:val="both"/>
        <w:rPr>
          <w:rStyle w:val="Fontdeparagrafimplicit"/>
          <w:shd w:val="clear" w:color="auto" w:fill="FFFFFF"/>
        </w:rPr>
      </w:pPr>
      <w:r>
        <w:rPr>
          <w:rStyle w:val="Fontdeparagrafimplicit"/>
          <w:shd w:val="clear" w:color="auto" w:fill="FFFFFF"/>
        </w:rPr>
        <w:t>Sub aspectul consecinţelor produse, este necesar ca, prin manifestările nedemne să se fi produs consecinţe de o anumită gravitate, întrucât nu orice manifestare, chiar nepotrivită, îmbracă forma unei abateri disciplinare.</w:t>
      </w:r>
    </w:p>
    <w:p w:rsidR="00C129D0">
      <w:pPr>
        <w:spacing w:line="60" w:lineRule="atLeast"/>
        <w:ind w:right="-22" w:firstLine="708"/>
        <w:jc w:val="both"/>
        <w:rPr>
          <w:rStyle w:val="Fontdeparagrafimplicit"/>
          <w:shd w:val="clear" w:color="auto" w:fill="FFFFFF"/>
        </w:rPr>
      </w:pPr>
      <w:r>
        <w:rPr>
          <w:rStyle w:val="Fontdeparagrafimplicit"/>
          <w:shd w:val="clear" w:color="auto" w:fill="FFFFFF"/>
        </w:rPr>
        <w:t>Având în vedere că legiuitorul nu a definit noţiunea de „atitudine nedemnă",  sfera manifestărilor care pot fi caracterizate astfel trebuie analizate de la caz la caz. În principiu, poate fi subsumată abaterii disciplinare menţionate orice manifestare a unui comportament inadecvat, contrară standardelor de conduită impuse magistraţilor, cu condiţia ca aceasta să fie de o anumită gravitate.</w:t>
      </w:r>
    </w:p>
    <w:p w:rsidR="00C129D0">
      <w:pPr>
        <w:tabs>
          <w:tab w:val="left" w:pos="2954"/>
        </w:tabs>
        <w:spacing w:line="60" w:lineRule="atLeast"/>
        <w:ind w:right="-22" w:firstLine="708"/>
        <w:jc w:val="both"/>
        <w:rPr>
          <w:rStyle w:val="Fontdeparagrafimplicit"/>
          <w:lang w:val="en-US"/>
        </w:rPr>
      </w:pPr>
      <w:r>
        <w:rPr>
          <w:rStyle w:val="Fontdeparagrafimplicit"/>
          <w:lang w:val="en-US"/>
        </w:rPr>
        <w:t>În</w:t>
      </w:r>
      <w:r>
        <w:rPr>
          <w:rStyle w:val="Fontdeparagrafimplicit"/>
          <w:lang w:val="en-US"/>
        </w:rPr>
        <w:t xml:space="preserve"> </w:t>
      </w:r>
      <w:r>
        <w:rPr>
          <w:rStyle w:val="Fontdeparagrafimplicit"/>
          <w:lang w:val="en-US"/>
        </w:rPr>
        <w:t>contextul</w:t>
      </w:r>
      <w:r>
        <w:rPr>
          <w:rStyle w:val="Fontdeparagrafimplicit"/>
          <w:lang w:val="en-US"/>
        </w:rPr>
        <w:t xml:space="preserve"> </w:t>
      </w:r>
      <w:r>
        <w:rPr>
          <w:rStyle w:val="Fontdeparagrafimplicit"/>
          <w:lang w:val="en-US"/>
        </w:rPr>
        <w:t>celor</w:t>
      </w:r>
      <w:r>
        <w:rPr>
          <w:rStyle w:val="Fontdeparagrafimplicit"/>
          <w:lang w:val="en-US"/>
        </w:rPr>
        <w:t xml:space="preserve"> </w:t>
      </w:r>
      <w:r>
        <w:rPr>
          <w:rStyle w:val="Fontdeparagrafimplicit"/>
          <w:lang w:val="en-US"/>
        </w:rPr>
        <w:t>dezvoltate</w:t>
      </w:r>
      <w:r>
        <w:rPr>
          <w:rStyle w:val="Fontdeparagrafimplicit"/>
          <w:lang w:val="en-US"/>
        </w:rPr>
        <w:t xml:space="preserve"> </w:t>
      </w:r>
      <w:r>
        <w:rPr>
          <w:rStyle w:val="Fontdeparagrafimplicit"/>
          <w:lang w:val="en-US"/>
        </w:rPr>
        <w:t>în</w:t>
      </w:r>
      <w:r>
        <w:rPr>
          <w:rStyle w:val="Fontdeparagrafimplicit"/>
          <w:lang w:val="en-US"/>
        </w:rPr>
        <w:t xml:space="preserve"> precedent, </w:t>
      </w:r>
      <w:r>
        <w:rPr>
          <w:rStyle w:val="Fontdeparagrafimplicit"/>
          <w:lang w:val="en-US"/>
        </w:rPr>
        <w:t>Curtea</w:t>
      </w:r>
      <w:r>
        <w:rPr>
          <w:rStyle w:val="Fontdeparagrafimplicit"/>
          <w:lang w:val="en-US"/>
        </w:rPr>
        <w:t xml:space="preserve"> </w:t>
      </w:r>
      <w:r>
        <w:rPr>
          <w:rStyle w:val="Fontdeparagrafimplicit"/>
          <w:lang w:val="en-US"/>
        </w:rPr>
        <w:t>arată</w:t>
      </w:r>
      <w:r>
        <w:rPr>
          <w:rStyle w:val="Fontdeparagrafimplicit"/>
          <w:lang w:val="en-US"/>
        </w:rPr>
        <w:t xml:space="preserve"> </w:t>
      </w:r>
      <w:r>
        <w:rPr>
          <w:rStyle w:val="Fontdeparagrafimplicit"/>
          <w:lang w:val="en-US"/>
        </w:rPr>
        <w:t>că</w:t>
      </w:r>
      <w:r>
        <w:rPr>
          <w:rStyle w:val="Fontdeparagrafimplicit"/>
          <w:lang w:val="en-US"/>
        </w:rPr>
        <w:t xml:space="preserve"> </w:t>
      </w:r>
      <w:r>
        <w:rPr>
          <w:rStyle w:val="Fontdeparagrafimplicit"/>
          <w:lang w:val="en-US"/>
        </w:rPr>
        <w:t>întrebările</w:t>
      </w:r>
      <w:r>
        <w:rPr>
          <w:rStyle w:val="Fontdeparagrafimplicit"/>
          <w:lang w:val="en-US"/>
        </w:rPr>
        <w:t xml:space="preserve"> </w:t>
      </w:r>
      <w:r>
        <w:rPr>
          <w:rStyle w:val="Fontdeparagrafimplicit"/>
          <w:lang w:val="en-US"/>
        </w:rPr>
        <w:t>şi</w:t>
      </w:r>
      <w:r>
        <w:rPr>
          <w:rStyle w:val="Fontdeparagrafimplicit"/>
          <w:lang w:val="en-US"/>
        </w:rPr>
        <w:t xml:space="preserve"> </w:t>
      </w:r>
      <w:r>
        <w:rPr>
          <w:rStyle w:val="Fontdeparagrafimplicit"/>
          <w:lang w:val="en-US"/>
        </w:rPr>
        <w:t>observaţiile</w:t>
      </w:r>
      <w:r>
        <w:rPr>
          <w:rStyle w:val="Fontdeparagrafimplicit"/>
          <w:lang w:val="en-US"/>
        </w:rPr>
        <w:t xml:space="preserve"> </w:t>
      </w:r>
      <w:r>
        <w:rPr>
          <w:rStyle w:val="Fontdeparagrafimplicit"/>
          <w:lang w:val="en-US"/>
        </w:rPr>
        <w:t>magistratului</w:t>
      </w:r>
      <w:r>
        <w:rPr>
          <w:rStyle w:val="Fontdeparagrafimplicit"/>
          <w:lang w:val="en-US"/>
        </w:rPr>
        <w:t xml:space="preserve">, </w:t>
      </w:r>
      <w:r>
        <w:rPr>
          <w:rStyle w:val="Fontdeparagrafimplicit"/>
          <w:lang w:val="en-US"/>
        </w:rPr>
        <w:t>deşi</w:t>
      </w:r>
      <w:r>
        <w:rPr>
          <w:rStyle w:val="Fontdeparagrafimplicit"/>
          <w:lang w:val="en-US"/>
        </w:rPr>
        <w:t xml:space="preserve"> au </w:t>
      </w:r>
      <w:r>
        <w:rPr>
          <w:rStyle w:val="Fontdeparagrafimplicit"/>
          <w:lang w:val="en-US"/>
        </w:rPr>
        <w:t>îmbrăcat</w:t>
      </w:r>
      <w:r>
        <w:rPr>
          <w:rStyle w:val="Fontdeparagrafimplicit"/>
          <w:lang w:val="en-US"/>
        </w:rPr>
        <w:t xml:space="preserve"> o </w:t>
      </w:r>
      <w:r>
        <w:rPr>
          <w:rStyle w:val="Fontdeparagrafimplicit"/>
          <w:lang w:val="en-US"/>
        </w:rPr>
        <w:t>formă</w:t>
      </w:r>
      <w:r>
        <w:rPr>
          <w:rStyle w:val="Fontdeparagrafimplicit"/>
          <w:lang w:val="en-US"/>
        </w:rPr>
        <w:t xml:space="preserve"> </w:t>
      </w:r>
      <w:r>
        <w:rPr>
          <w:rStyle w:val="Fontdeparagrafimplicit"/>
          <w:lang w:val="en-US"/>
        </w:rPr>
        <w:t>colocvială</w:t>
      </w:r>
      <w:r>
        <w:rPr>
          <w:rStyle w:val="Fontdeparagrafimplicit"/>
          <w:lang w:val="en-US"/>
        </w:rPr>
        <w:t xml:space="preserve">, </w:t>
      </w:r>
      <w:r>
        <w:rPr>
          <w:rStyle w:val="Fontdeparagrafimplicit"/>
          <w:lang w:val="en-US"/>
        </w:rPr>
        <w:t>totuşi</w:t>
      </w:r>
      <w:r>
        <w:rPr>
          <w:rStyle w:val="Fontdeparagrafimplicit"/>
          <w:lang w:val="en-US"/>
        </w:rPr>
        <w:t xml:space="preserve">, nu au  </w:t>
      </w:r>
      <w:r>
        <w:rPr>
          <w:rStyle w:val="Fontdeparagrafimplicit"/>
          <w:lang w:val="en-US"/>
        </w:rPr>
        <w:t>depăşit</w:t>
      </w:r>
      <w:r>
        <w:rPr>
          <w:rStyle w:val="Fontdeparagrafimplicit"/>
          <w:lang w:val="en-US"/>
        </w:rPr>
        <w:t xml:space="preserve"> </w:t>
      </w:r>
      <w:r>
        <w:rPr>
          <w:rStyle w:val="Fontdeparagrafimplicit"/>
          <w:lang w:val="en-US"/>
        </w:rPr>
        <w:t>limitele</w:t>
      </w:r>
      <w:r>
        <w:rPr>
          <w:rStyle w:val="Fontdeparagrafimplicit"/>
          <w:lang w:val="en-US"/>
        </w:rPr>
        <w:t xml:space="preserve"> </w:t>
      </w:r>
      <w:r>
        <w:rPr>
          <w:rStyle w:val="Fontdeparagrafimplicit"/>
          <w:lang w:val="en-US"/>
        </w:rPr>
        <w:t>unui</w:t>
      </w:r>
      <w:r>
        <w:rPr>
          <w:rStyle w:val="Fontdeparagrafimplicit"/>
          <w:lang w:val="en-US"/>
        </w:rPr>
        <w:t xml:space="preserve"> dialog </w:t>
      </w:r>
      <w:r>
        <w:rPr>
          <w:rStyle w:val="Fontdeparagrafimplicit"/>
          <w:lang w:val="en-US"/>
        </w:rPr>
        <w:t>profesional</w:t>
      </w:r>
      <w:r>
        <w:rPr>
          <w:rStyle w:val="Fontdeparagrafimplicit"/>
          <w:lang w:val="en-US"/>
        </w:rPr>
        <w:t xml:space="preserve">, </w:t>
      </w:r>
      <w:r>
        <w:rPr>
          <w:rStyle w:val="Fontdeparagrafimplicit"/>
          <w:lang w:val="en-US"/>
        </w:rPr>
        <w:t>având</w:t>
      </w:r>
      <w:r>
        <w:rPr>
          <w:rStyle w:val="Fontdeparagrafimplicit"/>
          <w:lang w:val="en-US"/>
        </w:rPr>
        <w:t xml:space="preserve"> </w:t>
      </w:r>
      <w:r>
        <w:rPr>
          <w:rStyle w:val="Fontdeparagrafimplicit"/>
          <w:lang w:val="en-US"/>
        </w:rPr>
        <w:t>drept</w:t>
      </w:r>
      <w:r>
        <w:rPr>
          <w:rStyle w:val="Fontdeparagrafimplicit"/>
          <w:lang w:val="en-US"/>
        </w:rPr>
        <w:t xml:space="preserve"> </w:t>
      </w:r>
      <w:r>
        <w:rPr>
          <w:rStyle w:val="Fontdeparagrafimplicit"/>
          <w:lang w:val="en-US"/>
        </w:rPr>
        <w:t>scop</w:t>
      </w:r>
      <w:r>
        <w:rPr>
          <w:rStyle w:val="Fontdeparagrafimplicit"/>
          <w:lang w:val="en-US"/>
        </w:rPr>
        <w:t xml:space="preserve"> </w:t>
      </w:r>
      <w:r>
        <w:rPr>
          <w:rStyle w:val="Fontdeparagrafimplicit"/>
          <w:lang w:val="en-US"/>
        </w:rPr>
        <w:t>lămurirea</w:t>
      </w:r>
      <w:r>
        <w:rPr>
          <w:rStyle w:val="Fontdeparagrafimplicit"/>
          <w:lang w:val="en-US"/>
        </w:rPr>
        <w:t xml:space="preserve"> </w:t>
      </w:r>
      <w:r>
        <w:rPr>
          <w:rStyle w:val="Fontdeparagrafimplicit"/>
          <w:lang w:val="en-US"/>
        </w:rPr>
        <w:t>aspectelor</w:t>
      </w:r>
      <w:r>
        <w:rPr>
          <w:rStyle w:val="Fontdeparagrafimplicit"/>
          <w:lang w:val="en-US"/>
        </w:rPr>
        <w:t xml:space="preserve"> </w:t>
      </w:r>
      <w:r>
        <w:rPr>
          <w:rStyle w:val="Fontdeparagrafimplicit"/>
          <w:lang w:val="en-US"/>
        </w:rPr>
        <w:t>supuse</w:t>
      </w:r>
      <w:r>
        <w:rPr>
          <w:rStyle w:val="Fontdeparagrafimplicit"/>
          <w:lang w:val="en-US"/>
        </w:rPr>
        <w:t xml:space="preserve"> </w:t>
      </w:r>
      <w:r>
        <w:rPr>
          <w:rStyle w:val="Fontdeparagrafimplicit"/>
          <w:lang w:val="en-US"/>
        </w:rPr>
        <w:t>criticii</w:t>
      </w:r>
      <w:r>
        <w:rPr>
          <w:rStyle w:val="Fontdeparagrafimplicit"/>
          <w:lang w:val="en-US"/>
        </w:rPr>
        <w:t xml:space="preserve"> </w:t>
      </w:r>
      <w:r>
        <w:rPr>
          <w:rStyle w:val="Fontdeparagrafimplicit"/>
          <w:lang w:val="en-US"/>
        </w:rPr>
        <w:t>în</w:t>
      </w:r>
      <w:r>
        <w:rPr>
          <w:rStyle w:val="Fontdeparagrafimplicit"/>
          <w:lang w:val="en-US"/>
        </w:rPr>
        <w:t xml:space="preserve"> </w:t>
      </w:r>
      <w:r>
        <w:rPr>
          <w:rStyle w:val="Fontdeparagrafimplicit"/>
          <w:lang w:val="en-US"/>
        </w:rPr>
        <w:t>calea</w:t>
      </w:r>
      <w:r>
        <w:rPr>
          <w:rStyle w:val="Fontdeparagrafimplicit"/>
          <w:lang w:val="en-US"/>
        </w:rPr>
        <w:t xml:space="preserve"> de </w:t>
      </w:r>
      <w:r>
        <w:rPr>
          <w:rStyle w:val="Fontdeparagrafimplicit"/>
          <w:lang w:val="en-US"/>
        </w:rPr>
        <w:t>atac</w:t>
      </w:r>
      <w:r>
        <w:rPr>
          <w:rStyle w:val="Fontdeparagrafimplicit"/>
          <w:lang w:val="en-US"/>
        </w:rPr>
        <w:t xml:space="preserve"> a </w:t>
      </w:r>
      <w:r>
        <w:rPr>
          <w:rStyle w:val="Fontdeparagrafimplicit"/>
          <w:lang w:val="en-US"/>
        </w:rPr>
        <w:t>apelului</w:t>
      </w:r>
      <w:r>
        <w:rPr>
          <w:rStyle w:val="Fontdeparagrafimplicit"/>
          <w:lang w:val="en-US"/>
        </w:rPr>
        <w:t xml:space="preserve">, </w:t>
      </w:r>
      <w:r>
        <w:rPr>
          <w:rStyle w:val="Fontdeparagrafimplicit"/>
          <w:lang w:val="en-US"/>
        </w:rPr>
        <w:t>respectiv</w:t>
      </w:r>
      <w:r>
        <w:rPr>
          <w:rStyle w:val="Fontdeparagrafimplicit"/>
          <w:lang w:val="en-US"/>
        </w:rPr>
        <w:t xml:space="preserve"> </w:t>
      </w:r>
      <w:r>
        <w:rPr>
          <w:rStyle w:val="Fontdeparagrafimplicit"/>
          <w:lang w:val="en-US"/>
        </w:rPr>
        <w:t>faptul</w:t>
      </w:r>
      <w:r>
        <w:rPr>
          <w:rStyle w:val="Fontdeparagrafimplicit"/>
          <w:lang w:val="en-US"/>
        </w:rPr>
        <w:t xml:space="preserve"> </w:t>
      </w:r>
      <w:r>
        <w:rPr>
          <w:rStyle w:val="Fontdeparagrafimplicit"/>
          <w:lang w:val="en-US"/>
        </w:rPr>
        <w:t>că</w:t>
      </w:r>
      <w:r>
        <w:rPr>
          <w:rStyle w:val="Fontdeparagrafimplicit"/>
          <w:lang w:val="en-US"/>
        </w:rPr>
        <w:t xml:space="preserve"> </w:t>
      </w:r>
      <w:r>
        <w:rPr>
          <w:rStyle w:val="Fontdeparagrafimplicit"/>
          <w:lang w:val="en-US"/>
        </w:rPr>
        <w:t>acestea</w:t>
      </w:r>
      <w:r>
        <w:rPr>
          <w:rStyle w:val="Fontdeparagrafimplicit"/>
          <w:lang w:val="en-US"/>
        </w:rPr>
        <w:t xml:space="preserve"> </w:t>
      </w:r>
      <w:r>
        <w:rPr>
          <w:rStyle w:val="Fontdeparagrafimplicit"/>
          <w:lang w:val="en-US"/>
        </w:rPr>
        <w:t>trebuie</w:t>
      </w:r>
      <w:r>
        <w:rPr>
          <w:rStyle w:val="Fontdeparagrafimplicit"/>
          <w:lang w:val="en-US"/>
        </w:rPr>
        <w:t xml:space="preserve"> </w:t>
      </w:r>
      <w:r>
        <w:rPr>
          <w:rStyle w:val="Fontdeparagrafimplicit"/>
          <w:lang w:val="en-US"/>
        </w:rPr>
        <w:t>să</w:t>
      </w:r>
      <w:r>
        <w:rPr>
          <w:rStyle w:val="Fontdeparagrafimplicit"/>
          <w:lang w:val="en-US"/>
        </w:rPr>
        <w:t xml:space="preserve"> </w:t>
      </w:r>
      <w:r>
        <w:rPr>
          <w:rStyle w:val="Fontdeparagrafimplicit"/>
          <w:lang w:val="en-US"/>
        </w:rPr>
        <w:t>vizeze</w:t>
      </w:r>
      <w:r>
        <w:rPr>
          <w:rStyle w:val="Fontdeparagrafimplicit"/>
          <w:lang w:val="en-US"/>
        </w:rPr>
        <w:t xml:space="preserve"> </w:t>
      </w:r>
      <w:r>
        <w:rPr>
          <w:rStyle w:val="Fontdeparagrafimplicit"/>
          <w:lang w:val="en-US"/>
        </w:rPr>
        <w:t>doar</w:t>
      </w:r>
      <w:r>
        <w:rPr>
          <w:rStyle w:val="Fontdeparagrafimplicit"/>
          <w:lang w:val="en-US"/>
        </w:rPr>
        <w:t xml:space="preserve"> </w:t>
      </w:r>
      <w:r>
        <w:rPr>
          <w:rStyle w:val="Fontdeparagrafimplicit"/>
          <w:lang w:val="en-US"/>
        </w:rPr>
        <w:t>raţionamentul</w:t>
      </w:r>
      <w:r>
        <w:rPr>
          <w:rStyle w:val="Fontdeparagrafimplicit"/>
          <w:lang w:val="en-US"/>
        </w:rPr>
        <w:t xml:space="preserve"> </w:t>
      </w:r>
      <w:r>
        <w:rPr>
          <w:rStyle w:val="Fontdeparagrafimplicit"/>
          <w:lang w:val="en-US"/>
        </w:rPr>
        <w:t>încorporat</w:t>
      </w:r>
      <w:r>
        <w:rPr>
          <w:rStyle w:val="Fontdeparagrafimplicit"/>
          <w:lang w:val="en-US"/>
        </w:rPr>
        <w:t xml:space="preserve"> </w:t>
      </w:r>
      <w:r>
        <w:rPr>
          <w:rStyle w:val="Fontdeparagrafimplicit"/>
          <w:lang w:val="en-US"/>
        </w:rPr>
        <w:t>în</w:t>
      </w:r>
      <w:r>
        <w:rPr>
          <w:rStyle w:val="Fontdeparagrafimplicit"/>
          <w:lang w:val="en-US"/>
        </w:rPr>
        <w:t xml:space="preserve"> </w:t>
      </w:r>
      <w:r>
        <w:rPr>
          <w:rStyle w:val="Fontdeparagrafimplicit"/>
          <w:lang w:val="en-US"/>
        </w:rPr>
        <w:t>sentinţă</w:t>
      </w:r>
      <w:r>
        <w:rPr>
          <w:rStyle w:val="Fontdeparagrafimplicit"/>
          <w:lang w:val="en-US"/>
        </w:rPr>
        <w:t xml:space="preserve">, </w:t>
      </w:r>
      <w:r>
        <w:rPr>
          <w:rStyle w:val="Fontdeparagrafimplicit"/>
          <w:lang w:val="en-US"/>
        </w:rPr>
        <w:t>dând</w:t>
      </w:r>
      <w:r>
        <w:rPr>
          <w:rStyle w:val="Fontdeparagrafimplicit"/>
          <w:lang w:val="en-US"/>
        </w:rPr>
        <w:t xml:space="preserve"> </w:t>
      </w:r>
      <w:r>
        <w:rPr>
          <w:rStyle w:val="Fontdeparagrafimplicit"/>
          <w:lang w:val="en-US"/>
        </w:rPr>
        <w:t>eficienţă</w:t>
      </w:r>
      <w:r>
        <w:rPr>
          <w:rStyle w:val="Fontdeparagrafimplicit"/>
          <w:lang w:val="en-US"/>
        </w:rPr>
        <w:t xml:space="preserve">, </w:t>
      </w:r>
      <w:r>
        <w:rPr>
          <w:rStyle w:val="Fontdeparagrafimplicit"/>
          <w:lang w:val="en-US"/>
        </w:rPr>
        <w:t>astfel</w:t>
      </w:r>
      <w:r>
        <w:rPr>
          <w:rStyle w:val="Fontdeparagrafimplicit"/>
          <w:lang w:val="en-US"/>
        </w:rPr>
        <w:t xml:space="preserve">, </w:t>
      </w:r>
      <w:r>
        <w:rPr>
          <w:rStyle w:val="Fontdeparagrafimplicit"/>
          <w:lang w:val="en-US"/>
        </w:rPr>
        <w:t>prevederilor</w:t>
      </w:r>
      <w:r>
        <w:rPr>
          <w:rStyle w:val="Fontdeparagrafimplicit"/>
          <w:lang w:val="en-US"/>
        </w:rPr>
        <w:t xml:space="preserve"> art. </w:t>
      </w:r>
      <w:r>
        <w:rPr>
          <w:rStyle w:val="Fontdeparagrafimplicit"/>
          <w:lang w:val="en-US"/>
        </w:rPr>
        <w:t xml:space="preserve">22 </w:t>
      </w:r>
      <w:r>
        <w:rPr>
          <w:rStyle w:val="Fontdeparagrafimplicit"/>
          <w:lang w:val="en-US"/>
        </w:rPr>
        <w:t>alin</w:t>
      </w:r>
      <w:r>
        <w:rPr>
          <w:rStyle w:val="Fontdeparagrafimplicit"/>
          <w:lang w:val="en-US"/>
        </w:rPr>
        <w:t>.</w:t>
      </w:r>
      <w:r>
        <w:rPr>
          <w:rStyle w:val="Fontdeparagrafimplicit"/>
          <w:lang w:val="en-US"/>
        </w:rPr>
        <w:t xml:space="preserve"> </w:t>
      </w:r>
      <w:r>
        <w:rPr>
          <w:rStyle w:val="Fontdeparagrafimplicit"/>
          <w:lang w:val="en-US"/>
        </w:rPr>
        <w:t xml:space="preserve">2 </w:t>
      </w:r>
      <w:r>
        <w:rPr>
          <w:rStyle w:val="Fontdeparagrafimplicit"/>
          <w:lang w:val="en-US"/>
        </w:rPr>
        <w:t>C.pr.civ</w:t>
      </w:r>
      <w:r>
        <w:rPr>
          <w:rStyle w:val="Fontdeparagrafimplicit"/>
          <w:lang w:val="en-US"/>
        </w:rPr>
        <w:t>.</w:t>
      </w:r>
    </w:p>
    <w:p w:rsidR="00C129D0">
      <w:pPr>
        <w:tabs>
          <w:tab w:val="left" w:pos="2954"/>
        </w:tabs>
        <w:spacing w:line="60" w:lineRule="atLeast"/>
        <w:ind w:right="-22" w:firstLine="708"/>
        <w:jc w:val="both"/>
        <w:rPr>
          <w:rStyle w:val="Fontdeparagrafimplicit"/>
          <w:lang w:val="en-US"/>
        </w:rPr>
      </w:pPr>
      <w:r>
        <w:rPr>
          <w:rStyle w:val="Fontdeparagrafimplicit"/>
          <w:lang w:val="en-US"/>
        </w:rPr>
        <w:t>Relativ</w:t>
      </w:r>
      <w:r>
        <w:rPr>
          <w:rStyle w:val="Fontdeparagrafimplicit"/>
          <w:lang w:val="en-US"/>
        </w:rPr>
        <w:t xml:space="preserve"> la </w:t>
      </w:r>
      <w:r>
        <w:rPr>
          <w:rStyle w:val="Fontdeparagrafimplicit"/>
          <w:lang w:val="en-US"/>
        </w:rPr>
        <w:t>cea</w:t>
      </w:r>
      <w:r>
        <w:rPr>
          <w:rStyle w:val="Fontdeparagrafimplicit"/>
          <w:lang w:val="en-US"/>
        </w:rPr>
        <w:t xml:space="preserve"> de –a </w:t>
      </w:r>
      <w:r>
        <w:rPr>
          <w:rStyle w:val="Fontdeparagrafimplicit"/>
          <w:lang w:val="en-US"/>
        </w:rPr>
        <w:t>două</w:t>
      </w:r>
      <w:r>
        <w:rPr>
          <w:rStyle w:val="Fontdeparagrafimplicit"/>
          <w:lang w:val="en-US"/>
        </w:rPr>
        <w:t xml:space="preserve"> </w:t>
      </w:r>
      <w:r>
        <w:rPr>
          <w:rStyle w:val="Fontdeparagrafimplicit"/>
          <w:lang w:val="en-US"/>
        </w:rPr>
        <w:t>faptă</w:t>
      </w:r>
      <w:r>
        <w:rPr>
          <w:rStyle w:val="Fontdeparagrafimplicit"/>
          <w:lang w:val="en-US"/>
        </w:rPr>
        <w:t xml:space="preserve"> </w:t>
      </w:r>
      <w:r>
        <w:rPr>
          <w:rStyle w:val="Fontdeparagrafimplicit"/>
          <w:lang w:val="en-US"/>
        </w:rPr>
        <w:t>subsumată</w:t>
      </w:r>
      <w:r>
        <w:rPr>
          <w:rStyle w:val="Fontdeparagrafimplicit"/>
          <w:lang w:val="en-US"/>
        </w:rPr>
        <w:t xml:space="preserve"> de </w:t>
      </w:r>
      <w:r>
        <w:rPr>
          <w:rStyle w:val="Fontdeparagrafimplicit"/>
          <w:lang w:val="en-US"/>
        </w:rPr>
        <w:t>reclamant</w:t>
      </w:r>
      <w:r>
        <w:rPr>
          <w:rStyle w:val="Fontdeparagrafimplicit"/>
          <w:lang w:val="en-US"/>
        </w:rPr>
        <w:t xml:space="preserve"> </w:t>
      </w:r>
      <w:r>
        <w:rPr>
          <w:rStyle w:val="Fontdeparagrafimplicit"/>
          <w:lang w:val="en-US"/>
        </w:rPr>
        <w:t>acestei</w:t>
      </w:r>
      <w:r>
        <w:rPr>
          <w:rStyle w:val="Fontdeparagrafimplicit"/>
          <w:lang w:val="en-US"/>
        </w:rPr>
        <w:t xml:space="preserve"> </w:t>
      </w:r>
      <w:r>
        <w:rPr>
          <w:rStyle w:val="Fontdeparagrafimplicit"/>
          <w:lang w:val="en-US"/>
        </w:rPr>
        <w:t>abateri</w:t>
      </w:r>
      <w:r>
        <w:rPr>
          <w:rStyle w:val="Fontdeparagrafimplicit"/>
          <w:lang w:val="en-US"/>
        </w:rPr>
        <w:t xml:space="preserve">, </w:t>
      </w:r>
      <w:r>
        <w:rPr>
          <w:rStyle w:val="Fontdeparagrafimplicit"/>
          <w:lang w:val="en-US"/>
        </w:rPr>
        <w:t>respectiv</w:t>
      </w:r>
      <w:r>
        <w:rPr>
          <w:rStyle w:val="Fontdeparagrafimplicit"/>
          <w:lang w:val="en-US"/>
        </w:rPr>
        <w:t xml:space="preserve"> </w:t>
      </w:r>
      <w:r>
        <w:rPr>
          <w:rStyle w:val="Fontdeparagrafimplicit"/>
          <w:lang w:val="en-US"/>
        </w:rPr>
        <w:t>cea</w:t>
      </w:r>
      <w:r>
        <w:rPr>
          <w:rStyle w:val="Fontdeparagrafimplicit"/>
          <w:lang w:val="en-US"/>
        </w:rPr>
        <w:t xml:space="preserve"> </w:t>
      </w:r>
      <w:r>
        <w:rPr>
          <w:rStyle w:val="Fontdeparagrafimplicit"/>
          <w:lang w:val="en-US"/>
        </w:rPr>
        <w:t>referitoare</w:t>
      </w:r>
      <w:r>
        <w:rPr>
          <w:rStyle w:val="Fontdeparagrafimplicit"/>
          <w:lang w:val="en-US"/>
        </w:rPr>
        <w:t xml:space="preserve"> la </w:t>
      </w:r>
      <w:r>
        <w:rPr>
          <w:rStyle w:val="Fontdeparagrafimplicit"/>
          <w:lang w:val="en-US"/>
        </w:rPr>
        <w:t>conduita</w:t>
      </w:r>
      <w:r>
        <w:rPr>
          <w:rStyle w:val="Fontdeparagrafimplicit"/>
          <w:lang w:val="en-US"/>
        </w:rPr>
        <w:t xml:space="preserve"> </w:t>
      </w:r>
      <w:r>
        <w:rPr>
          <w:rStyle w:val="Fontdeparagrafimplicit"/>
          <w:lang w:val="en-US"/>
        </w:rPr>
        <w:t>magistratului</w:t>
      </w:r>
      <w:r>
        <w:rPr>
          <w:rStyle w:val="Fontdeparagrafimplicit"/>
          <w:lang w:val="en-US"/>
        </w:rPr>
        <w:t xml:space="preserve"> care </w:t>
      </w:r>
      <w:r>
        <w:rPr>
          <w:rStyle w:val="Fontdeparagrafimplicit"/>
          <w:lang w:val="en-US"/>
        </w:rPr>
        <w:t>întreabă</w:t>
      </w:r>
      <w:r>
        <w:rPr>
          <w:rStyle w:val="Fontdeparagrafimplicit"/>
          <w:lang w:val="en-US"/>
        </w:rPr>
        <w:t xml:space="preserve"> </w:t>
      </w:r>
      <w:r>
        <w:rPr>
          <w:rStyle w:val="Fontdeparagrafimplicit"/>
          <w:lang w:val="en-US"/>
        </w:rPr>
        <w:t>avocaţii</w:t>
      </w:r>
      <w:r>
        <w:rPr>
          <w:rStyle w:val="Fontdeparagrafimplicit"/>
          <w:lang w:val="en-US"/>
        </w:rPr>
        <w:t xml:space="preserve"> </w:t>
      </w:r>
      <w:r>
        <w:rPr>
          <w:rStyle w:val="Fontdeparagrafimplicit"/>
          <w:lang w:val="en-US"/>
        </w:rPr>
        <w:t>dacă</w:t>
      </w:r>
      <w:r>
        <w:rPr>
          <w:rStyle w:val="Fontdeparagrafimplicit"/>
          <w:lang w:val="en-US"/>
        </w:rPr>
        <w:t xml:space="preserve"> </w:t>
      </w:r>
      <w:r>
        <w:rPr>
          <w:rStyle w:val="Fontdeparagrafimplicit"/>
          <w:lang w:val="en-US"/>
        </w:rPr>
        <w:t>doresc</w:t>
      </w:r>
      <w:r>
        <w:rPr>
          <w:rStyle w:val="Fontdeparagrafimplicit"/>
          <w:lang w:val="en-US"/>
        </w:rPr>
        <w:t xml:space="preserve"> </w:t>
      </w:r>
      <w:r>
        <w:rPr>
          <w:rStyle w:val="Fontdeparagrafimplicit"/>
          <w:lang w:val="en-US"/>
        </w:rPr>
        <w:t>să</w:t>
      </w:r>
      <w:r>
        <w:rPr>
          <w:rStyle w:val="Fontdeparagrafimplicit"/>
          <w:lang w:val="en-US"/>
        </w:rPr>
        <w:t xml:space="preserve"> </w:t>
      </w:r>
      <w:r>
        <w:rPr>
          <w:rStyle w:val="Fontdeparagrafimplicit"/>
          <w:lang w:val="en-US"/>
        </w:rPr>
        <w:t>îi</w:t>
      </w:r>
      <w:r>
        <w:rPr>
          <w:rStyle w:val="Fontdeparagrafimplicit"/>
          <w:lang w:val="en-US"/>
        </w:rPr>
        <w:t xml:space="preserve"> </w:t>
      </w:r>
      <w:r>
        <w:rPr>
          <w:rStyle w:val="Fontdeparagrafimplicit"/>
          <w:lang w:val="en-US"/>
        </w:rPr>
        <w:t>ia</w:t>
      </w:r>
      <w:r>
        <w:rPr>
          <w:rStyle w:val="Fontdeparagrafimplicit"/>
          <w:lang w:val="en-US"/>
        </w:rPr>
        <w:t xml:space="preserve"> </w:t>
      </w:r>
      <w:r>
        <w:rPr>
          <w:rStyle w:val="Fontdeparagrafimplicit"/>
          <w:lang w:val="en-US"/>
        </w:rPr>
        <w:t>locul</w:t>
      </w:r>
      <w:r>
        <w:rPr>
          <w:rStyle w:val="Fontdeparagrafimplicit"/>
          <w:lang w:val="en-US"/>
        </w:rPr>
        <w:t xml:space="preserve"> </w:t>
      </w:r>
      <w:r>
        <w:rPr>
          <w:rStyle w:val="Fontdeparagrafimplicit"/>
          <w:lang w:val="en-US"/>
        </w:rPr>
        <w:t>şi</w:t>
      </w:r>
      <w:r>
        <w:rPr>
          <w:rStyle w:val="Fontdeparagrafimplicit"/>
          <w:lang w:val="en-US"/>
        </w:rPr>
        <w:t xml:space="preserve"> </w:t>
      </w:r>
      <w:r>
        <w:rPr>
          <w:rStyle w:val="Fontdeparagrafimplicit"/>
          <w:lang w:val="en-US"/>
        </w:rPr>
        <w:t>să</w:t>
      </w:r>
      <w:r>
        <w:rPr>
          <w:rStyle w:val="Fontdeparagrafimplicit"/>
          <w:lang w:val="en-US"/>
        </w:rPr>
        <w:t xml:space="preserve"> </w:t>
      </w:r>
      <w:r>
        <w:rPr>
          <w:rStyle w:val="Fontdeparagrafimplicit"/>
          <w:lang w:val="en-US"/>
        </w:rPr>
        <w:t>conducă</w:t>
      </w:r>
      <w:r>
        <w:rPr>
          <w:rStyle w:val="Fontdeparagrafimplicit"/>
          <w:lang w:val="en-US"/>
        </w:rPr>
        <w:t xml:space="preserve"> </w:t>
      </w:r>
      <w:r>
        <w:rPr>
          <w:rStyle w:val="Fontdeparagrafimplicit"/>
          <w:lang w:val="en-US"/>
        </w:rPr>
        <w:t>şedinţa</w:t>
      </w:r>
      <w:r>
        <w:rPr>
          <w:rStyle w:val="Fontdeparagrafimplicit"/>
          <w:lang w:val="en-US"/>
        </w:rPr>
        <w:t xml:space="preserve">, </w:t>
      </w:r>
      <w:r>
        <w:rPr>
          <w:rStyle w:val="Fontdeparagrafimplicit"/>
          <w:lang w:val="en-US"/>
        </w:rPr>
        <w:t>Curtea</w:t>
      </w:r>
      <w:r>
        <w:rPr>
          <w:rStyle w:val="Fontdeparagrafimplicit"/>
          <w:lang w:val="en-US"/>
        </w:rPr>
        <w:t xml:space="preserve"> </w:t>
      </w:r>
      <w:r>
        <w:rPr>
          <w:rStyle w:val="Fontdeparagrafimplicit"/>
          <w:lang w:val="en-US"/>
        </w:rPr>
        <w:t>arată</w:t>
      </w:r>
      <w:r>
        <w:rPr>
          <w:rStyle w:val="Fontdeparagrafimplicit"/>
          <w:lang w:val="en-US"/>
        </w:rPr>
        <w:t xml:space="preserve"> </w:t>
      </w:r>
      <w:r>
        <w:rPr>
          <w:rStyle w:val="Fontdeparagrafimplicit"/>
          <w:lang w:val="en-US"/>
        </w:rPr>
        <w:t>că</w:t>
      </w:r>
      <w:r>
        <w:rPr>
          <w:rStyle w:val="Fontdeparagrafimplicit"/>
          <w:lang w:val="en-US"/>
        </w:rPr>
        <w:t xml:space="preserve">, </w:t>
      </w:r>
      <w:r>
        <w:rPr>
          <w:rStyle w:val="Fontdeparagrafimplicit"/>
          <w:lang w:val="en-US"/>
        </w:rPr>
        <w:t>pe</w:t>
      </w:r>
      <w:r>
        <w:rPr>
          <w:rStyle w:val="Fontdeparagrafimplicit"/>
          <w:lang w:val="en-US"/>
        </w:rPr>
        <w:t xml:space="preserve"> de – o parte, </w:t>
      </w:r>
      <w:r>
        <w:rPr>
          <w:rStyle w:val="Fontdeparagrafimplicit"/>
          <w:lang w:val="en-US"/>
        </w:rPr>
        <w:t>această</w:t>
      </w:r>
      <w:r>
        <w:rPr>
          <w:rStyle w:val="Fontdeparagrafimplicit"/>
          <w:lang w:val="en-US"/>
        </w:rPr>
        <w:t xml:space="preserve"> nu </w:t>
      </w:r>
      <w:r>
        <w:rPr>
          <w:rStyle w:val="Fontdeparagrafimplicit"/>
          <w:lang w:val="en-US"/>
        </w:rPr>
        <w:t>este</w:t>
      </w:r>
      <w:r>
        <w:rPr>
          <w:rStyle w:val="Fontdeparagrafimplicit"/>
          <w:lang w:val="en-US"/>
        </w:rPr>
        <w:t xml:space="preserve"> </w:t>
      </w:r>
      <w:r>
        <w:rPr>
          <w:rStyle w:val="Fontdeparagrafimplicit"/>
          <w:lang w:val="en-US"/>
        </w:rPr>
        <w:t>confirmată</w:t>
      </w:r>
      <w:r>
        <w:rPr>
          <w:rStyle w:val="Fontdeparagrafimplicit"/>
          <w:lang w:val="en-US"/>
        </w:rPr>
        <w:t xml:space="preserve"> de </w:t>
      </w:r>
      <w:r>
        <w:rPr>
          <w:rStyle w:val="Fontdeparagrafimplicit"/>
          <w:lang w:val="en-US"/>
        </w:rPr>
        <w:t>piesele</w:t>
      </w:r>
      <w:r>
        <w:rPr>
          <w:rStyle w:val="Fontdeparagrafimplicit"/>
          <w:lang w:val="en-US"/>
        </w:rPr>
        <w:t xml:space="preserve"> </w:t>
      </w:r>
      <w:r>
        <w:rPr>
          <w:rStyle w:val="Fontdeparagrafimplicit"/>
          <w:lang w:val="en-US"/>
        </w:rPr>
        <w:t>probatorii</w:t>
      </w:r>
      <w:r>
        <w:rPr>
          <w:rStyle w:val="Fontdeparagrafimplicit"/>
          <w:lang w:val="en-US"/>
        </w:rPr>
        <w:t xml:space="preserve"> </w:t>
      </w:r>
      <w:r>
        <w:rPr>
          <w:rStyle w:val="Fontdeparagrafimplicit"/>
          <w:lang w:val="en-US"/>
        </w:rPr>
        <w:t>aflate</w:t>
      </w:r>
      <w:r>
        <w:rPr>
          <w:rStyle w:val="Fontdeparagrafimplicit"/>
          <w:lang w:val="en-US"/>
        </w:rPr>
        <w:t xml:space="preserve"> la </w:t>
      </w:r>
      <w:r>
        <w:rPr>
          <w:rStyle w:val="Fontdeparagrafimplicit"/>
          <w:lang w:val="en-US"/>
        </w:rPr>
        <w:t>dosarul</w:t>
      </w:r>
      <w:r>
        <w:rPr>
          <w:rStyle w:val="Fontdeparagrafimplicit"/>
          <w:lang w:val="en-US"/>
        </w:rPr>
        <w:t xml:space="preserve"> </w:t>
      </w:r>
      <w:r>
        <w:rPr>
          <w:rStyle w:val="Fontdeparagrafimplicit"/>
          <w:lang w:val="en-US"/>
        </w:rPr>
        <w:t>cauzei</w:t>
      </w:r>
      <w:r>
        <w:rPr>
          <w:rStyle w:val="Fontdeparagrafimplicit"/>
          <w:lang w:val="en-US"/>
        </w:rPr>
        <w:t xml:space="preserve">, </w:t>
      </w:r>
      <w:r>
        <w:rPr>
          <w:rStyle w:val="Fontdeparagrafimplicit"/>
          <w:lang w:val="en-US"/>
        </w:rPr>
        <w:t>iar</w:t>
      </w:r>
      <w:r>
        <w:rPr>
          <w:rStyle w:val="Fontdeparagrafimplicit"/>
          <w:lang w:val="en-US"/>
        </w:rPr>
        <w:t xml:space="preserve">, </w:t>
      </w:r>
      <w:r>
        <w:rPr>
          <w:rStyle w:val="Fontdeparagrafimplicit"/>
          <w:lang w:val="en-US"/>
        </w:rPr>
        <w:t>pe</w:t>
      </w:r>
      <w:r>
        <w:rPr>
          <w:rStyle w:val="Fontdeparagrafimplicit"/>
          <w:lang w:val="en-US"/>
        </w:rPr>
        <w:t xml:space="preserve"> de </w:t>
      </w:r>
      <w:r>
        <w:rPr>
          <w:rStyle w:val="Fontdeparagrafimplicit"/>
          <w:lang w:val="en-US"/>
        </w:rPr>
        <w:t>altă</w:t>
      </w:r>
      <w:r>
        <w:rPr>
          <w:rStyle w:val="Fontdeparagrafimplicit"/>
          <w:lang w:val="en-US"/>
        </w:rPr>
        <w:t xml:space="preserve"> parte, </w:t>
      </w:r>
      <w:r>
        <w:rPr>
          <w:rStyle w:val="Fontdeparagrafimplicit"/>
          <w:lang w:val="en-US"/>
        </w:rPr>
        <w:t>că</w:t>
      </w:r>
      <w:r>
        <w:rPr>
          <w:rStyle w:val="Fontdeparagrafimplicit"/>
          <w:lang w:val="en-US"/>
        </w:rPr>
        <w:t xml:space="preserve">, </w:t>
      </w:r>
      <w:r>
        <w:rPr>
          <w:rStyle w:val="Fontdeparagrafimplicit"/>
          <w:lang w:val="en-US"/>
        </w:rPr>
        <w:t>deşi</w:t>
      </w:r>
      <w:r>
        <w:rPr>
          <w:rStyle w:val="Fontdeparagrafimplicit"/>
          <w:lang w:val="en-US"/>
        </w:rPr>
        <w:t xml:space="preserve"> nu se </w:t>
      </w:r>
      <w:r>
        <w:rPr>
          <w:rStyle w:val="Fontdeparagrafimplicit"/>
          <w:lang w:val="en-US"/>
        </w:rPr>
        <w:t>referă</w:t>
      </w:r>
      <w:r>
        <w:rPr>
          <w:rStyle w:val="Fontdeparagrafimplicit"/>
          <w:lang w:val="en-US"/>
        </w:rPr>
        <w:t xml:space="preserve"> la </w:t>
      </w:r>
      <w:r>
        <w:rPr>
          <w:rStyle w:val="Fontdeparagrafimplicit"/>
          <w:lang w:val="en-US"/>
        </w:rPr>
        <w:t>conduita</w:t>
      </w:r>
      <w:r>
        <w:rPr>
          <w:rStyle w:val="Fontdeparagrafimplicit"/>
          <w:lang w:val="en-US"/>
        </w:rPr>
        <w:t xml:space="preserve"> </w:t>
      </w:r>
      <w:r>
        <w:rPr>
          <w:rStyle w:val="Fontdeparagrafimplicit"/>
          <w:lang w:val="en-US"/>
        </w:rPr>
        <w:t>magistratului</w:t>
      </w:r>
      <w:r>
        <w:rPr>
          <w:rStyle w:val="Fontdeparagrafimplicit"/>
          <w:lang w:val="en-US"/>
        </w:rPr>
        <w:t xml:space="preserve"> din </w:t>
      </w:r>
      <w:r>
        <w:rPr>
          <w:rStyle w:val="Fontdeparagrafimplicit"/>
          <w:lang w:val="en-US"/>
        </w:rPr>
        <w:t>dosarul</w:t>
      </w:r>
      <w:r>
        <w:rPr>
          <w:rStyle w:val="Fontdeparagrafimplicit"/>
          <w:lang w:val="en-US"/>
        </w:rPr>
        <w:t xml:space="preserve"> </w:t>
      </w:r>
      <w:r>
        <w:rPr>
          <w:rStyle w:val="Fontdeparagrafimplicit"/>
          <w:lang w:val="en-US"/>
        </w:rPr>
        <w:t>în</w:t>
      </w:r>
      <w:r>
        <w:rPr>
          <w:rStyle w:val="Fontdeparagrafimplicit"/>
          <w:lang w:val="en-US"/>
        </w:rPr>
        <w:t xml:space="preserve"> care </w:t>
      </w:r>
      <w:r>
        <w:rPr>
          <w:rStyle w:val="Fontdeparagrafimplicit"/>
          <w:lang w:val="en-US"/>
        </w:rPr>
        <w:t>domnul</w:t>
      </w:r>
      <w:r>
        <w:rPr>
          <w:rStyle w:val="Fontdeparagrafimplicit"/>
          <w:lang w:val="en-US"/>
        </w:rPr>
        <w:t xml:space="preserve"> </w:t>
      </w:r>
      <w:r w:rsidR="00474497">
        <w:rPr>
          <w:rStyle w:val="Fontdeparagrafimplicit"/>
          <w:lang w:val="en-US"/>
        </w:rPr>
        <w:t>AB</w:t>
      </w:r>
      <w:r>
        <w:rPr>
          <w:rStyle w:val="Fontdeparagrafimplicit"/>
          <w:lang w:val="en-US"/>
        </w:rPr>
        <w:t xml:space="preserve"> a </w:t>
      </w:r>
      <w:r>
        <w:rPr>
          <w:rStyle w:val="Fontdeparagrafimplicit"/>
          <w:lang w:val="en-US"/>
        </w:rPr>
        <w:t>avut</w:t>
      </w:r>
      <w:r>
        <w:rPr>
          <w:rStyle w:val="Fontdeparagrafimplicit"/>
          <w:lang w:val="en-US"/>
        </w:rPr>
        <w:t xml:space="preserve"> </w:t>
      </w:r>
      <w:r>
        <w:rPr>
          <w:rStyle w:val="Fontdeparagrafimplicit"/>
          <w:lang w:val="en-US"/>
        </w:rPr>
        <w:t>calitatea</w:t>
      </w:r>
      <w:r>
        <w:rPr>
          <w:rStyle w:val="Fontdeparagrafimplicit"/>
          <w:lang w:val="en-US"/>
        </w:rPr>
        <w:t xml:space="preserve"> de </w:t>
      </w:r>
      <w:r>
        <w:rPr>
          <w:rStyle w:val="Fontdeparagrafimplicit"/>
          <w:lang w:val="en-US"/>
        </w:rPr>
        <w:t>apelant</w:t>
      </w:r>
      <w:r>
        <w:rPr>
          <w:rStyle w:val="Fontdeparagrafimplicit"/>
          <w:lang w:val="en-US"/>
        </w:rPr>
        <w:t xml:space="preserve"> (</w:t>
      </w:r>
      <w:r>
        <w:rPr>
          <w:rStyle w:val="Fontdeparagrafimplicit"/>
          <w:lang w:val="en-US"/>
        </w:rPr>
        <w:t>dosar</w:t>
      </w:r>
      <w:r>
        <w:rPr>
          <w:rStyle w:val="Fontdeparagrafimplicit"/>
          <w:lang w:val="en-US"/>
        </w:rPr>
        <w:t xml:space="preserve"> nr. </w:t>
      </w:r>
      <w:r w:rsidR="00474497">
        <w:rPr>
          <w:rStyle w:val="Fontdeparagrafimplicit"/>
          <w:lang w:val="en-US"/>
        </w:rPr>
        <w:t>............</w:t>
      </w:r>
      <w:r>
        <w:rPr>
          <w:rStyle w:val="Fontdeparagrafimplicit"/>
          <w:lang w:val="en-US"/>
        </w:rPr>
        <w:t xml:space="preserve">), </w:t>
      </w:r>
      <w:r>
        <w:rPr>
          <w:rStyle w:val="Fontdeparagrafimplicit"/>
          <w:lang w:val="en-US"/>
        </w:rPr>
        <w:t>nici</w:t>
      </w:r>
      <w:r>
        <w:rPr>
          <w:rStyle w:val="Fontdeparagrafimplicit"/>
          <w:lang w:val="en-US"/>
        </w:rPr>
        <w:t xml:space="preserve"> </w:t>
      </w:r>
      <w:r>
        <w:rPr>
          <w:rStyle w:val="Fontdeparagrafimplicit"/>
          <w:lang w:val="en-US"/>
        </w:rPr>
        <w:t>în</w:t>
      </w:r>
      <w:r>
        <w:rPr>
          <w:rStyle w:val="Fontdeparagrafimplicit"/>
          <w:lang w:val="en-US"/>
        </w:rPr>
        <w:t xml:space="preserve"> </w:t>
      </w:r>
      <w:r>
        <w:rPr>
          <w:rStyle w:val="Fontdeparagrafimplicit"/>
          <w:lang w:val="en-US"/>
        </w:rPr>
        <w:t>sesizarea</w:t>
      </w:r>
      <w:r>
        <w:rPr>
          <w:rStyle w:val="Fontdeparagrafimplicit"/>
          <w:lang w:val="en-US"/>
        </w:rPr>
        <w:t xml:space="preserve"> </w:t>
      </w:r>
      <w:r>
        <w:rPr>
          <w:rStyle w:val="Fontdeparagrafimplicit"/>
          <w:lang w:val="en-US"/>
        </w:rPr>
        <w:t>adresată</w:t>
      </w:r>
      <w:r>
        <w:rPr>
          <w:rStyle w:val="Fontdeparagrafimplicit"/>
          <w:lang w:val="en-US"/>
        </w:rPr>
        <w:t xml:space="preserve"> </w:t>
      </w:r>
      <w:r>
        <w:rPr>
          <w:rStyle w:val="Fontdeparagrafimplicit"/>
          <w:lang w:val="en-US"/>
        </w:rPr>
        <w:t>Inspecţiei</w:t>
      </w:r>
      <w:r>
        <w:rPr>
          <w:rStyle w:val="Fontdeparagrafimplicit"/>
          <w:lang w:val="en-US"/>
        </w:rPr>
        <w:t xml:space="preserve"> </w:t>
      </w:r>
      <w:r>
        <w:rPr>
          <w:rStyle w:val="Fontdeparagrafimplicit"/>
          <w:lang w:val="en-US"/>
        </w:rPr>
        <w:t>Judiciare</w:t>
      </w:r>
      <w:r>
        <w:rPr>
          <w:rStyle w:val="Fontdeparagrafimplicit"/>
          <w:lang w:val="en-US"/>
        </w:rPr>
        <w:t xml:space="preserve"> </w:t>
      </w:r>
      <w:r>
        <w:rPr>
          <w:rStyle w:val="Fontdeparagrafimplicit"/>
          <w:lang w:val="en-US"/>
        </w:rPr>
        <w:t>şi</w:t>
      </w:r>
      <w:r>
        <w:rPr>
          <w:rStyle w:val="Fontdeparagrafimplicit"/>
          <w:lang w:val="en-US"/>
        </w:rPr>
        <w:t xml:space="preserve"> </w:t>
      </w:r>
      <w:r>
        <w:rPr>
          <w:rStyle w:val="Fontdeparagrafimplicit"/>
          <w:lang w:val="en-US"/>
        </w:rPr>
        <w:t>nici</w:t>
      </w:r>
      <w:r>
        <w:rPr>
          <w:rStyle w:val="Fontdeparagrafimplicit"/>
          <w:lang w:val="en-US"/>
        </w:rPr>
        <w:t xml:space="preserve"> </w:t>
      </w:r>
      <w:r>
        <w:rPr>
          <w:rStyle w:val="Fontdeparagrafimplicit"/>
          <w:lang w:val="en-US"/>
        </w:rPr>
        <w:t>în</w:t>
      </w:r>
      <w:r>
        <w:rPr>
          <w:rStyle w:val="Fontdeparagrafimplicit"/>
          <w:lang w:val="en-US"/>
        </w:rPr>
        <w:t xml:space="preserve"> </w:t>
      </w:r>
      <w:r>
        <w:rPr>
          <w:rStyle w:val="Fontdeparagrafimplicit"/>
          <w:lang w:val="en-US"/>
        </w:rPr>
        <w:t>acţiunea</w:t>
      </w:r>
      <w:r>
        <w:rPr>
          <w:rStyle w:val="Fontdeparagrafimplicit"/>
          <w:lang w:val="en-US"/>
        </w:rPr>
        <w:t xml:space="preserve"> </w:t>
      </w:r>
      <w:r>
        <w:rPr>
          <w:rStyle w:val="Fontdeparagrafimplicit"/>
          <w:lang w:val="en-US"/>
        </w:rPr>
        <w:t>promovată</w:t>
      </w:r>
      <w:r>
        <w:rPr>
          <w:rStyle w:val="Fontdeparagrafimplicit"/>
          <w:lang w:val="en-US"/>
        </w:rPr>
        <w:t xml:space="preserve"> </w:t>
      </w:r>
      <w:r>
        <w:rPr>
          <w:rStyle w:val="Fontdeparagrafimplicit"/>
          <w:lang w:val="en-US"/>
        </w:rPr>
        <w:t>în</w:t>
      </w:r>
      <w:r>
        <w:rPr>
          <w:rStyle w:val="Fontdeparagrafimplicit"/>
          <w:lang w:val="en-US"/>
        </w:rPr>
        <w:t xml:space="preserve"> </w:t>
      </w:r>
      <w:r>
        <w:rPr>
          <w:rStyle w:val="Fontdeparagrafimplicit"/>
          <w:lang w:val="en-US"/>
        </w:rPr>
        <w:t>faţa</w:t>
      </w:r>
      <w:r>
        <w:rPr>
          <w:rStyle w:val="Fontdeparagrafimplicit"/>
          <w:lang w:val="en-US"/>
        </w:rPr>
        <w:t xml:space="preserve"> </w:t>
      </w:r>
      <w:r>
        <w:rPr>
          <w:rStyle w:val="Fontdeparagrafimplicit"/>
          <w:lang w:val="en-US"/>
        </w:rPr>
        <w:t>instanţei</w:t>
      </w:r>
      <w:r>
        <w:rPr>
          <w:rStyle w:val="Fontdeparagrafimplicit"/>
          <w:lang w:val="en-US"/>
        </w:rPr>
        <w:t xml:space="preserve"> nu s-au </w:t>
      </w:r>
      <w:r>
        <w:rPr>
          <w:rStyle w:val="Fontdeparagrafimplicit"/>
          <w:lang w:val="en-US"/>
        </w:rPr>
        <w:t>detaliat</w:t>
      </w:r>
      <w:r>
        <w:rPr>
          <w:rStyle w:val="Fontdeparagrafimplicit"/>
          <w:lang w:val="en-US"/>
        </w:rPr>
        <w:t xml:space="preserve"> </w:t>
      </w:r>
      <w:r>
        <w:rPr>
          <w:rStyle w:val="Fontdeparagrafimplicit"/>
          <w:lang w:val="en-US"/>
        </w:rPr>
        <w:t>elemente</w:t>
      </w:r>
      <w:r>
        <w:rPr>
          <w:rStyle w:val="Fontdeparagrafimplicit"/>
          <w:lang w:val="en-US"/>
        </w:rPr>
        <w:t xml:space="preserve"> </w:t>
      </w:r>
      <w:r>
        <w:rPr>
          <w:rStyle w:val="Fontdeparagrafimplicit"/>
          <w:lang w:val="en-US"/>
        </w:rPr>
        <w:t>în</w:t>
      </w:r>
      <w:r>
        <w:rPr>
          <w:rStyle w:val="Fontdeparagrafimplicit"/>
          <w:lang w:val="en-US"/>
        </w:rPr>
        <w:t xml:space="preserve"> </w:t>
      </w:r>
      <w:r>
        <w:rPr>
          <w:rStyle w:val="Fontdeparagrafimplicit"/>
          <w:lang w:val="en-US"/>
        </w:rPr>
        <w:t>legătură</w:t>
      </w:r>
      <w:r>
        <w:rPr>
          <w:rStyle w:val="Fontdeparagrafimplicit"/>
          <w:lang w:val="en-US"/>
        </w:rPr>
        <w:t xml:space="preserve"> cu </w:t>
      </w:r>
      <w:r>
        <w:rPr>
          <w:rStyle w:val="Fontdeparagrafimplicit"/>
          <w:lang w:val="en-US"/>
        </w:rPr>
        <w:t>împrejurările</w:t>
      </w:r>
      <w:r>
        <w:rPr>
          <w:rStyle w:val="Fontdeparagrafimplicit"/>
          <w:lang w:val="en-US"/>
        </w:rPr>
        <w:t xml:space="preserve"> </w:t>
      </w:r>
      <w:r>
        <w:rPr>
          <w:rStyle w:val="Fontdeparagrafimplicit"/>
          <w:lang w:val="en-US"/>
        </w:rPr>
        <w:t>în</w:t>
      </w:r>
      <w:r>
        <w:rPr>
          <w:rStyle w:val="Fontdeparagrafimplicit"/>
          <w:lang w:val="en-US"/>
        </w:rPr>
        <w:t xml:space="preserve"> care a </w:t>
      </w:r>
      <w:r>
        <w:rPr>
          <w:rStyle w:val="Fontdeparagrafimplicit"/>
          <w:lang w:val="en-US"/>
        </w:rPr>
        <w:t>această</w:t>
      </w:r>
      <w:r>
        <w:rPr>
          <w:rStyle w:val="Fontdeparagrafimplicit"/>
          <w:lang w:val="en-US"/>
        </w:rPr>
        <w:t xml:space="preserve"> a </w:t>
      </w:r>
      <w:r>
        <w:rPr>
          <w:rStyle w:val="Fontdeparagrafimplicit"/>
          <w:lang w:val="en-US"/>
        </w:rPr>
        <w:t>avut</w:t>
      </w:r>
      <w:r>
        <w:rPr>
          <w:rStyle w:val="Fontdeparagrafimplicit"/>
          <w:lang w:val="en-US"/>
        </w:rPr>
        <w:t xml:space="preserve"> loc.</w:t>
      </w:r>
    </w:p>
    <w:p w:rsidR="00C129D0">
      <w:pPr>
        <w:tabs>
          <w:tab w:val="left" w:pos="1002"/>
        </w:tabs>
        <w:spacing w:line="60" w:lineRule="atLeast"/>
        <w:ind w:right="-22" w:firstLine="708"/>
        <w:jc w:val="both"/>
      </w:pPr>
      <w:r>
        <w:t>Faţă de cele arătate în precedent, nu se confirmă susţinerile reclamantului privind utilizarea de către magistrat a unui ton inadecvat sau manifestarea unei atitudini nedemne, prin limbajul folosit.</w:t>
      </w:r>
    </w:p>
    <w:p w:rsidR="00C129D0">
      <w:pPr>
        <w:tabs>
          <w:tab w:val="left" w:pos="1002"/>
        </w:tabs>
        <w:spacing w:line="60" w:lineRule="atLeast"/>
        <w:ind w:right="-22" w:firstLine="708"/>
        <w:jc w:val="both"/>
        <w:rPr>
          <w:rStyle w:val="Fontdeparagrafimplicit"/>
          <w:i/>
        </w:rPr>
      </w:pPr>
      <w:r>
        <w:t xml:space="preserve">În ceea ce priveşte abaterea disciplinară </w:t>
      </w:r>
      <w:r>
        <w:rPr>
          <w:rStyle w:val="Fontdeparagrafimplicit"/>
          <w:lang w:val="en-US"/>
        </w:rPr>
        <w:t xml:space="preserve">de la lit. </w:t>
      </w:r>
      <w:r>
        <w:rPr>
          <w:rStyle w:val="Fontdeparagrafimplicit"/>
          <w:lang w:val="en-US"/>
        </w:rPr>
        <w:t>i</w:t>
      </w:r>
      <w:r>
        <w:rPr>
          <w:rStyle w:val="Fontdeparagrafimplicit"/>
          <w:lang w:val="en-US"/>
        </w:rPr>
        <w:t xml:space="preserve">) </w:t>
      </w:r>
      <w:r>
        <w:rPr>
          <w:rStyle w:val="Fontdeparagrafimplicit"/>
          <w:lang w:val="en-US"/>
        </w:rPr>
        <w:t>a</w:t>
      </w:r>
      <w:r>
        <w:rPr>
          <w:rStyle w:val="Fontdeparagrafimplicit"/>
          <w:lang w:val="en-US"/>
        </w:rPr>
        <w:t xml:space="preserve"> art. 99, </w:t>
      </w:r>
      <w:r>
        <w:t>Curtea reţine că, potrivit textului menţionat „C</w:t>
      </w:r>
      <w:r>
        <w:rPr>
          <w:rStyle w:val="Fontdeparagrafimplicit"/>
          <w:i/>
        </w:rPr>
        <w:t xml:space="preserve">onstituie abateri </w:t>
      </w:r>
      <w:r>
        <w:rPr>
          <w:rStyle w:val="Fontdeparagrafimplicit"/>
          <w:i/>
        </w:rPr>
        <w:t>disciplinare:</w:t>
      </w:r>
      <w:r>
        <w:rPr>
          <w:rStyle w:val="Fontdeparagrafimplicit"/>
          <w:i/>
        </w:rPr>
        <w:t>(…) i) nerespectarea îndatoririi de a se abţine atunci când judecătorul sau procurorul ştie că există una din cauzele prevăzute de lege pentru abţinerea sa(…);”.</w:t>
      </w:r>
    </w:p>
    <w:p w:rsidR="00C129D0">
      <w:pPr>
        <w:tabs>
          <w:tab w:val="left" w:pos="1002"/>
        </w:tabs>
        <w:spacing w:line="60" w:lineRule="atLeast"/>
        <w:ind w:right="-22" w:firstLine="708"/>
        <w:jc w:val="both"/>
      </w:pPr>
      <w:r>
        <w:t>În referire la elementele constitutive ale acestei abateri disciplinare, Curtea constată că situaţiile în care magistratul are obligaţia de a se abţine sunt cele reglementate de art. 41 şi 42 din C.pr.civ., relaţia dintre prietenie dintre magistratul care soluţionează calea de atac şi cel care a dezlegat cauza în fond neputându-se încadra decât în prevederile art. 42 alin. 1 pct. 13 C.pr.civ.</w:t>
      </w:r>
    </w:p>
    <w:p w:rsidR="00C129D0">
      <w:pPr>
        <w:tabs>
          <w:tab w:val="left" w:pos="1002"/>
        </w:tabs>
        <w:spacing w:line="60" w:lineRule="atLeast"/>
        <w:ind w:right="-22" w:firstLine="708"/>
        <w:jc w:val="both"/>
      </w:pPr>
      <w:r>
        <w:t xml:space="preserve">Curtea nu poate reţine că domnul judecător </w:t>
      </w:r>
      <w:r w:rsidR="00CE46AC">
        <w:t>BC</w:t>
      </w:r>
      <w:r>
        <w:t xml:space="preserve"> nu a respectat obligaţia stabilită în sarcina sa de prevederile art. 42 alin. 1 pct. 13 C.pr.civ. întrucât din materialul probator al cauzei nu rezultă să existe o relaţie de prietenie între cei doi magistraţi, faptul că aceştia sunt concitadini sau cele afirmate de judecătorul vizat de sesizare în timpul şedinţei de judecată neprobând această împrejurare.</w:t>
      </w:r>
    </w:p>
    <w:p w:rsidR="00C129D0">
      <w:pPr>
        <w:tabs>
          <w:tab w:val="left" w:pos="2954"/>
        </w:tabs>
        <w:spacing w:line="60" w:lineRule="atLeast"/>
        <w:ind w:right="-22" w:firstLine="708"/>
        <w:jc w:val="both"/>
      </w:pPr>
      <w:r>
        <w:t>Afirmaţiile reclamantului, în sensul că în mod greşit s-a reţinut în cuprinsul rezoluţiilor că, în cazul în care avea îndoieli cu privire la imparţialitatea magistratului, avea posibilitatea să formuleze o cerere de recuzare sau de strămutare, sunt lipsite de fundament legal.</w:t>
      </w:r>
    </w:p>
    <w:p w:rsidR="00C129D0">
      <w:pPr>
        <w:tabs>
          <w:tab w:val="left" w:pos="2954"/>
        </w:tabs>
        <w:spacing w:line="60" w:lineRule="atLeast"/>
        <w:ind w:right="-22" w:firstLine="708"/>
        <w:jc w:val="both"/>
      </w:pPr>
      <w:r>
        <w:t>În acest sens, Curtea observă că art. 42 alin. 1 pct. 13 din C.pr.civ. are o redactare extrem de laxă care permite formularea unei cereri de recuzare atunci când există elemente care nasc în mod întemeiat îndoieli cu privire la imparţialitatea magistratului, situaţia fiind similară şi în cazul instituţiei strămutării, după cum rezultă din cuprinsul art. 140 alin. 2 C.pr.civ.</w:t>
      </w:r>
    </w:p>
    <w:p w:rsidR="00C129D0">
      <w:pPr>
        <w:tabs>
          <w:tab w:val="left" w:pos="2954"/>
        </w:tabs>
        <w:spacing w:line="60" w:lineRule="atLeast"/>
        <w:ind w:right="-22" w:firstLine="708"/>
        <w:jc w:val="both"/>
        <w:rPr>
          <w:rStyle w:val="Fontdeparagrafimplicit"/>
          <w:i/>
        </w:rPr>
      </w:pPr>
      <w:r>
        <w:rPr>
          <w:rStyle w:val="Fontdeparagrafimplicit"/>
          <w:lang w:val="en-US"/>
        </w:rPr>
        <w:t>Relativ</w:t>
      </w:r>
      <w:r>
        <w:rPr>
          <w:rStyle w:val="Fontdeparagrafimplicit"/>
          <w:lang w:val="en-US"/>
        </w:rPr>
        <w:t xml:space="preserve"> la </w:t>
      </w:r>
      <w:r>
        <w:rPr>
          <w:rStyle w:val="Fontdeparagrafimplicit"/>
          <w:lang w:val="en-US"/>
        </w:rPr>
        <w:t>abaterea</w:t>
      </w:r>
      <w:r>
        <w:rPr>
          <w:rStyle w:val="Fontdeparagrafimplicit"/>
          <w:lang w:val="en-US"/>
        </w:rPr>
        <w:t xml:space="preserve"> </w:t>
      </w:r>
      <w:r>
        <w:rPr>
          <w:rStyle w:val="Fontdeparagrafimplicit"/>
          <w:lang w:val="en-US"/>
        </w:rPr>
        <w:t>disciplinară</w:t>
      </w:r>
      <w:r>
        <w:rPr>
          <w:rStyle w:val="Fontdeparagrafimplicit"/>
          <w:lang w:val="en-US"/>
        </w:rPr>
        <w:t xml:space="preserve"> de la lit. ş) </w:t>
      </w:r>
      <w:r>
        <w:rPr>
          <w:rStyle w:val="Fontdeparagrafimplicit"/>
          <w:lang w:val="en-US"/>
        </w:rPr>
        <w:t>a</w:t>
      </w:r>
      <w:r>
        <w:rPr>
          <w:rStyle w:val="Fontdeparagrafimplicit"/>
          <w:lang w:val="en-US"/>
        </w:rPr>
        <w:t xml:space="preserve"> art. 99, </w:t>
      </w:r>
      <w:r>
        <w:t>Curtea reţine că, potrivit textului menţionat „C</w:t>
      </w:r>
      <w:r>
        <w:rPr>
          <w:rStyle w:val="Fontdeparagrafimplicit"/>
          <w:i/>
        </w:rPr>
        <w:t xml:space="preserve">onstituie abateri </w:t>
      </w:r>
      <w:r>
        <w:rPr>
          <w:rStyle w:val="Fontdeparagrafimplicit"/>
          <w:i/>
        </w:rPr>
        <w:t>disciplinare:</w:t>
      </w:r>
      <w:r>
        <w:rPr>
          <w:rStyle w:val="Fontdeparagrafimplicit"/>
          <w:i/>
        </w:rPr>
        <w:t>(…) nerespectarea deciziilor Curţii Constituţionale ori a deciziilor pronunţate de Înalta Curte de Casaţie şi Justiţie în soluţionarea recursurilor în interesul legii;(…)”.</w:t>
      </w:r>
    </w:p>
    <w:p w:rsidR="00C129D0">
      <w:pPr>
        <w:tabs>
          <w:tab w:val="left" w:pos="2954"/>
        </w:tabs>
        <w:spacing w:line="60" w:lineRule="atLeast"/>
        <w:ind w:right="-22" w:firstLine="708"/>
        <w:jc w:val="both"/>
      </w:pPr>
      <w:r>
        <w:t>În cuprinsul rezoluţiilor contestate, cu privire al această abatere, s-a menţionat că o examinare pe cale administrativă a pretinselor nereguli, referitoare la aprecierile făcute de magistrat cu privire la aplicarea în cauză a Decizie R.I.L. nr. 17/2018, nu este permisă de lege, fiind rezultatul deliberării completului asupra respectivelor chestiuni, cu atât mai mult cu cât procesul nu este finalizat printr-o hotărâre definitivă.</w:t>
      </w:r>
    </w:p>
    <w:p w:rsidR="00C129D0">
      <w:pPr>
        <w:ind w:firstLine="708"/>
        <w:jc w:val="both"/>
      </w:pPr>
      <w:r>
        <w:t xml:space="preserve">Curtea reţine că, potrivit dispozițiilor art. 74 alin. (1) lit. e) din Legea nr. 317/2004 privind Consiliul Superior al Magistraturi republicată, inspectorii judiciari au ca atribuţie efectuarea de verificări ale sesizărilor adresate Inspecţiei Judiciare în legătură cu activitatea sau conduita necorespunzătoare a magistraţilor ori în legătură cu încălcarea obligaţiilor profesionale ale acestora, iar conform art. 72 alin. (1) din acelaşi act normativ, inspectorii judiciari îşi desfăşoară activitatea în mod independent și imparţial. Totodată, în cursul efectuării verificărilor prealabile, inspectorii judiciari analizează aspectele semnalate prin sesizările adresate Inspecției Judiciare pentru a stabili cu privire la existenţa unor indicii de săvârşire a unei abateri disciplinare. </w:t>
      </w:r>
    </w:p>
    <w:p w:rsidR="00C129D0">
      <w:pPr>
        <w:ind w:firstLine="708"/>
        <w:jc w:val="both"/>
      </w:pPr>
      <w:r>
        <w:t xml:space="preserve">Puterea discreţionară a autorităţii publice Inspecția Judiciară, recunoscută de legiuitor prin posibilitatea reglementată de art. 45 din Legea nr. 317/2004 privind Consiliul Superior al Magistraturii, republicată, de a aprecia cu privire la începerea cercetării disciplinare sau, după caz, clasarea sesizării, nu trebuie confundată cu excesul de putere. </w:t>
      </w:r>
    </w:p>
    <w:p w:rsidR="00C129D0">
      <w:pPr>
        <w:ind w:firstLine="708"/>
        <w:jc w:val="both"/>
      </w:pPr>
      <w:r>
        <w:t>Excesul de putere reprezintă exercitarea dreptului de apreciere al autorităţilor publice prin încălcarea limitelor competenţei prevăzute de lege sau prin încălcarea drepturilor şi libertăţilor cetăţenilor - art.2 lit. n) din Legea nr.554/2004.</w:t>
      </w:r>
    </w:p>
    <w:p w:rsidR="00C129D0">
      <w:pPr>
        <w:ind w:firstLine="708"/>
        <w:jc w:val="both"/>
      </w:pPr>
      <w:r>
        <w:t xml:space="preserve">Noţiunea de putere discreţionară desemnează o anumită marjă de libertate în decizie şi acţiune, posibilitatea de a alege între mai multe atitudini posibile. Ceea ce este foarte important, puterea discreţionară comportă o marjă de liberă decizie, dar implică prin ea însăşi o anumită limită, pentru ca exercitarea ei să nu devină abuzivă. În principiu, controlul jurisdicţional nu poate fi exercitat asupra libertăţii de apreciere lăsate de legiuitor la dispoziţia administraţiei, în ceea ce priveşte fondul actului; dimpotrivă, el se poate exercita cu uşurinţă asupra formelor şi procedurilor impuse organului administrativ, obligatoriu de urmat, chiar şi în situaţiile în care legea i-a conferit o largă putere discreţionară asupra fondului. </w:t>
      </w:r>
    </w:p>
    <w:p w:rsidR="00C129D0">
      <w:pPr>
        <w:tabs>
          <w:tab w:val="left" w:pos="2954"/>
        </w:tabs>
        <w:spacing w:line="60" w:lineRule="atLeast"/>
        <w:ind w:right="-22" w:firstLine="708"/>
        <w:jc w:val="both"/>
        <w:rPr>
          <w:rStyle w:val="Fontdeparagrafimplicit"/>
          <w:color w:val="FF0000"/>
        </w:rPr>
      </w:pPr>
      <w:r>
        <w:t>Curtea subliniază că dispoziţiile luate de un judecător în exercitarea competenţei sale de a conduce desfăşurarea procesului, cum ar fi admiterea sau respingerea unor probe, soluţionarea unor excepţii procesuale, vizând aplicarea anumitor instituţii juridice, se încadrează în activitatea jurisdicţională, iar analiza unei sesizări disciplinare se face strict prin raportare la dispozițiile art. 99 și art. 99</w:t>
      </w:r>
      <w:r>
        <w:rPr>
          <w:rStyle w:val="Fontdeparagrafimplicit"/>
          <w:vertAlign w:val="superscript"/>
        </w:rPr>
        <w:t>1</w:t>
      </w:r>
      <w:r>
        <w:t xml:space="preserve"> din Legea nr. 303/2004 rep., sediul legal al materiei abaterilor disciplinare săvârșite de magistraţi.</w:t>
      </w:r>
    </w:p>
    <w:p w:rsidR="00C129D0">
      <w:pPr>
        <w:ind w:firstLine="708"/>
        <w:jc w:val="both"/>
      </w:pPr>
      <w:r>
        <w:t>În mod cert, judecătorii nu beneficiază de o imunitate absolută pentru actele adoptate în exercitarea funcțiilor judiciare ale acestora, iar regimul răspunderii personale a judecătorilor trebuie să fie conceput astfel încât să asigure justițiabililor protecția jurisdicțională efectivă, respectiv să cuprindă garanții care să permită înlăturarea, în percepția justițiabililor, a oricărei îndoieli legitime referitoare la impenetrabilitatea judecătorilor în privința unor elemente exterioare, ce ar fi de natură să aducă atingere încrederii pe care justiția trebuie să o inspire justițiabililor într-o societate democratică și într-un stat de drept.</w:t>
      </w:r>
    </w:p>
    <w:p w:rsidR="00C129D0">
      <w:pPr>
        <w:ind w:firstLine="708"/>
        <w:jc w:val="both"/>
        <w:rPr>
          <w:rStyle w:val="Fontdeparagrafimplicit"/>
        </w:rPr>
      </w:pPr>
      <w:r>
        <w:t>Obligaţia judecătorului de a respecta normele de drept material sau procedural nu poate fi pusă în discuţie, deoarece principiul independenţei judecătorului, consacrat la art. 124 alin. 3 din Constituție, care presupune excluderea oricăror influenţe exercitate asupra acestuia cu privire la atribuţia sa esenţială de a judeca litigiile cu care este învestit, este corelat chiar în conţinutul normei constituţionale cu obligaţia judecătorului de a se supune legii. În aceste condiţii, independenţa judecătorului nu poate fi privită ca un privilegiu care să-i permită nesocotirea responsabilităţilor specifice funcţiei, limitele independenţei sale fiind raportate la cerinţa imperioasă privind respectarea legii.</w:t>
      </w:r>
    </w:p>
    <w:p w:rsidR="00C129D0">
      <w:pPr>
        <w:ind w:firstLine="708"/>
        <w:jc w:val="both"/>
      </w:pPr>
      <w:r>
        <w:t>Dreptul de acces liber la justiţie nu este un drept absolut</w:t>
      </w:r>
      <w:r>
        <w:rPr>
          <w:rStyle w:val="Fontdeparagrafimplicit"/>
          <w:b/>
        </w:rPr>
        <w:t xml:space="preserve">, </w:t>
      </w:r>
      <w:r>
        <w:t xml:space="preserve">ci, aşa cum Curtea Europeană a Drepturilor Omului a statuat în mai multe decizii (de exemplu </w:t>
      </w:r>
      <w:r>
        <w:rPr>
          <w:rStyle w:val="Fontdeparagrafimplicit"/>
          <w:i/>
        </w:rPr>
        <w:t xml:space="preserve">Golder c. Regatului Unit al Marii Britanii, Ashingdane c. Regatului Unit), </w:t>
      </w:r>
      <w:r>
        <w:t xml:space="preserve">dreptul de acces la justiţie poate face obiectul unor limitări. Aceste limitări sunt implicit permise, deoarece dreptul de acces la justiţie necesită, prin însăşi natura sa, o reglementare din partea statelor, care poate să varieze în timp şi spaţiu, în funcţie de nevoile şi resursele de care dispune comunitatea. Gradul de acces permis de legislaţia naţională trebuie să fie însă suficient pentru a asigura accesul individual la instanţă, în lumina principiului supremaţiei dreptului într-o societate democratică. </w:t>
      </w:r>
    </w:p>
    <w:p w:rsidR="00C129D0">
      <w:pPr>
        <w:ind w:firstLine="708"/>
        <w:jc w:val="both"/>
        <w:rPr>
          <w:rStyle w:val="Fontdeparagrafimplicit"/>
          <w:i/>
        </w:rPr>
      </w:pPr>
      <w:r>
        <w:t>În acelaşi sens a statuat şi Curtea Constituţională a României, care a reţinut, de exemplu, prin Decizia nr. 894/2006, că „</w:t>
      </w:r>
      <w:r>
        <w:rPr>
          <w:rStyle w:val="Fontdeparagrafimplicit"/>
          <w:i/>
        </w:rPr>
        <w:t xml:space="preserve">dreptul de acces la justiţie nu este un drept absolut, orice restricţie fiind admisă atât timp cât nu se aduce atingere dreptului de acces la un tribunal în substanţa sa, statul dispunând în acest sens de o marjă de apreciere”. </w:t>
      </w:r>
    </w:p>
    <w:p w:rsidR="00C129D0">
      <w:pPr>
        <w:ind w:firstLine="708"/>
        <w:jc w:val="both"/>
      </w:pPr>
      <w:r>
        <w:t xml:space="preserve">Dată fiind finalitatea sancţionatorie a abaterilor disciplinare, precum şi implicaţiile acestora asupra carierei magistratului, dar şi a prestigiului justiţiei, aplicarea şi interpretarea textelor care le consacră se impun a fi făcute de o manieră strictă şi limitativă, acestea găsindu-şi incidenţa doar atunci când sunt întrunite, în mod cumulativ, cerinţele expres reglementate de lege, însoţite de o probaţiune adecvată.  </w:t>
      </w:r>
    </w:p>
    <w:p w:rsidR="00C129D0">
      <w:pPr>
        <w:ind w:firstLine="708"/>
        <w:jc w:val="both"/>
      </w:pPr>
      <w:r>
        <w:t>În aceste condiții, instanța, observând că în cauză nu s-a invocat de către apelant excepţia necompetenţei, acesta precizând chiar că nu înţelege să ridice excepţia menţionată, precum şi faptul că, în cauză, concluzia la care a ajuns magistratul e rezultatul activităţii de judecată, al  deliberării,  reține că marja de apreciere a Inspecției Judiciare a fost respectată, rezoluţia de clasare nefiind emisă cu exces de putere, întrucât verificările efectuate trebuie să respecte principiile independenţei judecătorilor şi supunerii lor numai legii, astfel cum prevede art. 46 alin. (2) din Legea nr. 304/2004.</w:t>
      </w:r>
    </w:p>
    <w:p w:rsidR="00C129D0">
      <w:pPr>
        <w:ind w:firstLine="708"/>
        <w:jc w:val="both"/>
      </w:pPr>
      <w:r>
        <w:t xml:space="preserve">În fine, Curtea punctează că constatarea împrejurării că judecata în dosarul nr. </w:t>
      </w:r>
      <w:r w:rsidR="00CE46AC">
        <w:t>............</w:t>
      </w:r>
      <w:r>
        <w:t xml:space="preserve"> se află în etapa procesuală a recursului, urmând ca aspectele referitoare la competenţă să fie tranşate de instanţa de control judiciar, nu reprezintă elementul esenţial pe baza căruia a inspectorul judiciar a reţinut că nu sunt întrunite elementele constitutive ale abaterii judiciare, menţiunea având doar rolul de a particulariza circumstanţele de fapt al speţei.</w:t>
      </w:r>
    </w:p>
    <w:p w:rsidR="00C129D0">
      <w:pPr>
        <w:ind w:firstLine="708"/>
        <w:jc w:val="both"/>
        <w:rPr>
          <w:rStyle w:val="Fontdeparagrafimplicit"/>
        </w:rPr>
      </w:pPr>
      <w:r>
        <w:t>Relativ la abaterea disciplinară de la lit. t) a art. 99</w:t>
      </w:r>
      <w:r>
        <w:rPr>
          <w:rStyle w:val="Fontdeparagrafimplicit"/>
          <w:lang w:val="en-US"/>
        </w:rPr>
        <w:t xml:space="preserve">, </w:t>
      </w:r>
      <w:r>
        <w:t>Curtea reţine că, potrivit textului menţionat „C</w:t>
      </w:r>
      <w:r>
        <w:rPr>
          <w:rStyle w:val="Fontdeparagrafimplicit"/>
          <w:i/>
        </w:rPr>
        <w:t>onstituie abateri disciplinare:(…) exercitarea funcţiei cu rea-credinţă sau gravă neglijenţă, dacă fapta nu întruneşte elementele constitutive ale unei infracţiuni. (…)”.</w:t>
      </w:r>
    </w:p>
    <w:p w:rsidR="00C129D0">
      <w:pPr>
        <w:tabs>
          <w:tab w:val="left" w:pos="2954"/>
        </w:tabs>
        <w:spacing w:line="60" w:lineRule="atLeast"/>
        <w:ind w:right="-22" w:firstLine="708"/>
        <w:jc w:val="both"/>
      </w:pPr>
      <w:r>
        <w:t xml:space="preserve">Cu titlu preliminar, Curtea reţine că reclamantul nu a indicat care elementele de fapt prezentate în cuprinsul sesizării sau al acţiunii urmăreşte să fie examinate prin prisma prevederilor art. 99 lit.) t din Legea nr 303/2004, astfel că referirile instanţei vor viza celelalte două aspecte la care domnul </w:t>
      </w:r>
      <w:r w:rsidR="00474497">
        <w:t>AB</w:t>
      </w:r>
      <w:r>
        <w:t xml:space="preserve"> a făcut referire, respectiv faptul că judecătorul a întrerupt concluziile pe fondul apelului şi nu a respectat secretul deliberării.</w:t>
      </w:r>
    </w:p>
    <w:p w:rsidR="00C129D0">
      <w:pPr>
        <w:tabs>
          <w:tab w:val="left" w:pos="2954"/>
        </w:tabs>
        <w:spacing w:line="60" w:lineRule="atLeast"/>
        <w:ind w:right="-22" w:firstLine="708"/>
        <w:jc w:val="both"/>
      </w:pPr>
      <w:r>
        <w:t>În ceea ce priveşte prima chestiune, Curtea reţine în Codul de procedură civilă nu există o prevedere expresă care să interzică judecătorului să întrerupă concluziile puse de parte cu ocazia dezbaterilor asupra fondului, situaţie în care nu se poate reţine că magistratul a încălcat vreo normă de procedură..</w:t>
      </w:r>
    </w:p>
    <w:p w:rsidR="00C129D0">
      <w:pPr>
        <w:tabs>
          <w:tab w:val="left" w:pos="2954"/>
        </w:tabs>
        <w:spacing w:line="60" w:lineRule="atLeast"/>
        <w:ind w:right="-22" w:firstLine="708"/>
        <w:jc w:val="both"/>
      </w:pPr>
      <w:r>
        <w:t xml:space="preserve">Relativ la ce de-a doua faptă imputată, nerespectarea secretului deliberării, Curtea observă că ceea ce susţine reclamantul este că, prin afirmaţia că „judecătorul fondului şi-a făcut treaba”, judecătorul </w:t>
      </w:r>
      <w:r w:rsidR="00CE46AC">
        <w:t>BC</w:t>
      </w:r>
      <w:r>
        <w:t xml:space="preserve"> a exprimat, de fapt, public aspecte care ţin de etapa procesuală a deliberării.</w:t>
      </w:r>
    </w:p>
    <w:p w:rsidR="00C129D0">
      <w:pPr>
        <w:tabs>
          <w:tab w:val="left" w:pos="2954"/>
        </w:tabs>
        <w:spacing w:line="60" w:lineRule="atLeast"/>
        <w:ind w:right="-22" w:firstLine="708"/>
        <w:jc w:val="both"/>
      </w:pPr>
      <w:r>
        <w:t>Curtea constată că exprimarea folosită de magistratul vizat de sesizare nu poate avea semnificaţia încălcării secretului deliberării întrucât nu vizează aspecte care au avut loc în etapa deliberării, fiind anterioare acestui moment.</w:t>
      </w:r>
    </w:p>
    <w:p w:rsidR="00C129D0">
      <w:pPr>
        <w:tabs>
          <w:tab w:val="left" w:pos="2954"/>
        </w:tabs>
        <w:spacing w:line="60" w:lineRule="atLeast"/>
        <w:ind w:right="-22" w:firstLine="708"/>
        <w:jc w:val="both"/>
      </w:pPr>
      <w:r>
        <w:t>Curtea mai arată că este lipsit de relevanţă faptul că judecătorul nu a exprimat un punct de vedere cu privire la sesizarea formulată de reclamant, niciun text de lege neacordând acestei tăceri vreo semnificaţie pe tărâm probator.</w:t>
      </w:r>
    </w:p>
    <w:p w:rsidR="00C129D0">
      <w:pPr>
        <w:tabs>
          <w:tab w:val="left" w:pos="2954"/>
        </w:tabs>
        <w:spacing w:line="60" w:lineRule="atLeast"/>
        <w:ind w:right="-22" w:firstLine="708"/>
        <w:jc w:val="both"/>
      </w:pPr>
      <w:r>
        <w:t>În sfârşit, în ceea ce priveşte afirmaţia reclamantului că este imposibil de probat reaua-credinţă a magistratului, Curtea observă că reclamantul face referire, de fapt, la dificultatea obţinerii probei, aspect care nu îl scuteşte totuşi de obligaţia de a–şi proba susţinerile, conform art. 249 C.pr.civ.</w:t>
      </w:r>
    </w:p>
    <w:p w:rsidR="00C129D0">
      <w:pPr>
        <w:tabs>
          <w:tab w:val="left" w:pos="2954"/>
        </w:tabs>
        <w:spacing w:line="60" w:lineRule="atLeast"/>
        <w:ind w:right="-22" w:firstLine="708"/>
        <w:jc w:val="both"/>
        <w:rPr>
          <w:rStyle w:val="Fontdeparagrafimplicit"/>
        </w:rPr>
      </w:pPr>
      <w:r>
        <w:rPr>
          <w:rStyle w:val="Fontdeparagrafimplicit"/>
          <w:lang w:val="en-US"/>
        </w:rPr>
        <w:t>Față</w:t>
      </w:r>
      <w:r>
        <w:rPr>
          <w:rStyle w:val="Fontdeparagrafimplicit"/>
          <w:lang w:val="en-US"/>
        </w:rPr>
        <w:t xml:space="preserve"> de </w:t>
      </w:r>
      <w:r>
        <w:rPr>
          <w:rStyle w:val="Fontdeparagrafimplicit"/>
          <w:lang w:val="en-US"/>
        </w:rPr>
        <w:t>aceste</w:t>
      </w:r>
      <w:r>
        <w:rPr>
          <w:rStyle w:val="Fontdeparagrafimplicit"/>
          <w:lang w:val="en-US"/>
        </w:rPr>
        <w:t xml:space="preserve"> </w:t>
      </w:r>
      <w:r>
        <w:rPr>
          <w:rStyle w:val="Fontdeparagrafimplicit"/>
          <w:lang w:val="en-US"/>
        </w:rPr>
        <w:t>considerente</w:t>
      </w:r>
      <w:r>
        <w:rPr>
          <w:rStyle w:val="Fontdeparagrafimplicit"/>
          <w:lang w:val="en-US"/>
        </w:rPr>
        <w:t xml:space="preserve">, </w:t>
      </w:r>
      <w:r>
        <w:t xml:space="preserve">constatând că soluția administrativă de clasare a sesizării </w:t>
      </w:r>
      <w:r>
        <w:t>este</w:t>
      </w:r>
      <w:r>
        <w:t xml:space="preserve"> legală și temeinică și că toate criticile formulate de reclamantă sunt nefondate</w:t>
      </w:r>
      <w:r>
        <w:rPr>
          <w:rStyle w:val="Fontdeparagrafimplicit"/>
          <w:lang w:val="en-US"/>
        </w:rPr>
        <w:t xml:space="preserve">, </w:t>
      </w:r>
      <w:r>
        <w:rPr>
          <w:rStyle w:val="Fontdeparagrafimplicit"/>
          <w:lang w:val="en-US"/>
        </w:rPr>
        <w:t>Curtea</w:t>
      </w:r>
      <w:r>
        <w:rPr>
          <w:rStyle w:val="Fontdeparagrafimplicit"/>
          <w:lang w:val="en-US"/>
        </w:rPr>
        <w:t xml:space="preserve">, </w:t>
      </w:r>
      <w:r>
        <w:rPr>
          <w:rStyle w:val="Fontdeparagrafimplicit"/>
          <w:lang w:val="en-US"/>
        </w:rPr>
        <w:t>în</w:t>
      </w:r>
      <w:r>
        <w:rPr>
          <w:rStyle w:val="Fontdeparagrafimplicit"/>
          <w:lang w:val="en-US"/>
        </w:rPr>
        <w:t xml:space="preserve"> </w:t>
      </w:r>
      <w:r>
        <w:rPr>
          <w:rStyle w:val="Fontdeparagrafimplicit"/>
          <w:lang w:val="en-US"/>
        </w:rPr>
        <w:t>baza</w:t>
      </w:r>
      <w:r>
        <w:rPr>
          <w:rStyle w:val="Fontdeparagrafimplicit"/>
          <w:lang w:val="en-US"/>
        </w:rPr>
        <w:t xml:space="preserve"> art. 47 din </w:t>
      </w:r>
      <w:r>
        <w:rPr>
          <w:rStyle w:val="Fontdeparagrafimplicit"/>
          <w:lang w:val="en-US"/>
        </w:rPr>
        <w:t>Legea</w:t>
      </w:r>
      <w:r>
        <w:rPr>
          <w:rStyle w:val="Fontdeparagrafimplicit"/>
          <w:lang w:val="en-US"/>
        </w:rPr>
        <w:t xml:space="preserve"> nr. </w:t>
      </w:r>
      <w:r>
        <w:rPr>
          <w:rStyle w:val="Fontdeparagrafimplicit"/>
          <w:lang w:val="en-US"/>
        </w:rPr>
        <w:t xml:space="preserve">317/2004 </w:t>
      </w:r>
      <w:r>
        <w:rPr>
          <w:rStyle w:val="Fontdeparagrafimplicit"/>
          <w:lang w:val="en-US"/>
        </w:rPr>
        <w:t>raportat</w:t>
      </w:r>
      <w:r>
        <w:rPr>
          <w:rStyle w:val="Fontdeparagrafimplicit"/>
          <w:lang w:val="en-US"/>
        </w:rPr>
        <w:t xml:space="preserve"> la art.</w:t>
      </w:r>
      <w:r>
        <w:rPr>
          <w:rStyle w:val="Fontdeparagrafimplicit"/>
          <w:lang w:val="en-US"/>
        </w:rPr>
        <w:t xml:space="preserve"> 18 din </w:t>
      </w:r>
      <w:r>
        <w:rPr>
          <w:rStyle w:val="Fontdeparagrafimplicit"/>
          <w:lang w:val="en-US"/>
        </w:rPr>
        <w:t>Legea</w:t>
      </w:r>
      <w:r>
        <w:rPr>
          <w:rStyle w:val="Fontdeparagrafimplicit"/>
          <w:lang w:val="en-US"/>
        </w:rPr>
        <w:t xml:space="preserve"> nr. 554/2004, </w:t>
      </w:r>
      <w:r>
        <w:rPr>
          <w:rStyle w:val="Fontdeparagrafimplicit"/>
          <w:lang w:val="en-US"/>
        </w:rPr>
        <w:t>va</w:t>
      </w:r>
      <w:r>
        <w:rPr>
          <w:rStyle w:val="Fontdeparagrafimplicit"/>
          <w:lang w:val="en-US"/>
        </w:rPr>
        <w:t xml:space="preserve"> </w:t>
      </w:r>
      <w:r>
        <w:rPr>
          <w:rStyle w:val="Fontdeparagrafimplicit"/>
          <w:lang w:val="en-US"/>
        </w:rPr>
        <w:t>respinge</w:t>
      </w:r>
      <w:r>
        <w:rPr>
          <w:rStyle w:val="Fontdeparagrafimplicit"/>
          <w:lang w:val="en-US"/>
        </w:rPr>
        <w:t xml:space="preserve"> </w:t>
      </w:r>
      <w:r>
        <w:rPr>
          <w:rStyle w:val="Fontdeparagrafimplicit"/>
          <w:lang w:val="en-US"/>
        </w:rPr>
        <w:t>acțiunea</w:t>
      </w:r>
      <w:r>
        <w:rPr>
          <w:rStyle w:val="Fontdeparagrafimplicit"/>
          <w:lang w:val="en-US"/>
        </w:rPr>
        <w:t xml:space="preserve"> ca </w:t>
      </w:r>
      <w:r>
        <w:rPr>
          <w:rStyle w:val="Fontdeparagrafimplicit"/>
          <w:lang w:val="en-US"/>
        </w:rPr>
        <w:t>neîntemeiată</w:t>
      </w:r>
      <w:r>
        <w:rPr>
          <w:rStyle w:val="Fontdeparagrafimplicit"/>
          <w:lang w:val="en-US"/>
        </w:rPr>
        <w:t>.</w:t>
      </w:r>
    </w:p>
    <w:p w:rsidR="00C129D0">
      <w:pPr>
        <w:jc w:val="center"/>
        <w:rPr>
          <w:rStyle w:val="Fontdeparagrafimplicit"/>
          <w:b/>
        </w:rPr>
      </w:pPr>
    </w:p>
    <w:p w:rsidR="00C129D0">
      <w:pPr>
        <w:jc w:val="center"/>
        <w:rPr>
          <w:rStyle w:val="Fontdeparagrafimplicit"/>
          <w:b/>
        </w:rPr>
      </w:pPr>
      <w:r>
        <w:rPr>
          <w:rStyle w:val="Fontdeparagrafimplicit"/>
          <w:b/>
        </w:rPr>
        <w:t>PENTRU ACESTE MOTIVE,</w:t>
      </w:r>
    </w:p>
    <w:p w:rsidR="00C129D0">
      <w:pPr>
        <w:jc w:val="center"/>
        <w:rPr>
          <w:rStyle w:val="Fontdeparagrafimplicit"/>
          <w:b/>
        </w:rPr>
      </w:pPr>
      <w:r>
        <w:rPr>
          <w:rStyle w:val="Fontdeparagrafimplicit"/>
          <w:b/>
        </w:rPr>
        <w:t>ÎN NUMELE LEGII,</w:t>
      </w:r>
    </w:p>
    <w:p w:rsidR="00C129D0">
      <w:pPr>
        <w:jc w:val="center"/>
        <w:rPr>
          <w:rStyle w:val="Fontdeparagrafimplicit"/>
          <w:b/>
        </w:rPr>
      </w:pPr>
      <w:r>
        <w:rPr>
          <w:rStyle w:val="Fontdeparagrafimplicit"/>
          <w:b/>
        </w:rPr>
        <w:t>HOTĂRĂŞTE:</w:t>
      </w:r>
    </w:p>
    <w:p w:rsidR="00C129D0">
      <w:pPr>
        <w:jc w:val="both"/>
        <w:rPr>
          <w:rStyle w:val="Fontdeparagrafimplicit"/>
        </w:rPr>
      </w:pPr>
    </w:p>
    <w:p w:rsidR="00C129D0">
      <w:pPr>
        <w:jc w:val="both"/>
      </w:pPr>
      <w:r>
        <w:tab/>
        <w:t xml:space="preserve">Respinge contestaţia formulată de reclamanta </w:t>
      </w:r>
      <w:r w:rsidR="00CE46AC">
        <w:rPr>
          <w:rStyle w:val="Fontdeparagrafimplicit"/>
          <w:b/>
        </w:rPr>
        <w:t>AB</w:t>
      </w:r>
      <w:r>
        <w:t>, cu sediul în</w:t>
      </w:r>
      <w:r w:rsidR="00474497">
        <w:t xml:space="preserve"> .............</w:t>
      </w:r>
      <w:r>
        <w:t xml:space="preserve">, str. </w:t>
      </w:r>
      <w:r w:rsidR="00474497">
        <w:t xml:space="preserve">.......... </w:t>
      </w:r>
      <w:r>
        <w:t>nr</w:t>
      </w:r>
      <w:r w:rsidR="00474497">
        <w:t>.........</w:t>
      </w:r>
      <w:r>
        <w:t xml:space="preserve">, jud. </w:t>
      </w:r>
      <w:r w:rsidR="00CE46AC">
        <w:t>...........</w:t>
      </w:r>
      <w:r>
        <w:t xml:space="preserve">, în contradictoriu cu pârâta </w:t>
      </w:r>
      <w:r>
        <w:rPr>
          <w:rStyle w:val="Fontdeparagrafimplicit"/>
          <w:b/>
        </w:rPr>
        <w:t>Inspecţia Judiciară,</w:t>
      </w:r>
      <w:r>
        <w:t xml:space="preserve"> cu sediul în</w:t>
      </w:r>
      <w:r w:rsidR="00474497">
        <w:t>.........</w:t>
      </w:r>
      <w:r>
        <w:t xml:space="preserve">, B-dul </w:t>
      </w:r>
      <w:r w:rsidR="00474497">
        <w:t>............ nr........., .........</w:t>
      </w:r>
      <w:r>
        <w:t xml:space="preserve">, ca nefondată. </w:t>
      </w:r>
    </w:p>
    <w:p w:rsidR="00C129D0">
      <w:pPr>
        <w:ind w:firstLine="708"/>
        <w:jc w:val="both"/>
      </w:pPr>
      <w:r>
        <w:t>Cu recurs în termen de 15 zile de la comunicare, calea de atac urmând a fi depusă la Curtea de Apel</w:t>
      </w:r>
      <w:r w:rsidR="00474497">
        <w:t>............</w:t>
      </w:r>
      <w:r>
        <w:t xml:space="preserve">. </w:t>
      </w:r>
    </w:p>
    <w:p w:rsidR="00C129D0">
      <w:pPr>
        <w:ind w:firstLine="708"/>
        <w:jc w:val="both"/>
      </w:pPr>
      <w:r>
        <w:t>Pronunţată azi,</w:t>
      </w:r>
      <w:r w:rsidR="00CE46AC">
        <w:t>............</w:t>
      </w:r>
      <w:r>
        <w:t>, prin punerea soluţiei la dispoziţia părţilor prin mijlocirea instanţei.</w:t>
      </w:r>
    </w:p>
    <w:p w:rsidR="00C129D0">
      <w:pPr>
        <w:tabs>
          <w:tab w:val="left" w:pos="0"/>
        </w:tabs>
        <w:rPr>
          <w:rStyle w:val="Fontdeparagrafimplicit"/>
          <w:b/>
        </w:rPr>
      </w:pPr>
      <w:r>
        <w:rPr>
          <w:rStyle w:val="Fontdeparagrafimplicit"/>
          <w:b/>
        </w:rPr>
        <w:tab/>
        <w:t>PREŞEDINTE,                                                                                   GREFIER,</w:t>
      </w:r>
    </w:p>
    <w:p w:rsidR="00C129D0">
      <w:pPr>
        <w:tabs>
          <w:tab w:val="left" w:pos="0"/>
        </w:tabs>
      </w:pPr>
      <w:r>
        <w:t xml:space="preserve">           </w:t>
      </w:r>
      <w:r w:rsidR="00CE46AC">
        <w:t>CANDIDAT A0009</w:t>
      </w:r>
      <w:r w:rsidR="00F327DD">
        <w:t xml:space="preserve">                                                                             </w:t>
      </w:r>
      <w:r w:rsidR="00CE46AC">
        <w:t>.................</w:t>
      </w:r>
      <w:r w:rsidR="00F327DD">
        <w:t xml:space="preserve"> </w:t>
      </w:r>
    </w:p>
    <w:p w:rsidR="00C129D0">
      <w:pPr>
        <w:ind w:firstLine="708"/>
        <w:jc w:val="both"/>
        <w:rPr>
          <w:rStyle w:val="Fontdeparagrafimplicit"/>
          <w:sz w:val="20"/>
        </w:rPr>
      </w:pPr>
    </w:p>
    <w:p w:rsidR="00C129D0">
      <w:pPr>
        <w:ind w:firstLine="708"/>
        <w:jc w:val="both"/>
        <w:rPr>
          <w:rStyle w:val="Fontdeparagrafimplicit"/>
          <w:sz w:val="20"/>
        </w:rPr>
      </w:pPr>
      <w:r>
        <w:rPr>
          <w:rStyle w:val="Fontdeparagrafimplicit"/>
          <w:sz w:val="20"/>
        </w:rPr>
        <w:t xml:space="preserve">Red. </w:t>
      </w:r>
      <w:r w:rsidR="00474497">
        <w:rPr>
          <w:rStyle w:val="Fontdeparagrafimplicit"/>
          <w:sz w:val="20"/>
        </w:rPr>
        <w:t>CANDIDAT A0009</w:t>
      </w:r>
      <w:r>
        <w:rPr>
          <w:rStyle w:val="Fontdeparagrafimplicit"/>
          <w:sz w:val="20"/>
        </w:rPr>
        <w:t>/4ex.</w:t>
      </w:r>
    </w:p>
    <w:p w:rsidR="00C129D0">
      <w:pPr>
        <w:rPr>
          <w:rStyle w:val="Fontdeparagrafimplicit"/>
        </w:rPr>
      </w:pPr>
    </w:p>
    <w:sectPr w:rsidSect="00C129D0">
      <w:pgSz w:w="11906" w:h="16838"/>
      <w:pgMar w:top="851" w:right="851" w:bottom="851" w:left="1985"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6B373F1"/>
    <w:multiLevelType w:val="multilevel"/>
    <w:tmpl w:val="F2624F20"/>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1">
    <w:nsid w:val="67200F6F"/>
    <w:multiLevelType w:val="multilevel"/>
    <w:tmpl w:val="1280333E"/>
    <w:lvl w:ilvl="0">
      <w:start w:val="2"/>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6CA010E4"/>
    <w:multiLevelType w:val="hybridMultilevel"/>
    <w:tmpl w:val="29EA489E"/>
    <w:lvl w:ilvl="0">
      <w:start w:val="3"/>
      <w:numFmt w:val="bullet"/>
      <w:lvlText w:val="-"/>
      <w:lvlJc w:val="left"/>
      <w:pPr>
        <w:ind w:left="927" w:hanging="360"/>
      </w:pPr>
      <w:rPr>
        <w:rFonts w:ascii="Times New Roman" w:hAnsi="Times New Roman"/>
      </w:rPr>
    </w:lvl>
    <w:lvl w:ilvl="1">
      <w:start w:val="1"/>
      <w:numFmt w:val="bullet"/>
      <w:lvlText w:val="o"/>
      <w:lvlJc w:val="left"/>
      <w:pPr>
        <w:ind w:left="1647" w:hanging="360"/>
      </w:pPr>
      <w:rPr>
        <w:rFonts w:ascii="Courier New" w:hAnsi="Courier New"/>
      </w:rPr>
    </w:lvl>
    <w:lvl w:ilvl="2">
      <w:start w:val="1"/>
      <w:numFmt w:val="bullet"/>
      <w:lvlText w:val=""/>
      <w:lvlJc w:val="left"/>
      <w:pPr>
        <w:ind w:left="2367" w:hanging="360"/>
      </w:pPr>
      <w:rPr>
        <w:rFonts w:ascii="Wingdings" w:hAnsi="Wingdings"/>
      </w:rPr>
    </w:lvl>
    <w:lvl w:ilvl="3">
      <w:start w:val="1"/>
      <w:numFmt w:val="bullet"/>
      <w:lvlText w:val=""/>
      <w:lvlJc w:val="left"/>
      <w:pPr>
        <w:ind w:left="3087" w:hanging="360"/>
      </w:pPr>
      <w:rPr>
        <w:rFonts w:ascii="Symbol" w:hAnsi="Symbol"/>
      </w:rPr>
    </w:lvl>
    <w:lvl w:ilvl="4">
      <w:start w:val="1"/>
      <w:numFmt w:val="bullet"/>
      <w:lvlText w:val="o"/>
      <w:lvlJc w:val="left"/>
      <w:pPr>
        <w:ind w:left="3807" w:hanging="360"/>
      </w:pPr>
      <w:rPr>
        <w:rFonts w:ascii="Courier New" w:hAnsi="Courier New"/>
      </w:rPr>
    </w:lvl>
    <w:lvl w:ilvl="5">
      <w:start w:val="1"/>
      <w:numFmt w:val="bullet"/>
      <w:lvlText w:val=""/>
      <w:lvlJc w:val="left"/>
      <w:pPr>
        <w:ind w:left="4527" w:hanging="360"/>
      </w:pPr>
      <w:rPr>
        <w:rFonts w:ascii="Wingdings" w:hAnsi="Wingdings"/>
      </w:rPr>
    </w:lvl>
    <w:lvl w:ilvl="6">
      <w:start w:val="1"/>
      <w:numFmt w:val="bullet"/>
      <w:lvlText w:val=""/>
      <w:lvlJc w:val="left"/>
      <w:pPr>
        <w:ind w:left="5247" w:hanging="360"/>
      </w:pPr>
      <w:rPr>
        <w:rFonts w:ascii="Symbol" w:hAnsi="Symbol"/>
      </w:rPr>
    </w:lvl>
    <w:lvl w:ilvl="7">
      <w:start w:val="1"/>
      <w:numFmt w:val="bullet"/>
      <w:lvlText w:val="o"/>
      <w:lvlJc w:val="left"/>
      <w:pPr>
        <w:ind w:left="5967" w:hanging="360"/>
      </w:pPr>
      <w:rPr>
        <w:rFonts w:ascii="Courier New" w:hAnsi="Courier New"/>
      </w:rPr>
    </w:lvl>
    <w:lvl w:ilvl="8">
      <w:start w:val="1"/>
      <w:numFmt w:val="bullet"/>
      <w:lvlText w:val=""/>
      <w:lvlJc w:val="left"/>
      <w:pPr>
        <w:ind w:left="6687" w:hanging="360"/>
      </w:pPr>
      <w:rPr>
        <w:rFonts w:ascii="Wingdings" w:hAnsi="Wingdings"/>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20"/>
  <w:hyphenationZone w:val="425"/>
  <w:characterSpacingControl w:val="doNotCompress"/>
  <w:compat/>
  <w:rsids>
    <w:rsidRoot w:val="00C129D0"/>
    <w:rsid w:val="00474497"/>
    <w:rsid w:val="00C129D0"/>
    <w:rsid w:val="00CE46AC"/>
    <w:rsid w:val="00EB4146"/>
    <w:rsid w:val="00F327DD"/>
  </w:rsids>
  <w:docVars>
    <w:docVar w:name="url" w:val="http://10.1.48.53:80/ecris_cdms/document_upload.aspx?id_document=200000004742175&amp;id_departament=58&amp;id_sesiune=5198075&amp;id_user=1229&amp;id_institutie=2&amp;actiune=modifica"/>
  </w:docVars>
  <m:mathPr>
    <m:mathFont m:val="Cambria Math"/>
  </m:mathPr>
  <w:themeFontLang w:val="ro-RO"/>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29D0"/>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
    <w:name w:val="Titlu 1"/>
    <w:basedOn w:val="Normal"/>
    <w:next w:val="Normal"/>
    <w:qFormat/>
    <w:rsid w:val="00C129D0"/>
    <w:pPr>
      <w:keepNext/>
      <w:jc w:val="center"/>
      <w:outlineLvl w:val="0"/>
    </w:pPr>
    <w:rPr>
      <w:b/>
      <w:sz w:val="28"/>
      <w:lang w:val="en-US"/>
    </w:rPr>
  </w:style>
  <w:style w:type="paragraph" w:styleId="NormalWeb">
    <w:name w:val="Normal (Web)"/>
    <w:basedOn w:val="Normal"/>
    <w:rsid w:val="00C129D0"/>
    <w:pPr>
      <w:spacing w:before="100" w:beforeAutospacing="1" w:after="100" w:afterAutospacing="1"/>
    </w:pPr>
  </w:style>
  <w:style w:type="character" w:styleId="LineNumber">
    <w:name w:val="line number"/>
    <w:basedOn w:val="DefaultParagraphFont"/>
    <w:semiHidden/>
    <w:rsid w:val="00C129D0"/>
  </w:style>
  <w:style w:type="character" w:styleId="Hyperlink">
    <w:name w:val="Hyperlink"/>
    <w:rsid w:val="00C129D0"/>
    <w:rPr>
      <w:color w:val="0000FF"/>
      <w:u w:val="single"/>
    </w:rPr>
  </w:style>
  <w:style w:type="character" w:customStyle="1" w:styleId="Fontdeparagrafimplicit">
    <w:name w:val="Font de paragraf implicit"/>
    <w:rsid w:val="00C129D0"/>
  </w:style>
  <w:style w:type="table" w:styleId="TableSimple1">
    <w:name w:val="Table Simple 1"/>
    <w:basedOn w:val="TableNormal"/>
    <w:rsid w:val="00C129D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elNormal">
    <w:name w:val="Tabel Normal"/>
    <w:rsid w:val="00C129D0"/>
    <w:tblPr>
      <w:tblInd w:w="0" w:type="dxa"/>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s://sintact.ro/" TargetMode="Externa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19</ap:TotalTime>
  <ap:Pages>8</ap:Pages>
  <ap:Words>4590</ap:Words>
  <ap:Characters>26625</ap:Characters>
  <ap:Application>Microsoft Office Word</ap:Application>
  <ap:DocSecurity>0</ap:DocSecurity>
  <ap:Lines>221</ap:Lines>
  <ap:Paragraphs>62</ap:Paragraphs>
  <ap:ScaleCrop>false</ap:ScaleCrop>
  <ap:HeadingPairs>
    <vt:vector baseType="variant" size="2">
      <vt:variant>
        <vt:lpstr>Title</vt:lpstr>
      </vt:variant>
      <vt:variant>
        <vt:i4>1</vt:i4>
      </vt:variant>
    </vt:vector>
  </ap:HeadingPairs>
  <ap:TitlesOfParts>
    <vt:vector baseType="lpstr" size="1">
      <vt:lpstr>Numar dosar ﷡﷡﷡﷡﷡</vt:lpstr>
    </vt:vector>
  </ap:TitlesOfParts>
  <ap:CharactersWithSpaces>31153</ap:CharactersWithSpaces>
  <ap:HyperlinksChanged>false</ap:HyperlinksChanged>
  <ap:AppVersion>12.0000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