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31A" w:rsidRPr="00506848" w:rsidRDefault="00506848" w:rsidP="00506848">
      <w:pPr>
        <w:pStyle w:val="DecHTitle"/>
        <w:rPr>
          <w:b/>
        </w:rPr>
      </w:pPr>
      <w:bookmarkStart w:id="0" w:name="_GoBack"/>
      <w:bookmarkEnd w:id="0"/>
      <w:r>
        <w:rPr>
          <w:b/>
        </w:rPr>
        <w:t>CURTEA EUROPEANĂ A DREPTURILOR OMULUI</w:t>
      </w:r>
    </w:p>
    <w:p w:rsidR="0098410D" w:rsidRPr="00605A5B" w:rsidRDefault="0098410D" w:rsidP="00605A5B">
      <w:pPr>
        <w:jc w:val="center"/>
      </w:pPr>
    </w:p>
    <w:p w:rsidR="0098410D" w:rsidRPr="00605A5B" w:rsidRDefault="006A210F" w:rsidP="00605A5B">
      <w:pPr>
        <w:pStyle w:val="DecHTitle"/>
      </w:pPr>
      <w:r>
        <w:t>SECȚIA A PATRA</w:t>
      </w:r>
    </w:p>
    <w:p w:rsidR="008E6217" w:rsidRPr="00605A5B" w:rsidRDefault="006A210F" w:rsidP="00605A5B">
      <w:pPr>
        <w:pStyle w:val="JuTitle"/>
      </w:pPr>
      <w:r>
        <w:t>CAUZA M.S. ȘI ALȚII ÎMPOTRIVA ROMÂNIEI</w:t>
      </w:r>
    </w:p>
    <w:p w:rsidR="00D74888" w:rsidRPr="00605A5B" w:rsidRDefault="006A210F" w:rsidP="00605A5B">
      <w:pPr>
        <w:pStyle w:val="ECHRCoverTitle4"/>
      </w:pPr>
      <w:r>
        <w:t>(cererea nr. 27737/22)</w:t>
      </w:r>
    </w:p>
    <w:p w:rsidR="0098410D" w:rsidRPr="00605A5B" w:rsidRDefault="0098410D" w:rsidP="00605A5B">
      <w:pPr>
        <w:pStyle w:val="DecHCase"/>
      </w:pPr>
    </w:p>
    <w:p w:rsidR="0054716E" w:rsidRPr="00605A5B" w:rsidRDefault="0054716E" w:rsidP="00605A5B">
      <w:pPr>
        <w:pStyle w:val="DecHCase"/>
      </w:pPr>
    </w:p>
    <w:p w:rsidR="0054716E" w:rsidRPr="00605A5B" w:rsidRDefault="0054716E" w:rsidP="00605A5B">
      <w:pPr>
        <w:pStyle w:val="DecHCase"/>
      </w:pPr>
    </w:p>
    <w:p w:rsidR="0098410D" w:rsidRPr="00605A5B" w:rsidRDefault="0098410D" w:rsidP="00605A5B">
      <w:pPr>
        <w:pStyle w:val="DecHCase"/>
      </w:pPr>
    </w:p>
    <w:p w:rsidR="00AC4CD4" w:rsidRPr="00605A5B" w:rsidRDefault="00AC4CD4" w:rsidP="00605A5B">
      <w:pPr>
        <w:pStyle w:val="DecHCase"/>
      </w:pPr>
    </w:p>
    <w:p w:rsidR="0098410D" w:rsidRPr="00605A5B" w:rsidRDefault="0098410D" w:rsidP="00605A5B">
      <w:pPr>
        <w:pStyle w:val="DecHCase"/>
      </w:pPr>
    </w:p>
    <w:p w:rsidR="0098410D" w:rsidRPr="00605A5B" w:rsidRDefault="006A210F" w:rsidP="00605A5B">
      <w:pPr>
        <w:pStyle w:val="DecHCase"/>
      </w:pPr>
      <w:r>
        <w:t>HOTĂRÂRE</w:t>
      </w:r>
      <w:r>
        <w:br/>
      </w:r>
    </w:p>
    <w:p w:rsidR="0098410D" w:rsidRPr="00605A5B" w:rsidRDefault="006A210F" w:rsidP="00605A5B">
      <w:pPr>
        <w:pStyle w:val="DecHCase"/>
      </w:pPr>
      <w:r>
        <w:t>STRASBOURG</w:t>
      </w:r>
    </w:p>
    <w:p w:rsidR="0098410D" w:rsidRPr="00605A5B" w:rsidRDefault="006A210F" w:rsidP="00605A5B">
      <w:pPr>
        <w:pStyle w:val="DecHCase"/>
      </w:pPr>
      <w:r>
        <w:rPr>
          <w:rFonts w:ascii="Times New Roman" w:hAnsi="Times New Roman"/>
        </w:rPr>
        <w:t>16 iunie 2026</w:t>
      </w:r>
    </w:p>
    <w:p w:rsidR="00AC4CD4" w:rsidRPr="00605A5B" w:rsidRDefault="00AC4CD4" w:rsidP="00605A5B">
      <w:pPr>
        <w:pStyle w:val="JuPara"/>
        <w:ind w:firstLine="0"/>
      </w:pPr>
    </w:p>
    <w:p w:rsidR="002422B6" w:rsidRPr="00605A5B" w:rsidRDefault="006A210F" w:rsidP="00605A5B">
      <w:pPr>
        <w:rPr>
          <w:i/>
          <w:sz w:val="22"/>
        </w:rPr>
      </w:pPr>
      <w:r>
        <w:rPr>
          <w:i/>
          <w:sz w:val="22"/>
        </w:rPr>
        <w:t>Prezenta hotărâre este definitivă, dar poate suferi modificări de formă.</w:t>
      </w:r>
    </w:p>
    <w:p w:rsidR="0098410D" w:rsidRPr="00605A5B" w:rsidRDefault="0098410D" w:rsidP="00605A5B">
      <w:pPr>
        <w:sectPr w:rsidR="0098410D" w:rsidRPr="00605A5B" w:rsidSect="00545710">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1134" w:right="1134" w:bottom="1134" w:left="1701" w:header="1191" w:footer="720" w:gutter="0"/>
          <w:pgNumType w:start="1"/>
          <w:cols w:space="720"/>
          <w:noEndnote/>
          <w:titlePg/>
          <w:docGrid w:linePitch="326"/>
        </w:sectPr>
      </w:pPr>
    </w:p>
    <w:p w:rsidR="0098410D" w:rsidRPr="00605A5B" w:rsidRDefault="006A210F" w:rsidP="00605A5B">
      <w:pPr>
        <w:pStyle w:val="JuCase"/>
      </w:pPr>
      <w:r>
        <w:lastRenderedPageBreak/>
        <w:t>În cauza M.S. și alții împotriva României,</w:t>
      </w:r>
    </w:p>
    <w:p w:rsidR="009F4C8F" w:rsidRPr="00605A5B" w:rsidRDefault="006A210F" w:rsidP="00605A5B">
      <w:pPr>
        <w:pStyle w:val="JuPara"/>
      </w:pPr>
      <w:r>
        <w:t>Curtea Europeană a Drepturilor Omului (Secția a patra), reunită într-o cameră compusă din:</w:t>
      </w:r>
    </w:p>
    <w:p w:rsidR="00A92625" w:rsidRPr="00605A5B" w:rsidRDefault="006A210F" w:rsidP="00605A5B">
      <w:pPr>
        <w:pStyle w:val="JuJudges"/>
      </w:pPr>
      <w:r>
        <w:tab/>
        <w:t>Ana Maria Guerra Martins</w:t>
      </w:r>
      <w:r>
        <w:rPr>
          <w:i/>
        </w:rPr>
        <w:t>, președinte</w:t>
      </w:r>
      <w:r>
        <w:t>,</w:t>
      </w:r>
      <w:r>
        <w:br/>
      </w:r>
      <w:r>
        <w:tab/>
        <w:t>Anne Louise Bormann,</w:t>
      </w:r>
      <w:r>
        <w:br/>
      </w:r>
      <w:r>
        <w:tab/>
        <w:t>Sebastian Răduleţu</w:t>
      </w:r>
      <w:r>
        <w:rPr>
          <w:i/>
        </w:rPr>
        <w:t>, judecători</w:t>
      </w:r>
      <w:r>
        <w:t>,</w:t>
      </w:r>
      <w:r>
        <w:br/>
        <w:t xml:space="preserve">și Valentin Nicolescu, </w:t>
      </w:r>
      <w:r>
        <w:rPr>
          <w:i/>
          <w:iCs/>
        </w:rPr>
        <w:t>grefier adjunct interimar de secție</w:t>
      </w:r>
      <w:r>
        <w:rPr>
          <w:i/>
        </w:rPr>
        <w:t>,</w:t>
      </w:r>
    </w:p>
    <w:p w:rsidR="0084331A" w:rsidRPr="00605A5B" w:rsidRDefault="006A210F" w:rsidP="00605A5B">
      <w:pPr>
        <w:pStyle w:val="JuPara"/>
      </w:pPr>
      <w:r>
        <w:t>având în vedere:</w:t>
      </w:r>
    </w:p>
    <w:p w:rsidR="0084331A" w:rsidRPr="00605A5B" w:rsidRDefault="006A210F" w:rsidP="00605A5B">
      <w:pPr>
        <w:pStyle w:val="JuPara"/>
      </w:pPr>
      <w:r>
        <w:t>cererea (nr. 27737/22) îndreptată împotriva României, prin care trei resortisanți ai acestui stat, ale căror date relevante sunt prezentate în tabelul anexat („reclamanții”) și care au fost reprezentați de domnul F.A. Dumitrescu, avocat în București, au sesizat Curtea la 2 iunie 2022, în temeiul art. 34 din Convenția pentru apărarea drepturilor omului și a libertăților fundamentale („Convenția”);</w:t>
      </w:r>
    </w:p>
    <w:p w:rsidR="0084331A" w:rsidRPr="00605A5B" w:rsidRDefault="006A210F" w:rsidP="00605A5B">
      <w:pPr>
        <w:pStyle w:val="JuPara"/>
      </w:pPr>
      <w:r>
        <w:t>decizia de a comunica această cerere Guvernului României („Guvernul”), reprezentat de agentul guvernamental, doamna O.F. Ezer, din cadrul Ministerului Afacerilor Externe;</w:t>
      </w:r>
    </w:p>
    <w:p w:rsidR="0084331A" w:rsidRPr="00605A5B" w:rsidRDefault="006A210F" w:rsidP="00605A5B">
      <w:pPr>
        <w:pStyle w:val="JuPara"/>
      </w:pPr>
      <w:r>
        <w:t>decizia de a nu divulga numele reclamanților;</w:t>
      </w:r>
    </w:p>
    <w:p w:rsidR="0084331A" w:rsidRPr="00605A5B" w:rsidRDefault="006A210F" w:rsidP="00605A5B">
      <w:pPr>
        <w:pStyle w:val="JuPara"/>
      </w:pPr>
      <w:r>
        <w:t>observațiile părților;</w:t>
      </w:r>
    </w:p>
    <w:p w:rsidR="009F4C8F" w:rsidRPr="00605A5B" w:rsidRDefault="006A210F" w:rsidP="00605A5B">
      <w:pPr>
        <w:pStyle w:val="JuPara"/>
      </w:pPr>
      <w:r>
        <w:t>după ce a deliberat în camera de consiliu, la 26 mai 2026,</w:t>
      </w:r>
    </w:p>
    <w:p w:rsidR="009F4C8F" w:rsidRPr="00605A5B" w:rsidRDefault="006A210F" w:rsidP="00605A5B">
      <w:pPr>
        <w:pStyle w:val="JuPara"/>
      </w:pPr>
      <w:r>
        <w:t>pronunță prezenta hotărâre, adoptată la aceeași dată:</w:t>
      </w:r>
    </w:p>
    <w:p w:rsidR="0084331A" w:rsidRPr="00605A5B" w:rsidRDefault="006A210F" w:rsidP="00605A5B">
      <w:pPr>
        <w:pStyle w:val="JuHHead"/>
      </w:pPr>
      <w:r>
        <w:t>OBIECTUL CAUZEI</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1</w:t>
      </w:r>
      <w:r w:rsidRPr="00605A5B">
        <w:fldChar w:fldCharType="end"/>
      </w:r>
      <w:r>
        <w:t>. Cererea privește o anchetă penală desfășurată în urma unei plângeri formulate de prima reclamantă, potrivit căreia copiii săi (a doua reclamantă și al treilea reclamant, născuți în 2010 și, respectiv, 2016) au fost victime ale unui abuz asupra copiilor.</w:t>
      </w:r>
    </w:p>
    <w:p w:rsidR="0084331A" w:rsidRPr="00605A5B" w:rsidRDefault="004B7D60" w:rsidP="00605A5B">
      <w:pPr>
        <w:pStyle w:val="JuPara"/>
      </w:pPr>
      <w:fldSimple w:instr=" SEQ level0 \*arabic \* MERGEFORMAT ">
        <w:bookmarkStart w:id="1" w:name="paragraph00002"/>
        <w:r w:rsidR="00605A5B" w:rsidRPr="00605A5B">
          <w:t>2</w:t>
        </w:r>
        <w:bookmarkEnd w:id="1"/>
      </w:fldSimple>
      <w:r w:rsidR="007E6111">
        <w:t xml:space="preserve">. Prima reclamantă a inițiat procedura de divorț și de încredințare a copiilor în 2017. În cursul acestor proceduri s-a stabilit, cu titlu provizoriu, că a doua reclamantă și al treilea reclamant – o fată în vârstă de </w:t>
      </w:r>
      <w:r w:rsidR="004D52DE">
        <w:t>7 </w:t>
      </w:r>
      <w:r w:rsidR="007E6111">
        <w:t>ani și un băiat în vârstă de un an la momentul respectiv – urmau să locuiască împreună cu ea. Tatălui copiilor, A., i s-a acordat dreptul de vizitare a acestora. Ulterior, prima reclamantă a susținut că, în timpul vizitelor sale, A. a săvârșit acte de violență în familie împotriva ei, precum și împotriva celei de a doua reclamante și a celui de al treilea reclamant, în special împotriva fiicei lor (a doua reclamantă).</w:t>
      </w:r>
    </w:p>
    <w:p w:rsidR="0084331A" w:rsidRPr="00605A5B" w:rsidRDefault="004B7D60" w:rsidP="00605A5B">
      <w:pPr>
        <w:pStyle w:val="JuPara"/>
      </w:pPr>
      <w:fldSimple w:instr=" SEQ level0 \*arabic \* MERGEFORMAT ">
        <w:bookmarkStart w:id="2" w:name="paragraph00003"/>
        <w:r w:rsidR="00605A5B" w:rsidRPr="00605A5B">
          <w:t>3</w:t>
        </w:r>
        <w:bookmarkEnd w:id="2"/>
      </w:fldSimple>
      <w:r w:rsidR="007E6111">
        <w:t>. La 13 iulie 2018, în cadrul unei plângeri olografe adresate poliției, care a fost inclusă ulterior într-un dosar penal (a se vedea infra, pct. </w:t>
      </w:r>
      <w:r w:rsidR="006A210F" w:rsidRPr="00605A5B">
        <w:fldChar w:fldCharType="begin"/>
      </w:r>
      <w:r w:rsidR="006A210F" w:rsidRPr="00605A5B">
        <w:instrText xml:space="preserve"> REF paragraph00005 \h  \* CharFormat </w:instrText>
      </w:r>
      <w:r w:rsidR="006A210F" w:rsidRPr="00605A5B">
        <w:fldChar w:fldCharType="separate"/>
      </w:r>
      <w:r w:rsidR="00605A5B" w:rsidRPr="00605A5B">
        <w:t>6</w:t>
      </w:r>
      <w:r w:rsidR="006A210F" w:rsidRPr="00605A5B">
        <w:fldChar w:fldCharType="end"/>
      </w:r>
      <w:r w:rsidR="007E6111">
        <w:t>), prima reclamantă s-a plâns că A. era violent față de ea și de copii și că se simțea amenințată.</w:t>
      </w:r>
    </w:p>
    <w:p w:rsidR="0084331A" w:rsidRPr="00605A5B" w:rsidRDefault="004B7D60" w:rsidP="00605A5B">
      <w:pPr>
        <w:pStyle w:val="JuPara"/>
      </w:pPr>
      <w:fldSimple w:instr=" SEQ level0 \*arabic \* MERGEFORMAT ">
        <w:bookmarkStart w:id="3" w:name="paragraph00004"/>
        <w:r w:rsidR="00605A5B" w:rsidRPr="00605A5B">
          <w:t>4</w:t>
        </w:r>
        <w:bookmarkEnd w:id="3"/>
      </w:fldSimple>
      <w:r w:rsidR="007E6111">
        <w:t>. Într-un raport de expertiză medico-legală, întocmit la 4 decembrie 2018 de Institutul Național de Medicină Legală (denumit în continuare „INML”), s-a constatat că a doua reclamantă prezenta două echimoze pe brațul drept (cu dimensiunea de 15 cm și, respectiv, 7,5 cm), cauzate de un traumatism pe care l-ar fi putut suferi în ziua respectivă.</w:t>
      </w:r>
    </w:p>
    <w:bookmarkStart w:id="4" w:name="paragraph5draftADD"/>
    <w:p w:rsidR="0084331A" w:rsidRPr="00605A5B" w:rsidRDefault="006A210F" w:rsidP="00605A5B">
      <w:pPr>
        <w:pStyle w:val="JuPara"/>
      </w:pPr>
      <w:r w:rsidRPr="00605A5B">
        <w:fldChar w:fldCharType="begin"/>
      </w:r>
      <w:r w:rsidRPr="00605A5B">
        <w:instrText xml:space="preserve"> SEQ level0 \*arabic \* MERGEFORMAT </w:instrText>
      </w:r>
      <w:r w:rsidRPr="00605A5B">
        <w:fldChar w:fldCharType="separate"/>
      </w:r>
      <w:r w:rsidR="00605A5B" w:rsidRPr="00605A5B">
        <w:t>5</w:t>
      </w:r>
      <w:r w:rsidRPr="00605A5B">
        <w:fldChar w:fldCharType="end"/>
      </w:r>
      <w:bookmarkEnd w:id="4"/>
      <w:r>
        <w:t xml:space="preserve">. La 5 decembrie 2018, prima reclamantă a depus o plângere penală privind pretinsul comportament violent al lui A. Poliția a început urmărirea penală </w:t>
      </w:r>
      <w:r>
        <w:rPr>
          <w:i/>
          <w:iCs/>
        </w:rPr>
        <w:t>in rem</w:t>
      </w:r>
      <w:r>
        <w:t xml:space="preserve"> (cu privire la faptă, fără identificarea unui suspect).</w:t>
      </w:r>
    </w:p>
    <w:p w:rsidR="0084331A" w:rsidRPr="00605A5B" w:rsidRDefault="004B7D60" w:rsidP="00605A5B">
      <w:pPr>
        <w:pStyle w:val="JuPara"/>
      </w:pPr>
      <w:fldSimple w:instr=" SEQ level0 \*arabic \* MERGEFORMAT ">
        <w:bookmarkStart w:id="5" w:name="paragraph00005"/>
        <w:r w:rsidR="00605A5B" w:rsidRPr="00605A5B">
          <w:t>6</w:t>
        </w:r>
        <w:bookmarkEnd w:id="5"/>
      </w:fldSimple>
      <w:r w:rsidR="007E6111">
        <w:t>. În cursul urmăririi penale și al procedurii administrative descrise mai jos, prima reclamantă a fost considerată de către instanțele naționale și serviciile sociale locale ca fiind „reprezentantul legal” al celei de a doua reclamante și al celui de al treilea reclamant.</w:t>
      </w:r>
    </w:p>
    <w:p w:rsidR="0084331A" w:rsidRPr="00605A5B" w:rsidRDefault="004B7D60" w:rsidP="00605A5B">
      <w:pPr>
        <w:pStyle w:val="JuPara"/>
      </w:pPr>
      <w:fldSimple w:instr=" SEQ level0 \*arabic \* MERGEFORMAT ">
        <w:bookmarkStart w:id="6" w:name="paragraph00007"/>
        <w:r w:rsidR="00605A5B" w:rsidRPr="00605A5B">
          <w:t>7</w:t>
        </w:r>
        <w:bookmarkEnd w:id="6"/>
      </w:fldSimple>
      <w:r w:rsidR="007E6111">
        <w:t>. La 23 ianuarie 2019, A. a fost audiat în calitate de martor în legătură cu plângerea penală sus-menționată.</w:t>
      </w:r>
    </w:p>
    <w:p w:rsidR="0084331A" w:rsidRPr="00605A5B" w:rsidRDefault="004B7D60" w:rsidP="00605A5B">
      <w:pPr>
        <w:pStyle w:val="JuPara"/>
      </w:pPr>
      <w:fldSimple w:instr=" SEQ level0 \*arabic \* MERGEFORMAT ">
        <w:bookmarkStart w:id="7" w:name="paragraph00008"/>
        <w:r w:rsidR="00605A5B" w:rsidRPr="00605A5B">
          <w:t>8</w:t>
        </w:r>
        <w:bookmarkEnd w:id="7"/>
      </w:fldSimple>
      <w:r w:rsidR="007E6111">
        <w:t>. La 12 martie 2019, în timpul primei sale audieri de către poliție, cea de a doua reclamantă a precizat că tatăl său a avut un comportament necorespunzător de natură sexuală. La 1 aprilie 2019, procurorul responsabil de caz a extins urmărirea penală pentru a include acuzația de</w:t>
      </w:r>
      <w:r w:rsidR="007E6111">
        <w:rPr>
          <w:sz w:val="22"/>
        </w:rPr>
        <w:t xml:space="preserve"> </w:t>
      </w:r>
      <w:r w:rsidR="007E6111">
        <w:t>agresiune sexuală asupra unui minor.</w:t>
      </w:r>
    </w:p>
    <w:p w:rsidR="0084331A" w:rsidRPr="00605A5B" w:rsidRDefault="00605A5B" w:rsidP="00605A5B">
      <w:pPr>
        <w:pStyle w:val="JuPara"/>
      </w:pPr>
      <w:r w:rsidRPr="00605A5B">
        <w:lastRenderedPageBreak/>
        <w:fldChar w:fldCharType="begin"/>
      </w:r>
      <w:r w:rsidR="006A210F">
        <w:instrText xml:space="preserve"> SEQ level0 \*arabic \* MERGEFORMAT </w:instrText>
      </w:r>
      <w:r w:rsidRPr="00605A5B">
        <w:fldChar w:fldCharType="separate"/>
      </w:r>
      <w:r w:rsidRPr="00605A5B">
        <w:t>9</w:t>
      </w:r>
      <w:r w:rsidRPr="00605A5B">
        <w:fldChar w:fldCharType="end"/>
      </w:r>
      <w:r>
        <w:t>. Potrivit mai multor rapoarte de expertiză psihologică, întocmite ulterior la cererea serviciilor sociale – dintre care unul datat 25 aprilie 2019 – a doua reclamantă s-a opus cu fermitate menținerii legăturii cu tatăl său. Aceste rapoarte au fost incluse ca probe în dosarul penal.</w:t>
      </w:r>
    </w:p>
    <w:bookmarkStart w:id="8" w:name="paragraph00010"/>
    <w:p w:rsidR="0084331A" w:rsidRPr="00605A5B" w:rsidRDefault="006A210F" w:rsidP="00605A5B">
      <w:pPr>
        <w:pStyle w:val="JuPara"/>
      </w:pPr>
      <w:r w:rsidRPr="00605A5B">
        <w:fldChar w:fldCharType="begin"/>
      </w:r>
      <w:r w:rsidRPr="00605A5B">
        <w:instrText xml:space="preserve"> SEQ level0 \*arabic \* MERGEFORMAT </w:instrText>
      </w:r>
      <w:r w:rsidRPr="00605A5B">
        <w:fldChar w:fldCharType="separate"/>
      </w:r>
      <w:r w:rsidR="00605A5B" w:rsidRPr="00605A5B">
        <w:t>10</w:t>
      </w:r>
      <w:r w:rsidRPr="00605A5B">
        <w:fldChar w:fldCharType="end"/>
      </w:r>
      <w:bookmarkEnd w:id="8"/>
      <w:r>
        <w:t>. În cadrul procedurii de divorț și de încredințare a copiilor (a se vedea supra, pct. </w:t>
      </w:r>
      <w:r w:rsidRPr="00605A5B">
        <w:fldChar w:fldCharType="begin"/>
      </w:r>
      <w:r w:rsidRPr="00605A5B">
        <w:instrText xml:space="preserve"> REF paragraph00002 \h  \* CharFormat </w:instrText>
      </w:r>
      <w:r w:rsidRPr="00605A5B">
        <w:fldChar w:fldCharType="separate"/>
      </w:r>
      <w:r w:rsidR="00605A5B" w:rsidRPr="00605A5B">
        <w:t>2</w:t>
      </w:r>
      <w:r w:rsidRPr="00605A5B">
        <w:fldChar w:fldCharType="end"/>
      </w:r>
      <w:r>
        <w:t>), la 12 iulie 2019, judecătoria de sector competentă din București a pronunțat divorțul. Aceasta a stabilit că prima reclamantă și A. trebuiau să exercite în comun autoritatea părintească asupra celei de a doua reclamante și a celui de al treilea reclamant și că ambii copii trebuiau să locuiască împreună cu tatăl lor. Cu toate acestea, în cuprinsul unui proces-verbal întocmit la 27</w:t>
      </w:r>
      <w:r w:rsidR="004D52DE">
        <w:t> </w:t>
      </w:r>
      <w:r>
        <w:t>ianuarie 2020 de executorul judecătoresc cu privire la executarea silită a acestei decizii în ceea ce privește domiciliul copiilor, s-a menționat că a doua reclamantă a refuzat să se apropie de tatăl său deoarece se temea de el.</w:t>
      </w:r>
    </w:p>
    <w:bookmarkStart w:id="9" w:name="paragraph00014"/>
    <w:p w:rsidR="0084331A" w:rsidRPr="00605A5B" w:rsidRDefault="006A210F" w:rsidP="00605A5B">
      <w:pPr>
        <w:pStyle w:val="JuPara"/>
      </w:pPr>
      <w:r w:rsidRPr="00605A5B">
        <w:fldChar w:fldCharType="begin"/>
      </w:r>
      <w:r w:rsidRPr="00605A5B">
        <w:instrText xml:space="preserve"> SEQ level0 \*arabic \* MERGEFORMAT </w:instrText>
      </w:r>
      <w:r w:rsidRPr="00605A5B">
        <w:fldChar w:fldCharType="separate"/>
      </w:r>
      <w:r w:rsidR="00605A5B" w:rsidRPr="00605A5B">
        <w:t>11</w:t>
      </w:r>
      <w:r w:rsidRPr="00605A5B">
        <w:fldChar w:fldCharType="end"/>
      </w:r>
      <w:bookmarkEnd w:id="9"/>
      <w:r>
        <w:t>. La 7 februarie 2020, procurorul a dispus ca INML să efectueze o expertiză psihiatrică a celei de a doua reclamante, pentru a stabili dacă aceasta a fost victima unui abuz sexual (a se vedea infra, pct. </w:t>
      </w:r>
      <w:r w:rsidRPr="00605A5B">
        <w:fldChar w:fldCharType="begin"/>
      </w:r>
      <w:r w:rsidRPr="00605A5B">
        <w:instrText xml:space="preserve"> REF paragraph00013 \h  \* CharFormat </w:instrText>
      </w:r>
      <w:r w:rsidRPr="00605A5B">
        <w:fldChar w:fldCharType="separate"/>
      </w:r>
      <w:r w:rsidR="00605A5B" w:rsidRPr="00605A5B">
        <w:t>13</w:t>
      </w:r>
      <w:r w:rsidRPr="00605A5B">
        <w:fldChar w:fldCharType="end"/>
      </w:r>
      <w:r>
        <w:t>).</w:t>
      </w:r>
    </w:p>
    <w:p w:rsidR="0084331A" w:rsidRPr="00605A5B" w:rsidRDefault="004B7D60" w:rsidP="00605A5B">
      <w:pPr>
        <w:pStyle w:val="JuPara"/>
      </w:pPr>
      <w:fldSimple w:instr=" SEQ level0 \*arabic \* MERGEFORMAT ">
        <w:bookmarkStart w:id="10" w:name="paragraph00015"/>
        <w:r w:rsidR="00605A5B" w:rsidRPr="00605A5B">
          <w:t>12</w:t>
        </w:r>
        <w:bookmarkEnd w:id="10"/>
      </w:fldSimple>
      <w:r w:rsidR="007E6111">
        <w:t>. La 23 iunie 2020, în cadrul anchetei în curs, A. a fost audiat pentru a doua oară, în special în legătură cu pretinsul abuz sexual (a se vedea supra, pct. </w:t>
      </w:r>
      <w:r w:rsidR="00191D72" w:rsidRPr="00605A5B">
        <w:fldChar w:fldCharType="begin"/>
      </w:r>
      <w:r w:rsidR="00191D72" w:rsidRPr="00605A5B">
        <w:instrText xml:space="preserve"> REF paragraph00008 \h  \* CharFormat </w:instrText>
      </w:r>
      <w:r w:rsidR="00191D72" w:rsidRPr="00605A5B">
        <w:fldChar w:fldCharType="separate"/>
      </w:r>
      <w:r w:rsidR="00605A5B" w:rsidRPr="00605A5B">
        <w:t>8</w:t>
      </w:r>
      <w:r w:rsidR="00191D72" w:rsidRPr="00605A5B">
        <w:fldChar w:fldCharType="end"/>
      </w:r>
      <w:r w:rsidR="007E6111">
        <w:t>).</w:t>
      </w:r>
    </w:p>
    <w:p w:rsidR="0084331A" w:rsidRPr="00605A5B" w:rsidRDefault="004B7D60" w:rsidP="00605A5B">
      <w:pPr>
        <w:pStyle w:val="JuPara"/>
      </w:pPr>
      <w:fldSimple w:instr=" SEQ level0 \*arabic \* MERGEFORMAT ">
        <w:bookmarkStart w:id="11" w:name="paragraph00013"/>
        <w:r w:rsidR="00605A5B" w:rsidRPr="00605A5B">
          <w:t>13</w:t>
        </w:r>
        <w:bookmarkEnd w:id="11"/>
      </w:fldSimple>
      <w:r w:rsidR="007E6111">
        <w:t>. Un raport medico-legal, întocmit la 2 octombrie 2020 de o comisie formată din trei experți (un medic legist și un psihiatru din cadrul INML, cărora li s-a alăturat un medic de psihiatrie pediatrică) a concluzionat că a doua reclamantă nu manifesta comportamentul unui copil abuzat. În raport se preciza că a doua reclamantă a fost examinată în prezența tatălui său și că a fost „rugată să spună ce nu era în regulă”. În raport se menționa că, în timpul examinării, aceasta „a devenit neliniștită, era vizibil tulburată și a început să plângă, renunțând la declarațiile pe care le făcuse anterior în fața membrilor comisiei”. În raport se concluziona că actele obscene descrise de cea de a doua reclamantă erau rezultatul imaginației sale și că aceasta a vrut să își „pedepsească” tatăl pentru că o despărțise de fratele său și, poate, și pentru că o despărțise de mama sa. Făcând referire la mai multe evenimente din trecut, în raport se menționa că a doua reclamantă apelase mai multe servicii de urgență diferite (inclusiv cele pentru copii) în perioadele în care a stat cu tatăl său, deoarece acesta ar fi fost violent față de ea.</w:t>
      </w:r>
    </w:p>
    <w:p w:rsidR="0084331A" w:rsidRPr="00605A5B" w:rsidRDefault="004B7D60" w:rsidP="00605A5B">
      <w:pPr>
        <w:pStyle w:val="JuPara"/>
      </w:pPr>
      <w:fldSimple w:instr=" SEQ level0 \*arabic \* MERGEFORMAT ">
        <w:bookmarkStart w:id="12" w:name="paragraph00017"/>
        <w:r w:rsidR="00605A5B" w:rsidRPr="00605A5B">
          <w:t>14</w:t>
        </w:r>
        <w:bookmarkEnd w:id="12"/>
      </w:fldSimple>
      <w:r w:rsidR="007E6111">
        <w:t>. La 20 noiembrie 2020, serviciile sociale (Direcția Generală de Asistență Socială și Protecția Copilului Sector 4 – denumită în continuare „DGASPC”) din București au trimis, atât primei reclamante, cât și lui A., o „scrisoare de informare/invitație”, care a fost anexată ulterior la dosarul de urmărire penală și în care se preciza că „întrucât [fiica lor] prezenta semne de abuz emoțional (coșmaruri, anxietate)”, era recomandat ca atât părinții, cât și copilul să urmeze programe de consiliere separate.</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15</w:t>
      </w:r>
      <w:r w:rsidRPr="00605A5B">
        <w:fldChar w:fldCharType="end"/>
      </w:r>
      <w:r>
        <w:t>. La 22 martie 2021, în cursul procedurii de divorț și de încredințare a copiilor, care era pendinte în fața Tribunalului București, ca urmare a apelului formulat de prima reclamantă, instanța a dispus ca INML să efectueze o nouă expertiză psihiatrică a celei de a doua reclamante, pentru a stabili dacă aceasta a fost victima unui abuz emoțional.</w:t>
      </w:r>
    </w:p>
    <w:p w:rsidR="0084331A" w:rsidRPr="00605A5B" w:rsidRDefault="004B7D60" w:rsidP="00605A5B">
      <w:pPr>
        <w:pStyle w:val="JuPara"/>
      </w:pPr>
      <w:fldSimple w:instr=" SEQ level0 \*arabic \* MERGEFORMAT ">
        <w:bookmarkStart w:id="13" w:name="paragraph00016"/>
        <w:r w:rsidR="00605A5B" w:rsidRPr="00605A5B">
          <w:t>16</w:t>
        </w:r>
        <w:bookmarkEnd w:id="13"/>
      </w:fldSimple>
      <w:r w:rsidR="007E6111">
        <w:t xml:space="preserve">. Un raport medico-legal, întocmit la 6 august 2021 de o comisie formată din trei experți (un medic legist și un psihiatru din cadrul INML, cărora li s-a alăturat un medic de psihiatrie pediatrică de la Spitalul Clinic de Psihiatrie „Prof. Dr. Alexandru Obregia” din București) a concluzionat că nu au putut fi identificate semne de abuz emoțional. În raport s-a precizat că a doua reclamantă a afirmat că tatăl ei țipa deseori la ea și că l-a văzut bătând-o pe mama ei, acțiuni considerate „necorespunzătoare” și o „stângăcie”. Raportul a mai precizat că, uneori, când era acasă, tatăl celei de a doua reclamante stătea dezbrăcat sau purta doar lenjerie de corp în prezența acesteia. </w:t>
      </w:r>
      <w:r w:rsidR="00DF45F6">
        <w:t>Totuși</w:t>
      </w:r>
      <w:r w:rsidR="007E6111">
        <w:t>, s-a apreciat că „nu s-a evidențiat o conotație sexuală a acestui comportament” și că acesta era un „comportament acceptat în anumite medii sociale și [...] o practică întâlnită la persoane cu anumite carențe educaționale”. Raportul respectiv a fost, de asemenea, inclus în dosarul de urmărire penală.</w:t>
      </w:r>
    </w:p>
    <w:p w:rsidR="0084331A" w:rsidRPr="00605A5B" w:rsidRDefault="004B7D60" w:rsidP="00605A5B">
      <w:pPr>
        <w:pStyle w:val="JuPara"/>
      </w:pPr>
      <w:fldSimple w:instr=" SEQ level0 \*arabic \* MERGEFORMAT ">
        <w:bookmarkStart w:id="14" w:name="paragraph00020"/>
        <w:r w:rsidR="00605A5B" w:rsidRPr="00605A5B">
          <w:t>17</w:t>
        </w:r>
        <w:bookmarkEnd w:id="14"/>
      </w:fldSimple>
      <w:r w:rsidR="007E6111">
        <w:t>. La 3 februarie 2022, Tribunalul București a anulat în parte hotărârea pronunțată în cadrul procedurii de divorț, stabilind că a doua reclamantă ar trebui să locuiască împreună cu mama sa.</w:t>
      </w:r>
    </w:p>
    <w:p w:rsidR="0084331A" w:rsidRPr="00605A5B" w:rsidRDefault="004B7D60" w:rsidP="00605A5B">
      <w:pPr>
        <w:pStyle w:val="JuPara"/>
      </w:pPr>
      <w:fldSimple w:instr=" SEQ level0 \*arabic \* MERGEFORMAT ">
        <w:bookmarkStart w:id="15" w:name="paragraph00018"/>
        <w:r w:rsidR="00605A5B" w:rsidRPr="00605A5B">
          <w:t>18</w:t>
        </w:r>
        <w:bookmarkEnd w:id="15"/>
      </w:fldSimple>
      <w:r w:rsidR="007E6111">
        <w:t>. În urma unei plângeri formulate de prima reclamantă cu privire la ancheta penală, printr</w:t>
      </w:r>
      <w:r w:rsidR="00A103B9">
        <w:noBreakHyphen/>
      </w:r>
      <w:r w:rsidR="007E6111">
        <w:t xml:space="preserve">o încheiere interlocutorie din 9 iunie 2022, judecătoria a admis că durata anchetei a fost excesivă și a dispus ca parchetul să o urgenteze. Judecătoria a subliniat că, în ultimii ani, organele de urmărire penală au audiat doar câțiva martori (doi în 2019, doi în 2020 și trei în 2021) și că aceste audieri nu justificau durata anchetei penale, cu atât mai mult cu cât cauza nu prezenta o complexitate deosebită, iar pretinsele victime nu au contribuit în niciun fel la prelungirea anchetei. Instanța a dispus ca parchetul să finalizeze urmărirea penală în termen de </w:t>
      </w:r>
      <w:r w:rsidR="004D52DE">
        <w:t>7 </w:t>
      </w:r>
      <w:r w:rsidR="007E6111">
        <w:t>luni de la data la care îi era comunicată hotărârea. În urma plângerilor formulate ulterior de prima reclamantă, judecătoria a confirmat măsurile dispuse anterior prin încheieri interlocutorii pronunțate de judecătoria de sector competentă din București la 27 ianuarie și 10 octombrie 2023.</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19</w:t>
      </w:r>
      <w:r w:rsidRPr="00605A5B">
        <w:fldChar w:fldCharType="end"/>
      </w:r>
      <w:r>
        <w:t>. La 13 noiembrie 2023, parchetul a dispus clasarea în ceea ce privea infracțiunea de agresiune sexuală, reținând că această infracțiune nu fusese săvârșită. În ceea ce privește pretinsele acte de agresiune din 4 decembrie 2018 (a se vedea supra, pct. </w:t>
      </w:r>
      <w:r w:rsidR="006A210F" w:rsidRPr="00605A5B">
        <w:fldChar w:fldCharType="begin"/>
      </w:r>
      <w:r w:rsidR="006A210F" w:rsidRPr="00605A5B">
        <w:instrText xml:space="preserve"> REF paragraph00004 \h  \* CharFormat </w:instrText>
      </w:r>
      <w:r w:rsidR="006A210F" w:rsidRPr="00605A5B">
        <w:fldChar w:fldCharType="separate"/>
      </w:r>
      <w:r w:rsidRPr="00605A5B">
        <w:t>4</w:t>
      </w:r>
      <w:r w:rsidR="006A210F" w:rsidRPr="00605A5B">
        <w:fldChar w:fldCharType="end"/>
      </w:r>
      <w:r>
        <w:t>), procurorul a considerat, în special, că acestea nu au fost săvârșite cu intenție și că, mai degrabă, cea de a doua reclamantă s-a lovit de o ușă când încerca să scape din strânsoarea mâinii tatălui său. În privința pretinsului abuz sexual – și anume faptul că A. purta uneori doar lenjerie intimă acasă, în prezența celei de a doua reclamante, că acesta „intra în baie să se uite la ea indiferent ce făcea” și că acesta se așeza dezbrăcat în pat lângă ea când credea că doarme – procurorul a considerat că a doua reclamantă „nu a putut să ofere suficiente detalii concrete cu privire la momentul [și] locul [pretinselor fapte sau] la modul în care acestea au fost comise”. Ca atare, declarațiile sale nu prezentau suficientă credibilitate.</w:t>
      </w:r>
    </w:p>
    <w:bookmarkStart w:id="16" w:name="MSandOthersparagraph20"/>
    <w:p w:rsidR="0084331A" w:rsidRPr="00605A5B" w:rsidRDefault="006A210F" w:rsidP="00605A5B">
      <w:pPr>
        <w:pStyle w:val="JuPara"/>
      </w:pPr>
      <w:r w:rsidRPr="00605A5B">
        <w:fldChar w:fldCharType="begin"/>
      </w:r>
      <w:r w:rsidRPr="00605A5B">
        <w:instrText xml:space="preserve"> SEQ level0 \*arabic \* MERGEFORMAT </w:instrText>
      </w:r>
      <w:r w:rsidRPr="00605A5B">
        <w:fldChar w:fldCharType="separate"/>
      </w:r>
      <w:r w:rsidR="00605A5B" w:rsidRPr="00605A5B">
        <w:t>20</w:t>
      </w:r>
      <w:r w:rsidRPr="00605A5B">
        <w:fldChar w:fldCharType="end"/>
      </w:r>
      <w:bookmarkEnd w:id="16"/>
      <w:r>
        <w:t xml:space="preserve">. În cursul anchetei penale sus-menționate, cu privire la acuzațiile celei de a doua reclamante, printr-o scrisoare din 24 martie 2021, DGASPC Sector 4 a informat DGASPC Sector 1 cu privire la „posibilul abuz verbal, fizic și emoțional” la care a fost supus cel de al treilea reclamant de către tatăl său și i-a transmis două plângeri administrative în această privință, care fuseseră depuse de prima reclamantă. În consecință, la 28 iulie 2021, un psiholog angajat de serviciile sociale a realizat un interviu cu al treilea reclamant, în prezența tatălui său. După trei întâlniri, a fost întocmit un raport în care s-a constatat că băiatul (în vârstă de </w:t>
      </w:r>
      <w:r w:rsidR="004D52DE">
        <w:t>5 </w:t>
      </w:r>
      <w:r>
        <w:t>ani la acea vreme) nu a plâns, a fost relaxat în timp ce s-a jucat și a spus că își iubea tatăl chiar dacă acesta „era rău” și obișnuia să-l supună unor pedepse fizice atunci când făcea ceva greșit („mă bate la fund dacă fac p[r]ostioară”). În raport s-a mai constatat că al treilea reclamant a afirmat că tatăl său a supus-o pe cea de a doua reclamantă unor pedepse fizice și s-a concluzionat că al treilea reclamant nu prezenta niciun semn de abuz emoțional.</w:t>
      </w:r>
    </w:p>
    <w:p w:rsidR="0084331A" w:rsidRPr="00605A5B" w:rsidRDefault="004B7D60" w:rsidP="00605A5B">
      <w:pPr>
        <w:pStyle w:val="JuPara"/>
      </w:pPr>
      <w:fldSimple w:instr=" SEQ level0 \*arabic \* MERGEFORMAT ">
        <w:bookmarkStart w:id="17" w:name="paragraph00021"/>
        <w:r w:rsidR="00605A5B" w:rsidRPr="00605A5B">
          <w:t>21</w:t>
        </w:r>
        <w:bookmarkEnd w:id="17"/>
      </w:fldSimple>
      <w:r w:rsidR="007E6111">
        <w:t>. În cursul procedurii descrise mai sus, prima reclamantă a formulat mai multe plângeri pe cale ierarhică în privința unor angajați ai DGASPC. Una dintre plângeri viza un psiholog care întocmise un raport privind situația celei de a doua reclamante și a celui de al treilea reclamant, în mai multe pagini ale acestuia fiind incluse datele cu caracter personal ale unei alte familii. În urma unei investigații, un jurnalist a constatat că în raport fuseseră preluate pasaje ample dintr</w:t>
      </w:r>
      <w:r w:rsidR="00A103B9">
        <w:noBreakHyphen/>
      </w:r>
      <w:r w:rsidR="007E6111">
        <w:t>un alt raport referitor la alți copii. Printr-o scrisoare din 29 octombrie 2020, Autoritatea Națională pentru Drepturile Persoanelor cu Dizabilități, Copii și Adopții a informat-o pe prima reclamantă că a fost inițiată o procedură disciplinară împotriva mai multor angajați ai DGASPC. Aceasta a subliniat, în special următoarele:</w:t>
      </w:r>
    </w:p>
    <w:p w:rsidR="0084331A" w:rsidRPr="00605A5B" w:rsidRDefault="006A210F" w:rsidP="00605A5B">
      <w:pPr>
        <w:pStyle w:val="JuQuot"/>
      </w:pPr>
      <w:r>
        <w:t>„[...] [În pofida faptului că, începând din 2018, ați sesizat în repetate rânduri serviciile sociale cu privire la abuzul asupra copiilor, DGASPC nu a realizat o evaluare adecvată a acuzațiilor, cu respectarea cerințelor legale.”</w:t>
      </w:r>
    </w:p>
    <w:p w:rsidR="0084331A" w:rsidRPr="00605A5B" w:rsidRDefault="00605A5B" w:rsidP="00605A5B">
      <w:pPr>
        <w:pStyle w:val="JuPara"/>
      </w:pPr>
      <w:r w:rsidRPr="00605A5B">
        <w:lastRenderedPageBreak/>
        <w:fldChar w:fldCharType="begin"/>
      </w:r>
      <w:r w:rsidR="006A210F">
        <w:instrText xml:space="preserve"> SEQ level0 \*arabic \* MERGEFORMAT </w:instrText>
      </w:r>
      <w:r w:rsidRPr="00605A5B">
        <w:fldChar w:fldCharType="separate"/>
      </w:r>
      <w:r w:rsidRPr="00605A5B">
        <w:t>22</w:t>
      </w:r>
      <w:r w:rsidRPr="00605A5B">
        <w:fldChar w:fldCharType="end"/>
      </w:r>
      <w:r>
        <w:t>. Invocând art. 3, 6 și 14 din Convenție, reclamanții s-au plâns că ancheta desfășurată de autoritățile naționale cu privire la acuzațiile lor privind acte de violență în familie nu a fost efectivă, nu a reușit să le ofere protecție victimelor vulnerabile și a fost excesiv de lungă.</w:t>
      </w:r>
    </w:p>
    <w:p w:rsidR="0084331A" w:rsidRPr="00605A5B" w:rsidRDefault="006A210F" w:rsidP="00605A5B">
      <w:pPr>
        <w:pStyle w:val="JuHHead"/>
      </w:pPr>
      <w:r>
        <w:t>MOTIVAREA CURȚII</w:t>
      </w:r>
    </w:p>
    <w:p w:rsidR="0084331A" w:rsidRPr="00605A5B" w:rsidRDefault="006A210F" w:rsidP="00605A5B">
      <w:pPr>
        <w:pStyle w:val="JuHIRoman"/>
        <w:ind w:left="397" w:hanging="397"/>
      </w:pPr>
      <w:r>
        <w:t>REPREZENTAREA CELEI DE-A DOUA RECLAMANTE ȘI A CELUI DE AL TREILEA RECLAMANT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23</w:t>
      </w:r>
      <w:r w:rsidRPr="00605A5B">
        <w:fldChar w:fldCharType="end"/>
      </w:r>
      <w:r>
        <w:t>. Guvernul a ridicat întrebarea dacă prima reclamantă avea sau nu calitatea procesuală de a depune o cerere în numele celor doi copii ai săi (a doua reclamantă și al treilea reclamant). Curtea reiterează că o mamă care exercită autoritatea părintească în privința copilului poate avea calitatea procesuală de a depune o cerere în numele copilului chiar dacă acesta nu locuiește cu mama sa [</w:t>
      </w:r>
      <w:bookmarkStart w:id="18" w:name="_cl34077THECOURTSASSESSMENT"/>
      <w:r>
        <w:t xml:space="preserve">se vedea </w:t>
      </w:r>
      <w:r>
        <w:rPr>
          <w:i/>
        </w:rPr>
        <w:t>Petrov și X împotriva</w:t>
      </w:r>
      <w:r w:rsidR="00B35C09">
        <w:rPr>
          <w:i/>
        </w:rPr>
        <w:t xml:space="preserve"> </w:t>
      </w:r>
      <w:r>
        <w:rPr>
          <w:i/>
        </w:rPr>
        <w:t>Rusiei</w:t>
      </w:r>
      <w:bookmarkEnd w:id="18"/>
      <w:r>
        <w:t xml:space="preserve">, nr. 23608/16, pct. 83, 23 octombrie 2018, și </w:t>
      </w:r>
      <w:bookmarkStart w:id="19" w:name="_cl40668THECOURTSASSESSMENT"/>
      <w:r>
        <w:rPr>
          <w:i/>
        </w:rPr>
        <w:t>R.B. și M. împotriva</w:t>
      </w:r>
      <w:r w:rsidR="00B35C09">
        <w:rPr>
          <w:i/>
        </w:rPr>
        <w:t xml:space="preserve"> </w:t>
      </w:r>
      <w:r>
        <w:rPr>
          <w:i/>
        </w:rPr>
        <w:t>Italiei</w:t>
      </w:r>
      <w:bookmarkEnd w:id="19"/>
      <w:r>
        <w:t>, nr. 41382/19, pct. 42, 22 aprilie 2021]. Curtea a admis, în mai multe rânduri, că, în special în cauzele referitoare la abuzuri comise asupra copiilor, chiar și părinții care nu au drepturi părintești pot sesiza Curtea în numele copiilor lor minori, pentru a evita riscul ca anumite interese ale copiilor să nu fie aduse în atenția Curții și ca aceștia să fie privați de protecția efectivă a drepturilor lor garantate de Convenție [</w:t>
      </w:r>
      <w:bookmarkStart w:id="20" w:name="_cl37172THECOURTSASSESSMENT"/>
      <w:r>
        <w:t xml:space="preserve">a se vedea </w:t>
      </w:r>
      <w:r>
        <w:rPr>
          <w:i/>
        </w:rPr>
        <w:t>Strand Lobben și alții împotriva</w:t>
      </w:r>
      <w:r w:rsidR="00B35C09">
        <w:rPr>
          <w:i/>
        </w:rPr>
        <w:t xml:space="preserve"> </w:t>
      </w:r>
      <w:r>
        <w:rPr>
          <w:i/>
        </w:rPr>
        <w:t>Norvegiei</w:t>
      </w:r>
      <w:bookmarkEnd w:id="20"/>
      <w:r>
        <w:t xml:space="preserve"> (MC), nr. 37283/13, pct. 156-159, 10 septembrie 2019].</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24</w:t>
      </w:r>
      <w:r w:rsidRPr="00605A5B">
        <w:fldChar w:fldCharType="end"/>
      </w:r>
      <w:r>
        <w:t>. În speță, Curtea observă că prima reclamantă, mama celei de a doua reclamante și a celui de al treilea reclamant, nu și-a pierdut niciodată drepturile părintești în cadrul unei proceduri interne și că, la momentul formulării plângerii penale, ambii copii locuiau împreună cu ea, în temeiul unor măsuri provizorii dispuse în cursul primei etape a procedurii de divorț și de încredințare a copiilor (a se vedea supra, pct. </w:t>
      </w:r>
      <w:r w:rsidR="006A210F" w:rsidRPr="00605A5B">
        <w:fldChar w:fldCharType="begin"/>
      </w:r>
      <w:r w:rsidR="006A210F" w:rsidRPr="00605A5B">
        <w:instrText xml:space="preserve"> REF paragraph00002 \h  \* CharFormat </w:instrText>
      </w:r>
      <w:r w:rsidR="006A210F" w:rsidRPr="00605A5B">
        <w:fldChar w:fldCharType="separate"/>
      </w:r>
      <w:r w:rsidRPr="00605A5B">
        <w:t>2</w:t>
      </w:r>
      <w:r w:rsidR="006A210F" w:rsidRPr="00605A5B">
        <w:fldChar w:fldCharType="end"/>
      </w:r>
      <w:r>
        <w:t xml:space="preserve"> și </w:t>
      </w:r>
      <w:r w:rsidR="006A210F" w:rsidRPr="00605A5B">
        <w:fldChar w:fldCharType="begin"/>
      </w:r>
      <w:r w:rsidR="006A210F" w:rsidRPr="00605A5B">
        <w:instrText xml:space="preserve"> REF paragraph5draftADD \h  \* CharFormat </w:instrText>
      </w:r>
      <w:r w:rsidR="006A210F" w:rsidRPr="00605A5B">
        <w:fldChar w:fldCharType="separate"/>
      </w:r>
      <w:r w:rsidRPr="00605A5B">
        <w:t>5</w:t>
      </w:r>
      <w:r w:rsidR="006A210F" w:rsidRPr="00605A5B">
        <w:fldChar w:fldCharType="end"/>
      </w:r>
      <w:r>
        <w:t>), măsuri care au rămas în vigoare până la pronunțarea hotărârii de divorț și de încredințare din 12 iulie 2019, menținută în parte în urma unei proceduri de apel (a se vedea supra, pct. </w:t>
      </w:r>
      <w:r w:rsidR="006A210F" w:rsidRPr="00605A5B">
        <w:fldChar w:fldCharType="begin"/>
      </w:r>
      <w:r w:rsidR="006A210F" w:rsidRPr="00605A5B">
        <w:instrText xml:space="preserve"> REF paragraph00010 \h  \* CharFormat </w:instrText>
      </w:r>
      <w:r w:rsidR="006A210F" w:rsidRPr="00605A5B">
        <w:fldChar w:fldCharType="separate"/>
      </w:r>
      <w:r w:rsidRPr="00605A5B">
        <w:t>10</w:t>
      </w:r>
      <w:r w:rsidR="006A210F" w:rsidRPr="00605A5B">
        <w:fldChar w:fldCharType="end"/>
      </w:r>
      <w:r>
        <w:t xml:space="preserve"> și </w:t>
      </w:r>
      <w:r w:rsidR="006A210F" w:rsidRPr="00605A5B">
        <w:fldChar w:fldCharType="begin"/>
      </w:r>
      <w:r w:rsidR="006A210F" w:rsidRPr="00605A5B">
        <w:instrText xml:space="preserve"> REF paragraph00020 \h  \* CharFormat </w:instrText>
      </w:r>
      <w:r w:rsidR="006A210F" w:rsidRPr="00605A5B">
        <w:fldChar w:fldCharType="separate"/>
      </w:r>
      <w:r w:rsidRPr="00605A5B">
        <w:t>17</w:t>
      </w:r>
      <w:r w:rsidR="006A210F" w:rsidRPr="00605A5B">
        <w:fldChar w:fldCharType="end"/>
      </w:r>
      <w:r>
        <w:t>). În plus, pe întreaga durată a urmăririi penale și a procedurii administrative, prima reclamantă a fost considerată de către instanțele naționale și serviciile sociale locale ca fiind „reprezentantul legal” al copiilor săi (a se vedea supra, pct. </w:t>
      </w:r>
      <w:r w:rsidR="006A210F" w:rsidRPr="00605A5B">
        <w:fldChar w:fldCharType="begin"/>
      </w:r>
      <w:r w:rsidR="006A210F" w:rsidRPr="00605A5B">
        <w:instrText xml:space="preserve"> REF paragraph00005 \h  \* CharFormat </w:instrText>
      </w:r>
      <w:r w:rsidR="006A210F" w:rsidRPr="00605A5B">
        <w:fldChar w:fldCharType="separate"/>
      </w:r>
      <w:r w:rsidRPr="00605A5B">
        <w:t>6</w:t>
      </w:r>
      <w:r w:rsidR="006A210F" w:rsidRPr="00605A5B">
        <w:fldChar w:fldCharType="end"/>
      </w:r>
      <w:r>
        <w: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25</w:t>
      </w:r>
      <w:r w:rsidRPr="00605A5B">
        <w:fldChar w:fldCharType="end"/>
      </w:r>
      <w:r>
        <w:t>. Curtea observă, de asemenea, că, deși a fost invitat să facă acest lucru, Guvernul nu</w:t>
      </w:r>
      <w:r w:rsidR="00B35C09">
        <w:t> </w:t>
      </w:r>
      <w:r>
        <w:t xml:space="preserve">a prezentat niciun argument cu privire la existența, în temeiul dreptului intern, a unui mecanism adecvat care să garanteze că a doua reclamantă și al treilea reclamant sunt în măsură să își exercite efectiv dreptul de a introduce o cerere individuală, în temeiul art. 34 din Convenție, în cazul unui potențial conflict de interese între aceștia și prima reclamantă (a se vedea, </w:t>
      </w:r>
      <w:r>
        <w:rPr>
          <w:i/>
        </w:rPr>
        <w:t>mutatis mutandis</w:t>
      </w:r>
      <w:r>
        <w:t>,</w:t>
      </w:r>
      <w:r>
        <w:rPr>
          <w:i/>
        </w:rPr>
        <w:t xml:space="preserve"> E.M. și alții împotriva</w:t>
      </w:r>
      <w:r w:rsidR="00B35C09">
        <w:rPr>
          <w:i/>
        </w:rPr>
        <w:t xml:space="preserve"> </w:t>
      </w:r>
      <w:r>
        <w:rPr>
          <w:i/>
        </w:rPr>
        <w:t>Norvegiei</w:t>
      </w:r>
      <w:r>
        <w:t xml:space="preserve">, nr. 53471/17, pct. 64, 20 ianuarie 2022, și </w:t>
      </w:r>
      <w:r>
        <w:rPr>
          <w:i/>
        </w:rPr>
        <w:t>A și B împotriva</w:t>
      </w:r>
      <w:r w:rsidR="00B35C09">
        <w:rPr>
          <w:i/>
        </w:rPr>
        <w:t xml:space="preserve"> </w:t>
      </w:r>
      <w:r>
        <w:rPr>
          <w:i/>
        </w:rPr>
        <w:t>Croației</w:t>
      </w:r>
      <w:r>
        <w:t>, nr. 7144/15, pct. 3, 20 iunie 2019).</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26</w:t>
      </w:r>
      <w:r w:rsidRPr="00605A5B">
        <w:fldChar w:fldCharType="end"/>
      </w:r>
      <w:r>
        <w:t>. Având în vedere cele de mai sus, Curtea concluzionează că prima reclamantă avea calitatea procesuală de a depune o cerere în numele celor doi copii ai săi, a doua reclamantă și al treilea reclamant.</w:t>
      </w:r>
    </w:p>
    <w:p w:rsidR="0084331A" w:rsidRPr="00605A5B" w:rsidRDefault="006A210F" w:rsidP="00605A5B">
      <w:pPr>
        <w:pStyle w:val="JuHIRoman"/>
        <w:ind w:left="397" w:hanging="397"/>
      </w:pPr>
      <w:r>
        <w:t xml:space="preserve">CU PRIVIRE LA PRETINSA ÎNCĂLCARE A ART. 3 ȘI </w:t>
      </w:r>
      <w:r w:rsidR="00F90117">
        <w:t xml:space="preserve">A ART. </w:t>
      </w:r>
      <w:r>
        <w:t>8 DIN CONVENȚIE ÎN PRIVINȚA CELEI DE A DOUA RECLAMANTE</w:t>
      </w:r>
    </w:p>
    <w:p w:rsidR="0084331A" w:rsidRPr="00605A5B" w:rsidRDefault="006A210F" w:rsidP="00605A5B">
      <w:pPr>
        <w:pStyle w:val="JuPara"/>
        <w:rPr>
          <w:rFonts w:eastAsiaTheme="minorEastAsia"/>
        </w:rPr>
      </w:pPr>
      <w:r w:rsidRPr="00605A5B">
        <w:rPr>
          <w:rFonts w:eastAsiaTheme="minorEastAsia"/>
        </w:rPr>
        <w:fldChar w:fldCharType="begin"/>
      </w:r>
      <w:r w:rsidRPr="00605A5B">
        <w:rPr>
          <w:rFonts w:eastAsiaTheme="minorEastAsia"/>
        </w:rPr>
        <w:instrText xml:space="preserve"> SEQ level0 \*arabic \* MERGEFORMAT </w:instrText>
      </w:r>
      <w:r w:rsidRPr="00605A5B">
        <w:rPr>
          <w:rFonts w:eastAsiaTheme="minorEastAsia"/>
        </w:rPr>
        <w:fldChar w:fldCharType="separate"/>
      </w:r>
      <w:bookmarkStart w:id="21" w:name="paragraph00033"/>
      <w:r w:rsidR="00605A5B" w:rsidRPr="00605A5B">
        <w:rPr>
          <w:rFonts w:eastAsiaTheme="minorEastAsia"/>
        </w:rPr>
        <w:t>27</w:t>
      </w:r>
      <w:bookmarkEnd w:id="21"/>
      <w:r w:rsidRPr="00605A5B">
        <w:rPr>
          <w:rFonts w:eastAsiaTheme="minorEastAsia"/>
        </w:rPr>
        <w:fldChar w:fldCharType="end"/>
      </w:r>
      <w:r>
        <w:t xml:space="preserve">. Curtea reiterează că are competența de a realiza o încadrare juridică a faptelor unei cauze și nu este legată de încadrarea făcută de reclamant sau de Guvern [a se vedea </w:t>
      </w:r>
      <w:r>
        <w:rPr>
          <w:i/>
        </w:rPr>
        <w:t>Radomilja și alții împotriva</w:t>
      </w:r>
      <w:r w:rsidR="00B35C09">
        <w:rPr>
          <w:i/>
        </w:rPr>
        <w:t xml:space="preserve"> </w:t>
      </w:r>
      <w:r>
        <w:rPr>
          <w:i/>
        </w:rPr>
        <w:t>Croației</w:t>
      </w:r>
      <w:r>
        <w:t xml:space="preserve"> (MC), nr. 37685/10 și 22768/12, pct. 126, 20 martie 2018]. Având în vedere natura și fondul capetelor de cerere formulate de cea de a doua reclamantă, acestea trebuie examinate în temeiul art. 3 și 8 din Convenție, ambele dispoziții implicând obligația statului de </w:t>
      </w:r>
      <w:r>
        <w:lastRenderedPageBreak/>
        <w:t xml:space="preserve">a proteja integritatea fizică și psihologică a unei persoane (a se vedea </w:t>
      </w:r>
      <w:r>
        <w:rPr>
          <w:i/>
        </w:rPr>
        <w:t>C.A.S. și C.S. împotriva</w:t>
      </w:r>
      <w:r w:rsidR="00B35C09">
        <w:rPr>
          <w:i/>
        </w:rPr>
        <w:t xml:space="preserve"> </w:t>
      </w:r>
      <w:r>
        <w:rPr>
          <w:i/>
        </w:rPr>
        <w:t>României</w:t>
      </w:r>
      <w:r>
        <w:t>, nr. 26692/05, pct. 68-72, 20 martie 2012).</w:t>
      </w:r>
    </w:p>
    <w:p w:rsidR="0084331A" w:rsidRPr="00605A5B" w:rsidRDefault="00605A5B" w:rsidP="00605A5B">
      <w:pPr>
        <w:pStyle w:val="JuPara"/>
        <w:rPr>
          <w:rFonts w:eastAsiaTheme="minorEastAsia"/>
        </w:rPr>
      </w:pPr>
      <w:r w:rsidRPr="00605A5B">
        <w:fldChar w:fldCharType="begin"/>
      </w:r>
      <w:r w:rsidR="006A210F">
        <w:instrText xml:space="preserve"> SEQ level0 \*arabic \* MERGEFORMAT </w:instrText>
      </w:r>
      <w:r w:rsidRPr="00605A5B">
        <w:fldChar w:fldCharType="separate"/>
      </w:r>
      <w:r w:rsidRPr="00605A5B">
        <w:t>28</w:t>
      </w:r>
      <w:r w:rsidRPr="00605A5B">
        <w:fldChar w:fldCharType="end"/>
      </w:r>
      <w:r>
        <w:t>. Curtea constată că aceste capete de cerere nu sunt în mod vădit nefondate în sensul art. 35 § 3 lit. a) din Convenție și că nu prezintă niciun alt motiv de inadmisibilitate. Prin urmare, trebuie să fie declarate admisibile.</w:t>
      </w:r>
    </w:p>
    <w:p w:rsidR="0084331A" w:rsidRPr="00605A5B" w:rsidRDefault="004B7D60" w:rsidP="00605A5B">
      <w:pPr>
        <w:pStyle w:val="JuPara"/>
      </w:pPr>
      <w:fldSimple w:instr=" SEQ level0 \*arabic \* MERGEFORMAT ">
        <w:bookmarkStart w:id="22" w:name="paragraph00035"/>
        <w:r w:rsidR="00605A5B" w:rsidRPr="00605A5B">
          <w:t>29</w:t>
        </w:r>
        <w:bookmarkEnd w:id="22"/>
      </w:fldSimple>
      <w:r w:rsidR="007E6111">
        <w:t>. Principiile generale privind obligațiile pozitive ale statelor în temeiul art. 3 și 8 au fost rezumate în hotărârea</w:t>
      </w:r>
      <w:r w:rsidR="007E6111">
        <w:rPr>
          <w:i/>
        </w:rPr>
        <w:t xml:space="preserve"> </w:t>
      </w:r>
      <w:bookmarkStart w:id="23" w:name="_cl20021THECOURTSASSESSMENT"/>
      <w:r w:rsidR="007E6111">
        <w:rPr>
          <w:i/>
        </w:rPr>
        <w:t>A și B împotriva</w:t>
      </w:r>
      <w:r w:rsidR="00B35C09">
        <w:rPr>
          <w:i/>
        </w:rPr>
        <w:t xml:space="preserve"> </w:t>
      </w:r>
      <w:r w:rsidR="007E6111">
        <w:rPr>
          <w:i/>
        </w:rPr>
        <w:t>Croației</w:t>
      </w:r>
      <w:bookmarkEnd w:id="23"/>
      <w:r w:rsidR="007E6111">
        <w:rPr>
          <w:i/>
        </w:rPr>
        <w:t xml:space="preserve"> </w:t>
      </w:r>
      <w:r w:rsidR="007E6111">
        <w:t xml:space="preserve">(citată anterior, pct. 106-113, cu trimiteri suplimentare) și, în ceea ce privește în special copiii victime ale violenței, în hotărârea </w:t>
      </w:r>
      <w:r w:rsidR="007E6111">
        <w:rPr>
          <w:i/>
        </w:rPr>
        <w:t>C.A.S. și C.S. împotriva</w:t>
      </w:r>
      <w:r w:rsidR="00B35C09">
        <w:rPr>
          <w:i/>
        </w:rPr>
        <w:t xml:space="preserve"> </w:t>
      </w:r>
      <w:r w:rsidR="007E6111">
        <w:rPr>
          <w:i/>
        </w:rPr>
        <w:t xml:space="preserve">României </w:t>
      </w:r>
      <w:r w:rsidR="007E6111">
        <w:t>(citată anterior, pct. 82).</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30</w:t>
      </w:r>
      <w:r w:rsidRPr="00605A5B">
        <w:fldChar w:fldCharType="end"/>
      </w:r>
      <w:r>
        <w:t>. Dispozițiile relevante ale Convenției Consiliului Europei pentru protecția copiilor împotriva exploatării sexuale și a abuzurilor sexuale („Convenția de la Lanzarote”), care a fost adoptată de Comitetul de Miniștri la 12 iulie 2007 și a intrat în vigoare la 1 iulie 2010, sunt prezentate în hotărârea</w:t>
      </w:r>
      <w:r>
        <w:rPr>
          <w:i/>
        </w:rPr>
        <w:t xml:space="preserve"> </w:t>
      </w:r>
      <w:bookmarkStart w:id="24" w:name="_cl40425THECOURTSASSESSMENT"/>
      <w:r>
        <w:rPr>
          <w:i/>
        </w:rPr>
        <w:t>X și alții împotriva</w:t>
      </w:r>
      <w:r w:rsidR="00B35C09">
        <w:rPr>
          <w:i/>
        </w:rPr>
        <w:t xml:space="preserve"> </w:t>
      </w:r>
      <w:r>
        <w:rPr>
          <w:i/>
        </w:rPr>
        <w:t>Bulgariei</w:t>
      </w:r>
      <w:bookmarkEnd w:id="24"/>
      <w:r>
        <w:rPr>
          <w:i/>
        </w:rPr>
        <w:t xml:space="preserve"> </w:t>
      </w:r>
      <w:r>
        <w:t>[(MC), nr. 22457/16, pct. 127, 2 februarie 2021].</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31</w:t>
      </w:r>
      <w:r w:rsidRPr="00605A5B">
        <w:fldChar w:fldCharType="end"/>
      </w:r>
      <w:r>
        <w:t xml:space="preserve">. </w:t>
      </w:r>
      <w:r>
        <w:rPr>
          <w:rFonts w:ascii="Times New Roman" w:hAnsi="Times New Roman"/>
        </w:rPr>
        <w:t xml:space="preserve">Curtea observă că ancheta internă privind vătămările suferite de cea de a doua reclamantă la vârsta de </w:t>
      </w:r>
      <w:r w:rsidR="00B35C09">
        <w:rPr>
          <w:rFonts w:ascii="Times New Roman" w:hAnsi="Times New Roman"/>
        </w:rPr>
        <w:t>8 </w:t>
      </w:r>
      <w:r>
        <w:rPr>
          <w:rFonts w:ascii="Times New Roman" w:hAnsi="Times New Roman"/>
        </w:rPr>
        <w:t xml:space="preserve">ani s-a desfășurat în perioada 5 decembrie 2018-13 noiembrie 2023 – adică timp de aproape </w:t>
      </w:r>
      <w:r w:rsidR="00B35C09">
        <w:rPr>
          <w:rFonts w:ascii="Times New Roman" w:hAnsi="Times New Roman"/>
        </w:rPr>
        <w:t>5 </w:t>
      </w:r>
      <w:r>
        <w:rPr>
          <w:rFonts w:ascii="Times New Roman" w:hAnsi="Times New Roman"/>
        </w:rPr>
        <w:t>ani – mai întâi în ceea ce privește acuzațiile de rele tratamente și, ulterior, în privința acuzațiilor de agresiune sexuală (a se vedea supra, pct. </w:t>
      </w:r>
      <w:r w:rsidR="006A210F" w:rsidRPr="00605A5B">
        <w:rPr>
          <w:rFonts w:ascii="Times New Roman" w:eastAsia="Times New Roman" w:hAnsi="Times New Roman" w:cs="Times New Roman"/>
        </w:rPr>
        <w:fldChar w:fldCharType="begin"/>
      </w:r>
      <w:r w:rsidR="006A210F" w:rsidRPr="00605A5B">
        <w:rPr>
          <w:rFonts w:ascii="Times New Roman" w:eastAsia="Times New Roman" w:hAnsi="Times New Roman" w:cs="Times New Roman"/>
        </w:rPr>
        <w:instrText xml:space="preserve"> REF paragraph5draftADD \h </w:instrText>
      </w:r>
      <w:r w:rsidR="006A210F" w:rsidRPr="00605A5B">
        <w:rPr>
          <w:rFonts w:ascii="Times New Roman" w:eastAsia="Times New Roman" w:hAnsi="Times New Roman" w:cs="Times New Roman"/>
        </w:rPr>
      </w:r>
      <w:r w:rsidR="006A210F" w:rsidRPr="00605A5B">
        <w:rPr>
          <w:rFonts w:ascii="Times New Roman" w:eastAsia="Times New Roman" w:hAnsi="Times New Roman" w:cs="Times New Roman"/>
        </w:rPr>
        <w:fldChar w:fldCharType="separate"/>
      </w:r>
      <w:r w:rsidRPr="00605A5B">
        <w:t>5</w:t>
      </w:r>
      <w:r w:rsidR="006A210F" w:rsidRPr="00605A5B">
        <w:rPr>
          <w:rFonts w:ascii="Times New Roman" w:eastAsia="Times New Roman" w:hAnsi="Times New Roman" w:cs="Times New Roman"/>
        </w:rPr>
        <w:fldChar w:fldCharType="end"/>
      </w:r>
      <w:r>
        <w:rPr>
          <w:rFonts w:ascii="Times New Roman" w:hAnsi="Times New Roman"/>
        </w:rPr>
        <w:t>-</w:t>
      </w:r>
      <w:r w:rsidR="006A210F" w:rsidRPr="00605A5B">
        <w:rPr>
          <w:rFonts w:ascii="Times New Roman" w:eastAsia="Times New Roman" w:hAnsi="Times New Roman" w:cs="Times New Roman"/>
        </w:rPr>
        <w:fldChar w:fldCharType="begin"/>
      </w:r>
      <w:r w:rsidR="006A210F" w:rsidRPr="00605A5B">
        <w:rPr>
          <w:rFonts w:ascii="Times New Roman" w:eastAsia="Times New Roman" w:hAnsi="Times New Roman" w:cs="Times New Roman"/>
        </w:rPr>
        <w:instrText xml:space="preserve"> REF paragraph00005 \h  \* CharFormat </w:instrText>
      </w:r>
      <w:r w:rsidR="006A210F" w:rsidRPr="00605A5B">
        <w:rPr>
          <w:rFonts w:ascii="Times New Roman" w:eastAsia="Times New Roman" w:hAnsi="Times New Roman" w:cs="Times New Roman"/>
        </w:rPr>
      </w:r>
      <w:r w:rsidR="006A210F" w:rsidRPr="00605A5B">
        <w:rPr>
          <w:rFonts w:ascii="Times New Roman" w:eastAsia="Times New Roman" w:hAnsi="Times New Roman" w:cs="Times New Roman"/>
        </w:rPr>
        <w:fldChar w:fldCharType="separate"/>
      </w:r>
      <w:r w:rsidRPr="00605A5B">
        <w:rPr>
          <w:rFonts w:ascii="Times New Roman" w:eastAsia="Times New Roman" w:hAnsi="Times New Roman" w:cs="Times New Roman"/>
        </w:rPr>
        <w:t>6</w:t>
      </w:r>
      <w:r w:rsidR="006A210F" w:rsidRPr="00605A5B">
        <w:rPr>
          <w:rFonts w:ascii="Times New Roman" w:eastAsia="Times New Roman" w:hAnsi="Times New Roman" w:cs="Times New Roman"/>
        </w:rPr>
        <w:fldChar w:fldCharType="end"/>
      </w:r>
      <w:r>
        <w:rPr>
          <w:rFonts w:ascii="Times New Roman" w:hAnsi="Times New Roman"/>
        </w:rPr>
        <w:t xml:space="preserve"> și</w:t>
      </w:r>
      <w:r>
        <w:t xml:space="preserve"> </w:t>
      </w:r>
      <w:r w:rsidR="006A210F" w:rsidRPr="00605A5B">
        <w:fldChar w:fldCharType="begin"/>
      </w:r>
      <w:r w:rsidR="006A210F" w:rsidRPr="00605A5B">
        <w:instrText xml:space="preserve"> REF paragraph00008 \h  \* CharFormat </w:instrText>
      </w:r>
      <w:r w:rsidR="006A210F" w:rsidRPr="00605A5B">
        <w:fldChar w:fldCharType="separate"/>
      </w:r>
      <w:r w:rsidRPr="00605A5B">
        <w:t>8</w:t>
      </w:r>
      <w:r w:rsidR="006A210F" w:rsidRPr="00605A5B">
        <w:fldChar w:fldCharType="end"/>
      </w:r>
      <w:r>
        <w:rPr>
          <w:rFonts w:ascii="Times New Roman" w:hAnsi="Times New Roman"/>
        </w:rPr>
        <w: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32</w:t>
      </w:r>
      <w:r w:rsidRPr="00605A5B">
        <w:fldChar w:fldCharType="end"/>
      </w:r>
      <w:r>
        <w:t>. Curtea este de acord cu constatările judecătoriei, care a admis că durata anchetei a fost excesivă, observând totodată că organele de urmărire penală au audiat doar câțiva martori între 2019 și 2021, cauza nu prezenta o complexitate deosebită, iar pretinsele victime nu au contribuit în niciun fel la prelungirea anchetei (a se vedea supra, pct. </w:t>
      </w:r>
      <w:r w:rsidR="00A015AD" w:rsidRPr="00605A5B">
        <w:fldChar w:fldCharType="begin"/>
      </w:r>
      <w:r w:rsidR="00A015AD" w:rsidRPr="00605A5B">
        <w:instrText xml:space="preserve"> REF paragraph00018 \h  \* CharFormat </w:instrText>
      </w:r>
      <w:r w:rsidR="00A015AD" w:rsidRPr="00605A5B">
        <w:fldChar w:fldCharType="separate"/>
      </w:r>
      <w:r w:rsidRPr="00605A5B">
        <w:t>18</w:t>
      </w:r>
      <w:r w:rsidR="00A015AD" w:rsidRPr="00605A5B">
        <w:fldChar w:fldCharType="end"/>
      </w:r>
      <w:r>
        <w:t>).</w:t>
      </w:r>
    </w:p>
    <w:p w:rsidR="0084331A" w:rsidRPr="00605A5B" w:rsidRDefault="006A210F" w:rsidP="00605A5B">
      <w:pPr>
        <w:pStyle w:val="JuPara"/>
      </w:pPr>
      <w:r w:rsidRPr="00605A5B">
        <w:rPr>
          <w:rFonts w:ascii="Times New Roman" w:eastAsia="Times New Roman" w:hAnsi="Times New Roman" w:cs="Times New Roman"/>
        </w:rPr>
        <w:fldChar w:fldCharType="begin"/>
      </w:r>
      <w:r w:rsidRPr="00605A5B">
        <w:rPr>
          <w:rFonts w:ascii="Times New Roman" w:eastAsia="Times New Roman" w:hAnsi="Times New Roman" w:cs="Times New Roman"/>
        </w:rPr>
        <w:instrText xml:space="preserve"> SEQ level0 \*arabic \* MERGEFORMAT </w:instrText>
      </w:r>
      <w:r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33</w:t>
      </w:r>
      <w:r w:rsidRPr="00605A5B">
        <w:rPr>
          <w:rFonts w:ascii="Times New Roman" w:eastAsia="Times New Roman" w:hAnsi="Times New Roman" w:cs="Times New Roman"/>
        </w:rPr>
        <w:fldChar w:fldCharType="end"/>
      </w:r>
      <w:r>
        <w:rPr>
          <w:rFonts w:ascii="Times New Roman" w:hAnsi="Times New Roman"/>
        </w:rPr>
        <w:t xml:space="preserve">. </w:t>
      </w:r>
      <w:r>
        <w:t xml:space="preserve">Curtea observă, de asemenea, că pretinsul făptuitor (tatăl celei de a doua reclamante) a fost mai întâi audiat în calitate de martor de către organele de urmărire penală, la </w:t>
      </w:r>
      <w:r w:rsidR="00B35C09">
        <w:t>6 </w:t>
      </w:r>
      <w:r>
        <w:t>săptămâni după depunerea plângerii penale, în pofida probelor medico-legale existente (a se vedea supra, pct. </w:t>
      </w:r>
      <w:r w:rsidRPr="00605A5B">
        <w:rPr>
          <w:rFonts w:ascii="Times New Roman" w:eastAsia="Times New Roman" w:hAnsi="Times New Roman" w:cs="Times New Roman"/>
        </w:rPr>
        <w:fldChar w:fldCharType="begin"/>
      </w:r>
      <w:r w:rsidRPr="00605A5B">
        <w:rPr>
          <w:rFonts w:ascii="Times New Roman" w:eastAsia="Times New Roman" w:hAnsi="Times New Roman" w:cs="Times New Roman"/>
        </w:rPr>
        <w:instrText xml:space="preserve"> REF paragraph00004 \h  \* CharFormat </w:instrText>
      </w:r>
      <w:r w:rsidRPr="00605A5B">
        <w:rPr>
          <w:rFonts w:ascii="Times New Roman" w:eastAsia="Times New Roman" w:hAnsi="Times New Roman" w:cs="Times New Roman"/>
        </w:rPr>
      </w:r>
      <w:r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4</w:t>
      </w:r>
      <w:r w:rsidRPr="00605A5B">
        <w:rPr>
          <w:rFonts w:ascii="Times New Roman" w:eastAsia="Times New Roman" w:hAnsi="Times New Roman" w:cs="Times New Roman"/>
        </w:rPr>
        <w:fldChar w:fldCharType="end"/>
      </w:r>
      <w:r>
        <w:t>-</w:t>
      </w:r>
      <w:r w:rsidR="007111B3" w:rsidRPr="00605A5B">
        <w:rPr>
          <w:rFonts w:ascii="Times New Roman" w:eastAsia="Times New Roman" w:hAnsi="Times New Roman" w:cs="Times New Roman"/>
        </w:rPr>
        <w:fldChar w:fldCharType="begin"/>
      </w:r>
      <w:r w:rsidR="007111B3" w:rsidRPr="00605A5B">
        <w:rPr>
          <w:rFonts w:ascii="Times New Roman" w:eastAsia="Times New Roman" w:hAnsi="Times New Roman" w:cs="Times New Roman"/>
        </w:rPr>
        <w:instrText xml:space="preserve"> REF paragraph00007 \h  \* CharFormat </w:instrText>
      </w:r>
      <w:r w:rsidR="007111B3" w:rsidRPr="00605A5B">
        <w:rPr>
          <w:rFonts w:ascii="Times New Roman" w:eastAsia="Times New Roman" w:hAnsi="Times New Roman" w:cs="Times New Roman"/>
        </w:rPr>
      </w:r>
      <w:r w:rsidR="007111B3"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7</w:t>
      </w:r>
      <w:r w:rsidR="007111B3" w:rsidRPr="00605A5B">
        <w:rPr>
          <w:rFonts w:ascii="Times New Roman" w:eastAsia="Times New Roman" w:hAnsi="Times New Roman" w:cs="Times New Roman"/>
        </w:rPr>
        <w:fldChar w:fldCharType="end"/>
      </w:r>
      <w:r>
        <w:t>).</w:t>
      </w:r>
      <w:r>
        <w:rPr>
          <w:rFonts w:ascii="Times New Roman" w:hAnsi="Times New Roman"/>
        </w:rPr>
        <w:t xml:space="preserve"> </w:t>
      </w:r>
      <w:r>
        <w:t>În plus, el a fost audiat în legătură cu acuzațiile de agresiune sexuală la mai mult de un an după ce victima a informat poliția că tatăl său manifestase ceea ce ea a descris ca fiind un comportament necorespunzător de natură sexuală (a se vedea supra, pct. </w:t>
      </w:r>
      <w:r w:rsidRPr="00605A5B">
        <w:rPr>
          <w:rFonts w:ascii="Times New Roman" w:eastAsia="Times New Roman" w:hAnsi="Times New Roman" w:cs="Times New Roman"/>
        </w:rPr>
        <w:fldChar w:fldCharType="begin"/>
      </w:r>
      <w:r w:rsidRPr="00605A5B">
        <w:rPr>
          <w:rFonts w:ascii="Times New Roman" w:eastAsia="Times New Roman" w:hAnsi="Times New Roman" w:cs="Times New Roman"/>
        </w:rPr>
        <w:instrText xml:space="preserve"> REF paragraph00008 \h  \* CharFormat </w:instrText>
      </w:r>
      <w:r w:rsidRPr="00605A5B">
        <w:rPr>
          <w:rFonts w:ascii="Times New Roman" w:eastAsia="Times New Roman" w:hAnsi="Times New Roman" w:cs="Times New Roman"/>
        </w:rPr>
      </w:r>
      <w:r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8</w:t>
      </w:r>
      <w:r w:rsidRPr="00605A5B">
        <w:rPr>
          <w:rFonts w:ascii="Times New Roman" w:eastAsia="Times New Roman" w:hAnsi="Times New Roman" w:cs="Times New Roman"/>
        </w:rPr>
        <w:fldChar w:fldCharType="end"/>
      </w:r>
      <w:r>
        <w:t xml:space="preserve"> și </w:t>
      </w:r>
      <w:r w:rsidRPr="00605A5B">
        <w:rPr>
          <w:rFonts w:ascii="Times New Roman" w:eastAsia="Times New Roman" w:hAnsi="Times New Roman" w:cs="Times New Roman"/>
        </w:rPr>
        <w:fldChar w:fldCharType="begin"/>
      </w:r>
      <w:r w:rsidRPr="00605A5B">
        <w:rPr>
          <w:rFonts w:ascii="Times New Roman" w:eastAsia="Times New Roman" w:hAnsi="Times New Roman" w:cs="Times New Roman"/>
        </w:rPr>
        <w:instrText xml:space="preserve"> REF paragraph00015 \h  \* CharFormat </w:instrText>
      </w:r>
      <w:r w:rsidRPr="00605A5B">
        <w:rPr>
          <w:rFonts w:ascii="Times New Roman" w:eastAsia="Times New Roman" w:hAnsi="Times New Roman" w:cs="Times New Roman"/>
        </w:rPr>
      </w:r>
      <w:r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12</w:t>
      </w:r>
      <w:r w:rsidRPr="00605A5B">
        <w:rPr>
          <w:rFonts w:ascii="Times New Roman" w:eastAsia="Times New Roman" w:hAnsi="Times New Roman" w:cs="Times New Roman"/>
        </w:rPr>
        <w:fldChar w:fldCharType="end"/>
      </w:r>
      <w:r>
        <w:t>).</w:t>
      </w:r>
      <w:r>
        <w:rPr>
          <w:rFonts w:ascii="Times New Roman" w:hAnsi="Times New Roman"/>
        </w:rPr>
        <w:t xml:space="preserve"> </w:t>
      </w:r>
      <w:r>
        <w:t>De asemenea, a trecut aproape un an de la declarația celei de a doua reclamante, potrivit căreia procurorul a dispus ca INML să efectueze o expertiză psihiatrică a acesteia pentru a stabili dacă a fost victima unui abuz sexual (a se vedea supra, pct. </w:t>
      </w:r>
      <w:r w:rsidRPr="00605A5B">
        <w:rPr>
          <w:rFonts w:ascii="Times New Roman" w:eastAsia="Times New Roman" w:hAnsi="Times New Roman" w:cs="Times New Roman"/>
        </w:rPr>
        <w:fldChar w:fldCharType="begin"/>
      </w:r>
      <w:r w:rsidRPr="00605A5B">
        <w:rPr>
          <w:rFonts w:ascii="Times New Roman" w:eastAsia="Times New Roman" w:hAnsi="Times New Roman" w:cs="Times New Roman"/>
        </w:rPr>
        <w:instrText xml:space="preserve"> REF paragraph00014 \h  \* CharFormat </w:instrText>
      </w:r>
      <w:r w:rsidRPr="00605A5B">
        <w:rPr>
          <w:rFonts w:ascii="Times New Roman" w:eastAsia="Times New Roman" w:hAnsi="Times New Roman" w:cs="Times New Roman"/>
        </w:rPr>
      </w:r>
      <w:r w:rsidRPr="00605A5B">
        <w:rPr>
          <w:rFonts w:ascii="Times New Roman" w:eastAsia="Times New Roman" w:hAnsi="Times New Roman" w:cs="Times New Roman"/>
        </w:rPr>
        <w:fldChar w:fldCharType="separate"/>
      </w:r>
      <w:r w:rsidR="00605A5B" w:rsidRPr="00605A5B">
        <w:rPr>
          <w:rFonts w:ascii="Times New Roman" w:eastAsia="Times New Roman" w:hAnsi="Times New Roman" w:cs="Times New Roman"/>
        </w:rPr>
        <w:t>11</w:t>
      </w:r>
      <w:r w:rsidRPr="00605A5B">
        <w:rPr>
          <w:rFonts w:ascii="Times New Roman" w:eastAsia="Times New Roman" w:hAnsi="Times New Roman" w:cs="Times New Roman"/>
        </w:rPr>
        <w:fldChar w:fldCharType="end"/>
      </w:r>
      <w:r>
        <w:t>).</w:t>
      </w:r>
      <w:r>
        <w:rPr>
          <w:rFonts w:ascii="Times New Roman" w:hAnsi="Times New Roman"/>
        </w:rPr>
        <w:t xml:space="preserve"> </w:t>
      </w:r>
      <w:r>
        <w:t xml:space="preserve">Astfel de întârzieri sunt incompatibile cu cerințele unei anchete prompte în cauzele având ca obiect acuzații de abuz asupra copiilor (a se vedea, </w:t>
      </w:r>
      <w:bookmarkStart w:id="25" w:name="_cl34673THECOURTSASSESSMENT"/>
      <w:r>
        <w:rPr>
          <w:i/>
        </w:rPr>
        <w:t>mutatis mutandis</w:t>
      </w:r>
      <w:r>
        <w:t>,</w:t>
      </w:r>
      <w:r>
        <w:rPr>
          <w:i/>
        </w:rPr>
        <w:t xml:space="preserve"> R.I.P. și D.L.P. împotriva</w:t>
      </w:r>
      <w:r w:rsidR="00B35C09">
        <w:rPr>
          <w:i/>
        </w:rPr>
        <w:t xml:space="preserve"> </w:t>
      </w:r>
      <w:r>
        <w:rPr>
          <w:i/>
        </w:rPr>
        <w:t>României</w:t>
      </w:r>
      <w:bookmarkEnd w:id="25"/>
      <w:r>
        <w:t>, nr. 27782/10, pct. 61-63, 10 mai 2012).</w:t>
      </w:r>
    </w:p>
    <w:p w:rsidR="0084331A" w:rsidRPr="00605A5B" w:rsidRDefault="004B7D60" w:rsidP="00605A5B">
      <w:pPr>
        <w:pStyle w:val="JuPara"/>
      </w:pPr>
      <w:fldSimple w:instr=" SEQ level0 \*arabic \* MERGEFORMAT ">
        <w:bookmarkStart w:id="26" w:name="paragraph00034"/>
        <w:r w:rsidR="00605A5B" w:rsidRPr="00605A5B">
          <w:t>34</w:t>
        </w:r>
        <w:bookmarkEnd w:id="26"/>
      </w:fldSimple>
      <w:r w:rsidR="007E6111">
        <w:t xml:space="preserve">. Curtea observă că primul raport medico-legal a fost întocmit la 2 octombrie 2020 – adică la mai mult de un an și jumătate după ce au fost formulate prima dată acuzațiile de abuz sexual asupra copilului în cauză – de către o comisie formată din trei experți, dintre care unul era medic de psihiatrie pediatrică. </w:t>
      </w:r>
      <w:r w:rsidR="00253357" w:rsidRPr="00253357">
        <w:t xml:space="preserve">Raportul respectiv </w:t>
      </w:r>
      <w:r w:rsidR="007E6111">
        <w:t xml:space="preserve">a pus sub semnul întrebării credibilitatea celei de a doua reclamante pe baza examinării sale în prezența pretinsului făptuitor, tatăl său, menționând că „aceasta a devenit neliniștită, era vizibil tulburată și a început să plângă, renunțând la declarațiile pe care le făcuse anterior în fața membrilor comisiei”. În această privință, trebuie să se constate că autoritățile nu au oferit nicio explicație cu privire la necesitatea prezenței tatălui reclamantei respective sau la impactul acesteia asupra ei. Curtea reamintește că necesitatea unei confruntări trebuie să fie cântărită cu atenție de către autorități și că demnitatea și sensibilitatea victimei trebuie să fie luate în considerare și protejate, deoarece victima percepe adesea procesul penal privind infracțiuni de natură sexuală ca fiind un calvar, în special în cauzele care implică un minor [a se vedea </w:t>
      </w:r>
      <w:bookmarkStart w:id="27" w:name="_cl39387THECOURTSASSESSMENT"/>
      <w:r w:rsidR="007E6111">
        <w:rPr>
          <w:i/>
        </w:rPr>
        <w:t>Y. împotriva</w:t>
      </w:r>
      <w:r w:rsidR="00B35C09">
        <w:rPr>
          <w:i/>
        </w:rPr>
        <w:t xml:space="preserve"> </w:t>
      </w:r>
      <w:r w:rsidR="007E6111">
        <w:rPr>
          <w:i/>
        </w:rPr>
        <w:t>Sloveniei</w:t>
      </w:r>
      <w:bookmarkEnd w:id="27"/>
      <w:r w:rsidR="007E6111">
        <w:t xml:space="preserve">, nr. 41107/10, pct. 103, CEDO 2015 (extrase), și </w:t>
      </w:r>
      <w:bookmarkStart w:id="28" w:name="_cl41907THECOURTSASSESSMENT"/>
      <w:r w:rsidR="007E6111">
        <w:rPr>
          <w:i/>
        </w:rPr>
        <w:t>C. împotriva</w:t>
      </w:r>
      <w:r w:rsidR="00B35C09">
        <w:rPr>
          <w:i/>
        </w:rPr>
        <w:t xml:space="preserve"> </w:t>
      </w:r>
      <w:r w:rsidR="007E6111">
        <w:rPr>
          <w:i/>
        </w:rPr>
        <w:t>României</w:t>
      </w:r>
      <w:bookmarkEnd w:id="28"/>
      <w:r w:rsidR="007E6111">
        <w:t xml:space="preserve">, nr. 47358/20, pct. 85, 30 august 2022]. Curtea observă, de asemenea, că al doilea raport medico-legal, întocmit la 6 august 2021, a concluzionat că nu au putut fi identificate semne de abuz emoțional. Fără a pune la îndoială credibilitatea celei de a doua reclamante, al doilea raport a constatat că aceasta a afirmat că tatăl </w:t>
      </w:r>
      <w:r w:rsidR="007E6111">
        <w:lastRenderedPageBreak/>
        <w:t>ei țipa deseori la ea și că l-a văzut bătând-o pe mama ei, un astfel de comportament fiind etichetat de autorii raportului drept „neadecvat” și o „stângăcie”. În ceea ce privește faptul că tatăl celei de a doua reclamante a stat în repetate rânduri dezbrăcat în prezența ei, în raport s-a apreciat că „nu s-a evidențiat o conotație sexuală a acestui comportament” și că acesta era un „comportament acceptat în anumite medii sociale și [...] o practică întâlnită la persoane cu anumite carențe educaționale” (a se vedea supra, pct. </w:t>
      </w:r>
      <w:r w:rsidR="0023799F" w:rsidRPr="00605A5B">
        <w:fldChar w:fldCharType="begin"/>
      </w:r>
      <w:r w:rsidR="0023799F" w:rsidRPr="00605A5B">
        <w:instrText xml:space="preserve"> REF paragraph00016 \h  \* CharFormat </w:instrText>
      </w:r>
      <w:r w:rsidR="0023799F" w:rsidRPr="00605A5B">
        <w:fldChar w:fldCharType="separate"/>
      </w:r>
      <w:r w:rsidR="00605A5B" w:rsidRPr="00605A5B">
        <w:t>16</w:t>
      </w:r>
      <w:r w:rsidR="0023799F" w:rsidRPr="00605A5B">
        <w:fldChar w:fldCharType="end"/>
      </w:r>
      <w:r w:rsidR="007E6111">
        <w:t>). Astfel de constatări, care contrastează puternic cu cele ale DGASPC (a se vedea supra, pct. </w:t>
      </w:r>
      <w:r w:rsidR="006A210F" w:rsidRPr="00605A5B">
        <w:fldChar w:fldCharType="begin"/>
      </w:r>
      <w:r w:rsidR="006A210F" w:rsidRPr="00605A5B">
        <w:instrText xml:space="preserve"> REF paragraph00017 \h  \* CharFormat </w:instrText>
      </w:r>
      <w:r w:rsidR="006A210F" w:rsidRPr="00605A5B">
        <w:fldChar w:fldCharType="separate"/>
      </w:r>
      <w:r w:rsidR="00605A5B" w:rsidRPr="00605A5B">
        <w:t>14</w:t>
      </w:r>
      <w:r w:rsidR="006A210F" w:rsidRPr="00605A5B">
        <w:fldChar w:fldCharType="end"/>
      </w:r>
      <w:r w:rsidR="007E6111">
        <w:t>), dau naștere unor preocupări serioase cu privire la aparenta absență (sau la calitatea necorespunzătoare) a formării profesionale axate pe nevoile copiilor victime ale unor astfel de acte, pe care statul pârât trebuie, în temeiul obligațiilor sale internaționale, să o asigure personalului său de specialitate care interacționează cu victimele unor acte de violență, în cadrul unor proceduri penale (</w:t>
      </w:r>
      <w:bookmarkStart w:id="29" w:name="_cl44498THECOURTSASSESSMENT"/>
      <w:r w:rsidR="007E6111">
        <w:t xml:space="preserve">a se vedea </w:t>
      </w:r>
      <w:r w:rsidR="007E6111">
        <w:rPr>
          <w:i/>
        </w:rPr>
        <w:t>M.Ș.D. împotriva</w:t>
      </w:r>
      <w:r w:rsidR="00B35C09">
        <w:rPr>
          <w:i/>
        </w:rPr>
        <w:t xml:space="preserve"> </w:t>
      </w:r>
      <w:r w:rsidR="007E6111">
        <w:rPr>
          <w:i/>
        </w:rPr>
        <w:t>României</w:t>
      </w:r>
      <w:bookmarkEnd w:id="29"/>
      <w:r w:rsidR="007E6111">
        <w:t>, nr. 28935/21, pct. 147, 3 decembrie 2024).</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35</w:t>
      </w:r>
      <w:r w:rsidRPr="00605A5B">
        <w:fldChar w:fldCharType="end"/>
      </w:r>
      <w:r>
        <w:t xml:space="preserve">. Curtea nu poate înlocui autoritățile naționale în aprecierea faptelor cauzei și nici nu se poate pronunța cu privire la răspunderea penală a presupusului făptuitor (a se vedea </w:t>
      </w:r>
      <w:r>
        <w:rPr>
          <w:i/>
        </w:rPr>
        <w:t>X și alții împotriva Bulgariei,</w:t>
      </w:r>
      <w:r>
        <w:t xml:space="preserve"> citată anterior, pct. 186). Cu toate acestea, Curtea observă că, în temeiul instrumentelor internaționale relevante, anchetele și procedurile penale ar trebui să se desfășoare într-un mod care să asigure protecția interesului superior al copiilor și a drepturilor acestora, o astfel de protecție necesitând adoptarea unor măsuri de protecție adaptate copiilor, pentru minorii victime în cadrul procedurilor penale (a se vedea, de exemplu, articolul 35 din Convenția de la Lanzarote, care prevede că autoritățile sunt obligate să se asigure că audierile copilului au loc fără întârzieri nejustificate după ce faptele au fost sesizate autorităților competente și că astfel de audieri sunt desfășurate de către profesioniști pregătiți în acest scop (a se vedea</w:t>
      </w:r>
      <w:r>
        <w:rPr>
          <w:i/>
        </w:rPr>
        <w:t xml:space="preserve"> </w:t>
      </w:r>
      <w:bookmarkStart w:id="30" w:name="_cl40755THECOURTSASSESSMENT"/>
      <w:r>
        <w:rPr>
          <w:i/>
        </w:rPr>
        <w:t>R.B. împotriva</w:t>
      </w:r>
      <w:r w:rsidR="00B35C09">
        <w:rPr>
          <w:i/>
        </w:rPr>
        <w:t xml:space="preserve"> </w:t>
      </w:r>
      <w:r>
        <w:rPr>
          <w:i/>
        </w:rPr>
        <w:t>Estoniei</w:t>
      </w:r>
      <w:bookmarkEnd w:id="30"/>
      <w:r>
        <w:rPr>
          <w:i/>
        </w:rPr>
        <w:t xml:space="preserve">, </w:t>
      </w:r>
      <w:r>
        <w:t>nr. 22597/16, pct. 99, 22 iunie 2021). Astfel de măsuri presupun, de asemenea, protecția împotriva victimizării secundare.</w:t>
      </w:r>
    </w:p>
    <w:p w:rsidR="0084331A" w:rsidRPr="00605A5B" w:rsidRDefault="00605A5B" w:rsidP="00605A5B">
      <w:pPr>
        <w:pStyle w:val="JuPara"/>
        <w:rPr>
          <w:rFonts w:ascii="Times New Roman" w:eastAsia="Calibri" w:hAnsi="Times New Roman" w:cs="Times New Roman"/>
        </w:rPr>
      </w:pPr>
      <w:r w:rsidRPr="00605A5B">
        <w:fldChar w:fldCharType="begin"/>
      </w:r>
      <w:r w:rsidR="006A210F">
        <w:instrText xml:space="preserve"> SEQ level0 \*arabic \* MERGEFORMAT </w:instrText>
      </w:r>
      <w:r w:rsidRPr="00605A5B">
        <w:fldChar w:fldCharType="separate"/>
      </w:r>
      <w:r w:rsidRPr="00605A5B">
        <w:t>36</w:t>
      </w:r>
      <w:r w:rsidRPr="00605A5B">
        <w:fldChar w:fldCharType="end"/>
      </w:r>
      <w:r>
        <w:t>. Pe baza probelor de care dispune și, în special, ținând seama de deficiențele semnificative în răspunsul procedural al autorităților naționale la acuzațiile celei de a doua reclamante (deficiențe care au subminat urmărirea penală efectivă a abuzului sexual săvârșit asupra copilului în cauză), Curtea concluzionează că ancheta nu a fost nici promptă, nici efectivă și că nu s-a desfășurat cu diligența necesară în cauzele penale privind copiii care sunt victime ale unor abuzuri.</w:t>
      </w:r>
    </w:p>
    <w:p w:rsidR="0084331A" w:rsidRPr="00605A5B" w:rsidRDefault="006A210F" w:rsidP="00605A5B">
      <w:pPr>
        <w:pStyle w:val="JuPara"/>
      </w:pPr>
      <w:r>
        <w:t xml:space="preserve">Prin urmare, au fost încălcate art. 3 </w:t>
      </w:r>
      <w:r w:rsidR="00B35C09">
        <w:t>și</w:t>
      </w:r>
      <w:r>
        <w:t xml:space="preserve"> 8 din Convenție.</w:t>
      </w:r>
    </w:p>
    <w:p w:rsidR="0084331A" w:rsidRPr="00605A5B" w:rsidRDefault="006A210F" w:rsidP="00605A5B">
      <w:pPr>
        <w:pStyle w:val="JuHIRoman"/>
      </w:pPr>
      <w:r>
        <w:t xml:space="preserve">CU PRIVIRE LA PRETINSA ÎNCĂLCARE A ART. 3 ȘI </w:t>
      </w:r>
      <w:r w:rsidR="0068508D">
        <w:t xml:space="preserve">A </w:t>
      </w:r>
      <w:r>
        <w:t>ART. 8 DIN CONVENȚIE ÎN PRIVINȚA CELUI DE AL TREILEA RECLAMANT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37</w:t>
      </w:r>
      <w:r w:rsidRPr="00605A5B">
        <w:fldChar w:fldCharType="end"/>
      </w:r>
      <w:r>
        <w:t>. În ceea ce îl privește pe cel de al treilea reclamant, Curtea constată că, în pofida plângerii formulate de mama sa (prima reclamantă) în iulie 2018, se pare că nu a fost desfășurată o anchetă penală cu privire la actele de violență la care ar fi fost supus de către tatăl său (a se vedea supra, pct. </w:t>
      </w:r>
      <w:r w:rsidR="006A210F" w:rsidRPr="00605A5B">
        <w:fldChar w:fldCharType="begin"/>
      </w:r>
      <w:r w:rsidR="006A210F" w:rsidRPr="00605A5B">
        <w:instrText xml:space="preserve"> REF paragraph00003 \h  \* CharFormat </w:instrText>
      </w:r>
      <w:r w:rsidR="006A210F" w:rsidRPr="00605A5B">
        <w:fldChar w:fldCharType="separate"/>
      </w:r>
      <w:r w:rsidRPr="00605A5B">
        <w:t>3</w:t>
      </w:r>
      <w:r w:rsidR="006A210F" w:rsidRPr="00605A5B">
        <w:fldChar w:fldCharType="end"/>
      </w:r>
      <w:r>
        <w:t>). Deși prima reclamantă s-a implicat activ în ancheta penală privind pretinsul abuz săvârșit asupra fiicei sale, se pare că aceasta nu a reiterat în fața procurorului sau a instanțelor naționale plângerea sa inițială cu privire la cel de al treilea reclamant.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38</w:t>
      </w:r>
      <w:r w:rsidRPr="00605A5B">
        <w:fldChar w:fldCharType="end"/>
      </w:r>
      <w:r>
        <w:t>. Cu toate acestea, prima reclamantă nu a rămas pasivă în ceea ce privește acuzațiile referitoare la cel de al treilea reclamant, întrucât a sesizat în repetate rânduri serviciile sociale cu privire la faptul că acesta din urmă a fost victima unui abuz asupra copiilor. Totuși, raportul relevant întocmit de DGASPC a concluzionat că al treilea reclamant nu prezenta niciun semn de abuz emoțional, în pofida faptului că acesta a spus că tatăl său obișnuia să</w:t>
      </w:r>
      <w:r w:rsidR="00B35C09">
        <w:t xml:space="preserve"> î</w:t>
      </w:r>
      <w:r>
        <w:t>l supună unor pedepse fizice atunci când făcea ceva greșit (a se vedea supra, pct. </w:t>
      </w:r>
      <w:r w:rsidR="006A210F" w:rsidRPr="00605A5B">
        <w:fldChar w:fldCharType="begin"/>
      </w:r>
      <w:r w:rsidR="006A210F" w:rsidRPr="00605A5B">
        <w:instrText xml:space="preserve"> REF MSandOthersparagraph20 \h  \* MERGEFORMAT </w:instrText>
      </w:r>
      <w:r w:rsidR="006A210F" w:rsidRPr="00605A5B">
        <w:fldChar w:fldCharType="separate"/>
      </w:r>
      <w:r w:rsidRPr="00605A5B">
        <w:t>20</w:t>
      </w:r>
      <w:r w:rsidR="006A210F" w:rsidRPr="00605A5B">
        <w:fldChar w:fldCharType="end"/>
      </w:r>
      <w:r>
        <w:t>). Prin urmare, nu s-a luat nicio măsură suplimentară în ceea ce îl privește pe cel de al treilea reclamant, care a continuat să locuiască împreună cu tatăl său.</w:t>
      </w:r>
    </w:p>
    <w:p w:rsidR="0084331A" w:rsidRPr="00605A5B" w:rsidRDefault="00605A5B" w:rsidP="00605A5B">
      <w:pPr>
        <w:pStyle w:val="JuPara"/>
        <w:rPr>
          <w:rFonts w:eastAsiaTheme="minorEastAsia"/>
        </w:rPr>
      </w:pPr>
      <w:r w:rsidRPr="00605A5B">
        <w:lastRenderedPageBreak/>
        <w:fldChar w:fldCharType="begin"/>
      </w:r>
      <w:r w:rsidR="006A210F">
        <w:instrText xml:space="preserve"> SEQ level0 \*arabic \* MERGEFORMAT </w:instrText>
      </w:r>
      <w:r w:rsidRPr="00605A5B">
        <w:fldChar w:fldCharType="separate"/>
      </w:r>
      <w:r w:rsidRPr="00605A5B">
        <w:t>39</w:t>
      </w:r>
      <w:r w:rsidRPr="00605A5B">
        <w:fldChar w:fldCharType="end"/>
      </w:r>
      <w:r>
        <w:t>. Având în vedere natura și fondul capetelor de cerere formulate de cel de al treilea reclamant, acestea trebuie examinate în temeiul art. 3 și 8 din Convenție (a se vedea supra, pct. </w:t>
      </w:r>
      <w:r w:rsidR="006A210F" w:rsidRPr="00605A5B">
        <w:fldChar w:fldCharType="begin"/>
      </w:r>
      <w:r w:rsidR="006A210F" w:rsidRPr="00605A5B">
        <w:instrText xml:space="preserve"> REF paragraph00033 \h  \* CharFormat </w:instrText>
      </w:r>
      <w:r w:rsidR="006A210F" w:rsidRPr="00605A5B">
        <w:fldChar w:fldCharType="separate"/>
      </w:r>
      <w:r w:rsidRPr="00605A5B">
        <w:t>27</w:t>
      </w:r>
      <w:r w:rsidR="006A210F" w:rsidRPr="00605A5B">
        <w:fldChar w:fldCharType="end"/>
      </w:r>
      <w:r>
        <w:t>).</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40</w:t>
      </w:r>
      <w:r w:rsidRPr="00605A5B">
        <w:fldChar w:fldCharType="end"/>
      </w:r>
      <w:r>
        <w:t>. Curtea constată că aceste capete de cerere nu sunt în mod vădit nefondate în sensul art. 35§ 3 lit. a) din Convenție și că nu prezintă niciun alt motiv de inadmisibilitate. Prin urmare, trebuie să fie declarate admisibile.</w:t>
      </w:r>
    </w:p>
    <w:p w:rsidR="0084331A" w:rsidRPr="00605A5B" w:rsidRDefault="00605A5B" w:rsidP="00605A5B">
      <w:pPr>
        <w:ind w:firstLine="284"/>
        <w:jc w:val="both"/>
      </w:pPr>
      <w:r w:rsidRPr="00605A5B">
        <w:fldChar w:fldCharType="begin"/>
      </w:r>
      <w:r w:rsidR="006A210F">
        <w:instrText xml:space="preserve"> SEQ level0 \*arabic \* MERGEFORMAT </w:instrText>
      </w:r>
      <w:r w:rsidRPr="00605A5B">
        <w:fldChar w:fldCharType="separate"/>
      </w:r>
      <w:r w:rsidRPr="00605A5B">
        <w:t>41</w:t>
      </w:r>
      <w:r w:rsidRPr="00605A5B">
        <w:fldChar w:fldCharType="end"/>
      </w:r>
      <w:r>
        <w:t xml:space="preserve">. Făcând referire la principiile generale privind obligațiile pozitive ale statelor în temeiul art. 3 și 8, reiterate la punctul </w:t>
      </w:r>
      <w:r w:rsidR="006A210F" w:rsidRPr="00605A5B">
        <w:fldChar w:fldCharType="begin"/>
      </w:r>
      <w:r w:rsidR="006A210F" w:rsidRPr="00605A5B">
        <w:instrText xml:space="preserve"> REF paragraph00035 \h  \* CharFormat </w:instrText>
      </w:r>
      <w:r w:rsidR="006A210F" w:rsidRPr="00605A5B">
        <w:fldChar w:fldCharType="separate"/>
      </w:r>
      <w:r w:rsidRPr="00605A5B">
        <w:t>29</w:t>
      </w:r>
      <w:r w:rsidR="006A210F" w:rsidRPr="00605A5B">
        <w:fldChar w:fldCharType="end"/>
      </w:r>
      <w:r>
        <w:t xml:space="preserve"> de mai sus, și la dispozițiile legislației interne și internaționale privind copiii care sunt victime ale pedepselor fizice (a se vedea, </w:t>
      </w:r>
      <w:r>
        <w:rPr>
          <w:i/>
        </w:rPr>
        <w:t>mutatis mutandis</w:t>
      </w:r>
      <w:r>
        <w:t xml:space="preserve">, </w:t>
      </w:r>
      <w:bookmarkStart w:id="31" w:name="_cl24022THECOURTSASSESSMENT"/>
      <w:r>
        <w:rPr>
          <w:i/>
        </w:rPr>
        <w:t>D.M.D. împotriva</w:t>
      </w:r>
      <w:r w:rsidR="00B35C09">
        <w:rPr>
          <w:i/>
        </w:rPr>
        <w:t xml:space="preserve"> </w:t>
      </w:r>
      <w:r>
        <w:rPr>
          <w:i/>
        </w:rPr>
        <w:t>României</w:t>
      </w:r>
      <w:bookmarkEnd w:id="31"/>
      <w:r>
        <w:t>, nr. 23022/13, pct. 21, 42 și 49-50, 3 octombrie 2017), Curtea constată cu îngrijorare că, în scrisoarea sa din 29 octombrie 2020, Autoritatea Națională pentru Drepturile Persoanelor cu Dizabilități, Copii și Adopții a informat-o pe prima reclamantă că a fost inițiată o procedură disciplinară împotriva mai multor angajați ai DGASPC, deoarece aceștia nu au realizat o evaluare adecvată a acuzațiilor primei reclamante de abuz asupra copiilor, cu respectarea cerințelor legale (supra, pct. </w:t>
      </w:r>
      <w:r w:rsidR="006A210F" w:rsidRPr="00605A5B">
        <w:rPr>
          <w:rFonts w:ascii="Times New Roman" w:hAnsi="Times New Roman" w:cs="Times New Roman"/>
        </w:rPr>
        <w:fldChar w:fldCharType="begin"/>
      </w:r>
      <w:r w:rsidR="006A210F" w:rsidRPr="00605A5B">
        <w:rPr>
          <w:rFonts w:ascii="Times New Roman" w:hAnsi="Times New Roman" w:cs="Times New Roman"/>
        </w:rPr>
        <w:instrText xml:space="preserve"> REF paragraph00021 \h  \* CharFormat  \* MERGEFORMAT </w:instrText>
      </w:r>
      <w:r w:rsidR="006A210F" w:rsidRPr="00605A5B">
        <w:rPr>
          <w:rFonts w:ascii="Times New Roman" w:hAnsi="Times New Roman" w:cs="Times New Roman"/>
        </w:rPr>
      </w:r>
      <w:r w:rsidR="006A210F" w:rsidRPr="00605A5B">
        <w:rPr>
          <w:rFonts w:ascii="Times New Roman" w:hAnsi="Times New Roman" w:cs="Times New Roman"/>
        </w:rPr>
        <w:fldChar w:fldCharType="separate"/>
      </w:r>
      <w:r w:rsidRPr="00605A5B">
        <w:rPr>
          <w:rFonts w:ascii="Times New Roman" w:hAnsi="Times New Roman" w:cs="Times New Roman"/>
        </w:rPr>
        <w:t>21</w:t>
      </w:r>
      <w:r w:rsidR="006A210F" w:rsidRPr="00605A5B">
        <w:rPr>
          <w:rFonts w:ascii="Times New Roman" w:hAnsi="Times New Roman" w:cs="Times New Roman"/>
        </w:rPr>
        <w:fldChar w:fldCharType="end"/>
      </w:r>
      <w:r>
        <w:t>).</w:t>
      </w:r>
      <w:r>
        <w:rPr>
          <w:rFonts w:ascii="Times New Roman" w:hAnsi="Times New Roman"/>
        </w:rPr>
        <w:t xml:space="preserve"> </w:t>
      </w:r>
      <w:r w:rsidR="0068508D">
        <w:rPr>
          <w:rFonts w:ascii="Times New Roman" w:hAnsi="Times New Roman"/>
        </w:rPr>
        <w:t>Totuși</w:t>
      </w:r>
      <w:r>
        <w:rPr>
          <w:rFonts w:ascii="Times New Roman" w:hAnsi="Times New Roman"/>
        </w:rPr>
        <w:t xml:space="preserve">, Curtea nu a fost informată cu privire la adoptarea vreunei măsuri suplimentare în acest sens. </w:t>
      </w:r>
      <w:r>
        <w:t>În această privință, Curtea constată deficiențe semnificative în răspunsul procedural al autorităților competente la plângerile privind abuzul fizic și emoțional asupra celui de al treilea reclamant, inclusiv o întârziere semnificativă în realizarea unui interviu cu al treilea reclamant, după sesizarea faptelor (supra, pct. </w:t>
      </w:r>
      <w:r w:rsidR="00B17E54" w:rsidRPr="00605A5B">
        <w:rPr>
          <w:rFonts w:ascii="Times New Roman" w:hAnsi="Times New Roman" w:cs="Times New Roman"/>
        </w:rPr>
        <w:fldChar w:fldCharType="begin"/>
      </w:r>
      <w:r w:rsidR="00B17E54" w:rsidRPr="00605A5B">
        <w:rPr>
          <w:rFonts w:ascii="Times New Roman" w:hAnsi="Times New Roman" w:cs="Times New Roman"/>
        </w:rPr>
        <w:instrText xml:space="preserve"> REF MSandOthersparagraph20 \h  \* CharFormat </w:instrText>
      </w:r>
      <w:r w:rsidR="00B17E54" w:rsidRPr="00605A5B">
        <w:rPr>
          <w:rFonts w:ascii="Times New Roman" w:hAnsi="Times New Roman" w:cs="Times New Roman"/>
        </w:rPr>
      </w:r>
      <w:r w:rsidR="00B17E54" w:rsidRPr="00605A5B">
        <w:rPr>
          <w:rFonts w:ascii="Times New Roman" w:hAnsi="Times New Roman" w:cs="Times New Roman"/>
        </w:rPr>
        <w:fldChar w:fldCharType="separate"/>
      </w:r>
      <w:r w:rsidRPr="00605A5B">
        <w:rPr>
          <w:rFonts w:ascii="Times New Roman" w:hAnsi="Times New Roman" w:cs="Times New Roman"/>
        </w:rPr>
        <w:t>20</w:t>
      </w:r>
      <w:r w:rsidR="00B17E54" w:rsidRPr="00605A5B">
        <w:rPr>
          <w:rFonts w:ascii="Times New Roman" w:hAnsi="Times New Roman" w:cs="Times New Roman"/>
        </w:rPr>
        <w:fldChar w:fldCharType="end"/>
      </w:r>
      <w:r>
        <w:t>).</w:t>
      </w:r>
      <w:r>
        <w:rPr>
          <w:rFonts w:ascii="Times New Roman" w:hAnsi="Times New Roman"/>
        </w:rPr>
        <w:t xml:space="preserve"> </w:t>
      </w:r>
      <w:r>
        <w:t>La fel ca în cazul celei de a doua reclamante, al treilea reclamant, care avea 5 ani în iulie 2021, a fost de asemenea intervievat de un psiholog, în prezența pretinsului făptuitor, tatăl său (supra, pct. </w:t>
      </w:r>
      <w:r w:rsidR="006A210F" w:rsidRPr="00605A5B">
        <w:rPr>
          <w:rFonts w:ascii="Times New Roman" w:hAnsi="Times New Roman" w:cs="Times New Roman"/>
        </w:rPr>
        <w:fldChar w:fldCharType="begin"/>
      </w:r>
      <w:r w:rsidR="006A210F" w:rsidRPr="00605A5B">
        <w:rPr>
          <w:rFonts w:ascii="Times New Roman" w:hAnsi="Times New Roman" w:cs="Times New Roman"/>
        </w:rPr>
        <w:instrText xml:space="preserve"> REF MSandOthersparagraph20 \h  \* CharFormat  \* MERGEFORMAT </w:instrText>
      </w:r>
      <w:r w:rsidR="006A210F" w:rsidRPr="00605A5B">
        <w:rPr>
          <w:rFonts w:ascii="Times New Roman" w:hAnsi="Times New Roman" w:cs="Times New Roman"/>
        </w:rPr>
      </w:r>
      <w:r w:rsidR="006A210F" w:rsidRPr="00605A5B">
        <w:rPr>
          <w:rFonts w:ascii="Times New Roman" w:hAnsi="Times New Roman" w:cs="Times New Roman"/>
        </w:rPr>
        <w:fldChar w:fldCharType="separate"/>
      </w:r>
      <w:r w:rsidRPr="00605A5B">
        <w:rPr>
          <w:rFonts w:ascii="Times New Roman" w:hAnsi="Times New Roman" w:cs="Times New Roman"/>
        </w:rPr>
        <w:t>20</w:t>
      </w:r>
      <w:r w:rsidR="006A210F" w:rsidRPr="00605A5B">
        <w:rPr>
          <w:rFonts w:ascii="Times New Roman" w:hAnsi="Times New Roman" w:cs="Times New Roman"/>
        </w:rPr>
        <w:fldChar w:fldCharType="end"/>
      </w:r>
      <w:r>
        <w:t xml:space="preserve"> și </w:t>
      </w:r>
      <w:r w:rsidR="006A210F" w:rsidRPr="00605A5B">
        <w:rPr>
          <w:rFonts w:ascii="Times New Roman" w:hAnsi="Times New Roman" w:cs="Times New Roman"/>
        </w:rPr>
        <w:fldChar w:fldCharType="begin"/>
      </w:r>
      <w:r w:rsidR="006A210F" w:rsidRPr="00605A5B">
        <w:rPr>
          <w:rFonts w:ascii="Times New Roman" w:hAnsi="Times New Roman" w:cs="Times New Roman"/>
        </w:rPr>
        <w:instrText xml:space="preserve"> REF paragraph00034 \h  \* CharFormat  \* MERGEFORMAT </w:instrText>
      </w:r>
      <w:r w:rsidR="006A210F" w:rsidRPr="00605A5B">
        <w:rPr>
          <w:rFonts w:ascii="Times New Roman" w:hAnsi="Times New Roman" w:cs="Times New Roman"/>
        </w:rPr>
      </w:r>
      <w:r w:rsidR="006A210F" w:rsidRPr="00605A5B">
        <w:rPr>
          <w:rFonts w:ascii="Times New Roman" w:hAnsi="Times New Roman" w:cs="Times New Roman"/>
        </w:rPr>
        <w:fldChar w:fldCharType="separate"/>
      </w:r>
      <w:r w:rsidRPr="00605A5B">
        <w:rPr>
          <w:rFonts w:ascii="Times New Roman" w:hAnsi="Times New Roman" w:cs="Times New Roman"/>
        </w:rPr>
        <w:t>34</w:t>
      </w:r>
      <w:r w:rsidR="006A210F" w:rsidRPr="00605A5B">
        <w:rPr>
          <w:rFonts w:ascii="Times New Roman" w:hAnsi="Times New Roman" w:cs="Times New Roman"/>
        </w:rPr>
        <w:fldChar w:fldCharType="end"/>
      </w:r>
      <w:r>
        <w:t>).</w:t>
      </w:r>
      <w:r>
        <w:rPr>
          <w:rFonts w:ascii="Times New Roman" w:hAnsi="Times New Roman"/>
        </w:rPr>
        <w:t xml:space="preserve"> În pofida faptului că în raport s-a menționat că al treilea reclamant a afirmat că tatăl său l-a supus unor pedepse fizice, serviciile sociale nu au informat poliția. Așadar, Curtea concluzionează că răspunsul procedural al autorităților competente nu a fost nici prompt, nici eficient și că nu a fost asigurat cu diligența necesară în cauzele referitoare la copii care sunt victime ale unui abuz.</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42</w:t>
      </w:r>
      <w:r w:rsidRPr="00605A5B">
        <w:fldChar w:fldCharType="end"/>
      </w:r>
      <w:r>
        <w:t>. Curtea constată că a existat o încălcare a art. 3 și 8 din Convenție în privința celui de al treilea reclamant.</w:t>
      </w:r>
    </w:p>
    <w:p w:rsidR="0084331A" w:rsidRPr="00605A5B" w:rsidRDefault="006A210F" w:rsidP="00605A5B">
      <w:pPr>
        <w:pStyle w:val="JuHIRoman"/>
      </w:pPr>
      <w:r>
        <w:t>MOTIVAREA CURȚII ÎN PRIVINȚA PRIMEI RECLAMANTE</w:t>
      </w:r>
    </w:p>
    <w:p w:rsidR="0084331A" w:rsidRPr="00605A5B" w:rsidRDefault="00605A5B" w:rsidP="00605A5B">
      <w:pPr>
        <w:pStyle w:val="JuPara"/>
        <w:rPr>
          <w:rFonts w:asciiTheme="majorHAnsi" w:eastAsiaTheme="minorEastAsia" w:hAnsiTheme="majorHAnsi" w:cstheme="majorHAnsi"/>
          <w:snapToGrid w:val="0"/>
          <w:szCs w:val="22"/>
        </w:rPr>
      </w:pPr>
      <w:r w:rsidRPr="00605A5B">
        <w:fldChar w:fldCharType="begin"/>
      </w:r>
      <w:r w:rsidR="006A210F">
        <w:instrText xml:space="preserve"> SEQ level0 \*arabic \* MERGEFORMAT </w:instrText>
      </w:r>
      <w:r w:rsidRPr="00605A5B">
        <w:fldChar w:fldCharType="separate"/>
      </w:r>
      <w:r w:rsidRPr="00605A5B">
        <w:t>43</w:t>
      </w:r>
      <w:r w:rsidRPr="00605A5B">
        <w:fldChar w:fldCharType="end"/>
      </w:r>
      <w:r>
        <w:t>. Guvernul</w:t>
      </w:r>
      <w:r>
        <w:rPr>
          <w:rFonts w:asciiTheme="majorHAnsi" w:hAnsiTheme="majorHAnsi"/>
        </w:rPr>
        <w:t xml:space="preserve"> a ridicat o excepție preliminară cu privire la calitatea de victimă a primei reclamante.</w:t>
      </w:r>
    </w:p>
    <w:p w:rsidR="0084331A" w:rsidRPr="00605A5B" w:rsidRDefault="006A210F" w:rsidP="00605A5B">
      <w:pPr>
        <w:ind w:firstLine="284"/>
        <w:jc w:val="both"/>
        <w:rPr>
          <w:rFonts w:eastAsiaTheme="minorEastAsia"/>
          <w:color w:val="000000" w:themeColor="text1"/>
          <w:szCs w:val="22"/>
        </w:rPr>
      </w:pPr>
      <w:r w:rsidRPr="00605A5B">
        <w:rPr>
          <w:rFonts w:eastAsiaTheme="minorEastAsia"/>
          <w:color w:val="000000" w:themeColor="text1"/>
        </w:rPr>
        <w:fldChar w:fldCharType="begin"/>
      </w:r>
      <w:r w:rsidRPr="00605A5B">
        <w:rPr>
          <w:rFonts w:eastAsiaTheme="minorEastAsia"/>
          <w:color w:val="000000" w:themeColor="text1"/>
        </w:rPr>
        <w:instrText xml:space="preserve"> SEQ level0 \*arabic \* MERGEFORMAT </w:instrText>
      </w:r>
      <w:r w:rsidRPr="00605A5B">
        <w:rPr>
          <w:rFonts w:eastAsiaTheme="minorEastAsia"/>
          <w:color w:val="000000" w:themeColor="text1"/>
        </w:rPr>
        <w:fldChar w:fldCharType="separate"/>
      </w:r>
      <w:r w:rsidR="00605A5B" w:rsidRPr="00605A5B">
        <w:rPr>
          <w:rFonts w:eastAsiaTheme="minorEastAsia"/>
          <w:color w:val="000000" w:themeColor="text1"/>
        </w:rPr>
        <w:t>44</w:t>
      </w:r>
      <w:r w:rsidRPr="00605A5B">
        <w:rPr>
          <w:rFonts w:eastAsiaTheme="minorEastAsia"/>
          <w:color w:val="000000" w:themeColor="text1"/>
        </w:rPr>
        <w:fldChar w:fldCharType="end"/>
      </w:r>
      <w:r>
        <w:rPr>
          <w:color w:val="000000" w:themeColor="text1"/>
        </w:rPr>
        <w:t xml:space="preserve">. În prezenta cauză, prima reclamantă a susținut că răspunsul autorităților naționale la acuzațiile de abuz asupra celor doi copii ai săi nu a respectat obligațiile statului în temeiul art. 3 și 8 din Convenție. Aceste capete de cerere se refereau la cea de a doua reclamantă și cel de al treilea reclamant, care erau reprezentați de prima reclamantă. Având în vedere faptul că, după depunerea prezentei cereri și în cursul procedurii contradictorii în fața Curții, prima reclamantă s-a poziționat doar ca reprezentantă a celei de a doua reclamante și a celui de al treilea reclamant, Curtea apreciază că se poate considera că prima reclamantă nu mai dorește să mențină propria </w:t>
      </w:r>
      <w:r w:rsidR="00B1105C">
        <w:rPr>
          <w:color w:val="000000" w:themeColor="text1"/>
        </w:rPr>
        <w:t>cerere</w:t>
      </w:r>
      <w:r>
        <w:rPr>
          <w:color w:val="000000" w:themeColor="text1"/>
        </w:rPr>
        <w:t xml:space="preserve"> formulată inițial, în sensul art. 37 § 1 lit. a) din Convenție. În plus, în conformitate cu art. 37 § 1 </w:t>
      </w:r>
      <w:r>
        <w:rPr>
          <w:i/>
          <w:color w:val="000000" w:themeColor="text1"/>
        </w:rPr>
        <w:t>in fine,</w:t>
      </w:r>
      <w:r>
        <w:rPr>
          <w:color w:val="000000" w:themeColor="text1"/>
        </w:rPr>
        <w:t xml:space="preserve"> Curtea constată că nu există împrejurări speciale, referitoare la respectarea drepturilor omului garantate prin Convenție și prin protocoalele sale, care să impună continuarea examinării cererii în ceea ce o privește pe prima reclamantă.</w:t>
      </w:r>
    </w:p>
    <w:p w:rsidR="0084331A" w:rsidRPr="00605A5B" w:rsidRDefault="006A210F" w:rsidP="00605A5B">
      <w:pPr>
        <w:ind w:firstLine="284"/>
        <w:jc w:val="both"/>
        <w:rPr>
          <w:rFonts w:eastAsiaTheme="minorEastAsia"/>
          <w:color w:val="000000" w:themeColor="text1"/>
          <w:szCs w:val="22"/>
        </w:rPr>
      </w:pPr>
      <w:r w:rsidRPr="00605A5B">
        <w:rPr>
          <w:rFonts w:eastAsiaTheme="minorEastAsia"/>
          <w:color w:val="000000" w:themeColor="text1"/>
        </w:rPr>
        <w:fldChar w:fldCharType="begin"/>
      </w:r>
      <w:r w:rsidRPr="00605A5B">
        <w:rPr>
          <w:rFonts w:eastAsiaTheme="minorEastAsia"/>
          <w:color w:val="000000" w:themeColor="text1"/>
        </w:rPr>
        <w:instrText xml:space="preserve"> SEQ level0 \*arabic </w:instrText>
      </w:r>
      <w:r w:rsidRPr="00605A5B">
        <w:rPr>
          <w:rFonts w:eastAsiaTheme="minorEastAsia"/>
          <w:color w:val="000000" w:themeColor="text1"/>
        </w:rPr>
        <w:fldChar w:fldCharType="separate"/>
      </w:r>
      <w:r w:rsidR="00605A5B" w:rsidRPr="00605A5B">
        <w:rPr>
          <w:rFonts w:eastAsiaTheme="minorEastAsia"/>
          <w:color w:val="000000" w:themeColor="text1"/>
        </w:rPr>
        <w:t>45</w:t>
      </w:r>
      <w:r w:rsidRPr="00605A5B">
        <w:rPr>
          <w:rFonts w:eastAsiaTheme="minorEastAsia"/>
          <w:color w:val="000000" w:themeColor="text1"/>
        </w:rPr>
        <w:fldChar w:fldCharType="end"/>
      </w:r>
      <w:r>
        <w:rPr>
          <w:color w:val="000000" w:themeColor="text1"/>
        </w:rPr>
        <w:t>. În consecință, este necesară scoaterea de pe rol a acestui capăt de cerere.</w:t>
      </w:r>
    </w:p>
    <w:p w:rsidR="0084331A" w:rsidRPr="00605A5B" w:rsidRDefault="006A210F" w:rsidP="00605A5B">
      <w:pPr>
        <w:pStyle w:val="JuHHead"/>
      </w:pPr>
      <w:r>
        <w:rPr>
          <w:caps w:val="0"/>
        </w:rPr>
        <w:t>CU PRIVIRE LA APLICAREA ART. 41 DIN CONVENȚIE</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46</w:t>
      </w:r>
      <w:r w:rsidRPr="00605A5B">
        <w:fldChar w:fldCharType="end"/>
      </w:r>
      <w:r>
        <w:t>. A doua reclamantă și al treilea reclamant au solicitat stabilirea de către Curte a cuantumului reparației care trebuie acordată cu titlu de despăgubire pentru prejudiciul moral.</w:t>
      </w:r>
    </w:p>
    <w:p w:rsidR="0084331A" w:rsidRPr="00605A5B" w:rsidRDefault="00605A5B" w:rsidP="00605A5B">
      <w:pPr>
        <w:pStyle w:val="JuPara"/>
      </w:pPr>
      <w:r w:rsidRPr="00605A5B">
        <w:lastRenderedPageBreak/>
        <w:fldChar w:fldCharType="begin"/>
      </w:r>
      <w:r w:rsidR="006A210F">
        <w:instrText xml:space="preserve"> SEQ level0 \*arabic \* MERGEFORMAT </w:instrText>
      </w:r>
      <w:r w:rsidRPr="00605A5B">
        <w:fldChar w:fldCharType="separate"/>
      </w:r>
      <w:r w:rsidRPr="00605A5B">
        <w:t>47</w:t>
      </w:r>
      <w:r w:rsidRPr="00605A5B">
        <w:fldChar w:fldCharType="end"/>
      </w:r>
      <w:r>
        <w:t>. Guvernul a susținut că nu ar trebui acordată o astfel de reparație.</w:t>
      </w:r>
    </w:p>
    <w:p w:rsidR="0084331A" w:rsidRPr="00605A5B" w:rsidRDefault="00605A5B" w:rsidP="00605A5B">
      <w:pPr>
        <w:pStyle w:val="JuPara"/>
      </w:pPr>
      <w:r w:rsidRPr="00605A5B">
        <w:fldChar w:fldCharType="begin"/>
      </w:r>
      <w:r w:rsidR="006A210F">
        <w:instrText xml:space="preserve"> SEQ level0 \*arabic \* MERGEFORMAT </w:instrText>
      </w:r>
      <w:r w:rsidRPr="00605A5B">
        <w:fldChar w:fldCharType="separate"/>
      </w:r>
      <w:r w:rsidRPr="00605A5B">
        <w:t>48</w:t>
      </w:r>
      <w:r w:rsidRPr="00605A5B">
        <w:fldChar w:fldCharType="end"/>
      </w:r>
      <w:r>
        <w:t>. Curtea acordă celei de a doua reclamante 15 000 de euro cu titlu de despăgubire pentru prejudiciul moral, plus orice sumă ce poate fi datorată cu titlu de impozit. Curtea acordă celui de al treilea reclamant 10 000 de euro cu titlu de despăgubire pentru prejudiciul moral, plus orice sumă ce poate fi datorată cu titlu de impozit.</w:t>
      </w:r>
    </w:p>
    <w:p w:rsidR="0084331A" w:rsidRPr="00605A5B" w:rsidRDefault="006A210F" w:rsidP="00605A5B">
      <w:pPr>
        <w:pStyle w:val="JuHHead"/>
      </w:pPr>
      <w:r>
        <w:t>PENTRU ACESTE MOTIVE, CURTEA, ÎN UNANIMITATE,</w:t>
      </w:r>
    </w:p>
    <w:p w:rsidR="0084331A" w:rsidRPr="00605A5B" w:rsidRDefault="006A210F" w:rsidP="00B1105C">
      <w:pPr>
        <w:pStyle w:val="JuList"/>
      </w:pPr>
      <w:r>
        <w:rPr>
          <w:i/>
        </w:rPr>
        <w:t xml:space="preserve">decide </w:t>
      </w:r>
      <w:r w:rsidR="00B1105C" w:rsidRPr="00B1105C">
        <w:t>scoaterea cererii de pe rol</w:t>
      </w:r>
      <w:r>
        <w:t>, în măsura în care aceasta o privește pe prima reclamantă;</w:t>
      </w:r>
    </w:p>
    <w:p w:rsidR="0084331A" w:rsidRPr="00605A5B" w:rsidRDefault="006A210F" w:rsidP="00605A5B">
      <w:pPr>
        <w:pStyle w:val="JuList"/>
      </w:pPr>
      <w:r>
        <w:rPr>
          <w:i/>
        </w:rPr>
        <w:t>declară</w:t>
      </w:r>
      <w:r>
        <w:t xml:space="preserve"> admisibile capetele de cerere care se referă la cea de a doua reclamantă și cel de al treilea reclamant;</w:t>
      </w:r>
    </w:p>
    <w:p w:rsidR="0084331A" w:rsidRPr="00605A5B" w:rsidRDefault="006A210F" w:rsidP="00605A5B">
      <w:pPr>
        <w:pStyle w:val="JuList"/>
      </w:pPr>
      <w:r>
        <w:rPr>
          <w:i/>
          <w:iCs/>
        </w:rPr>
        <w:t>hotărăște</w:t>
      </w:r>
      <w:r>
        <w:t xml:space="preserve"> că au fost încălcate art. 3 și 8 din Convenție;</w:t>
      </w:r>
    </w:p>
    <w:p w:rsidR="0084331A" w:rsidRPr="00605A5B" w:rsidRDefault="006A210F" w:rsidP="00605A5B">
      <w:pPr>
        <w:pStyle w:val="JuList"/>
      </w:pPr>
      <w:r>
        <w:rPr>
          <w:i/>
        </w:rPr>
        <w:t>hotărăște</w:t>
      </w:r>
    </w:p>
    <w:p w:rsidR="0084331A" w:rsidRPr="00605A5B" w:rsidRDefault="006A210F" w:rsidP="00605A5B">
      <w:pPr>
        <w:pStyle w:val="JuLista"/>
        <w:numPr>
          <w:ilvl w:val="1"/>
          <w:numId w:val="1"/>
        </w:numPr>
      </w:pPr>
      <w:r>
        <w:t xml:space="preserve">că statul pârât trebuie să plătească celei de a doua reclamante, în termen de </w:t>
      </w:r>
      <w:r w:rsidR="00DD20A5">
        <w:t>3 </w:t>
      </w:r>
      <w:r>
        <w:t>luni, suma de 15 000 EUR (cincisprezece mii de euro), care trebuie convertită în moneda națională a statului pârât la rata de schimb aplicabilă la data plății, pentru prejudiciul moral, plus orice sumă ce poate fi datorată cu titlu de impozit;</w:t>
      </w:r>
    </w:p>
    <w:p w:rsidR="0084331A" w:rsidRPr="00605A5B" w:rsidRDefault="006A210F" w:rsidP="00605A5B">
      <w:pPr>
        <w:pStyle w:val="JuLista"/>
        <w:numPr>
          <w:ilvl w:val="1"/>
          <w:numId w:val="1"/>
        </w:numPr>
      </w:pPr>
      <w:r>
        <w:t xml:space="preserve">că statul pârât trebuie să plătească celui de al treilea reclamant, în termen de </w:t>
      </w:r>
      <w:r w:rsidR="00DD20A5">
        <w:t>3 </w:t>
      </w:r>
      <w:r>
        <w:t>luni, suma de 10 000 EUR (zece mii de euro), care trebuie convertită în moneda națională a statului pârât la rata de schimb aplicabilă la data plății, pentru prejudiciul moral, plus orice sumă ce poate fi datorată cu titlu de impozit;</w:t>
      </w:r>
    </w:p>
    <w:p w:rsidR="004D0EC7" w:rsidRPr="00605A5B" w:rsidRDefault="006A210F" w:rsidP="00605A5B">
      <w:pPr>
        <w:pStyle w:val="JuLista"/>
        <w:numPr>
          <w:ilvl w:val="1"/>
          <w:numId w:val="1"/>
        </w:numPr>
      </w:pPr>
      <w:r>
        <w:t>că, de la expirarea termenului menționat și până la efectuarea plății, această sumă trebuie majorată cu o dobândă simplă, la o rată egală cu rata dobânzii facilității de împrumut marginal practicată de Banca Centrală Europeană, aplicabilă pe parcursul acestei perioade și majorată cu trei puncte procentuale.</w:t>
      </w:r>
    </w:p>
    <w:p w:rsidR="008E3A08" w:rsidRPr="00605A5B" w:rsidRDefault="006A210F" w:rsidP="00605A5B">
      <w:pPr>
        <w:pStyle w:val="JuParaLast"/>
      </w:pPr>
      <w:r>
        <w:t>Redactată în limba engleză, apoi comunicată în scris, la 16 iunie 2026, în temeiul art. 77 § 2 și § 3 din Regulamentul Curții.</w:t>
      </w:r>
    </w:p>
    <w:p w:rsidR="007E79A4" w:rsidRPr="00605A5B" w:rsidRDefault="006A210F" w:rsidP="00605A5B">
      <w:pPr>
        <w:pStyle w:val="ECHRPlaceholder"/>
        <w:rPr>
          <w:szCs w:val="22"/>
        </w:rPr>
      </w:pPr>
      <w:r>
        <w:tab/>
      </w:r>
    </w:p>
    <w:p w:rsidR="00675AF2" w:rsidRPr="00605A5B" w:rsidRDefault="006A210F" w:rsidP="00605A5B">
      <w:pPr>
        <w:pStyle w:val="JuSigned"/>
      </w:pPr>
      <w:r>
        <w:tab/>
        <w:t>Valentin Nicolescu</w:t>
      </w:r>
      <w:r>
        <w:tab/>
        <w:t>Ana Maria Guerra Martins</w:t>
      </w:r>
      <w:r>
        <w:br/>
      </w:r>
      <w:r>
        <w:tab/>
        <w:t>Grefier adjunct interimar de secție</w:t>
      </w:r>
      <w:r>
        <w:tab/>
      </w:r>
      <w:r w:rsidR="00DD20A5">
        <w:t>P</w:t>
      </w:r>
      <w:r>
        <w:t>reședinte</w:t>
      </w:r>
    </w:p>
    <w:p w:rsidR="0084331A" w:rsidRPr="00605A5B" w:rsidRDefault="0084331A" w:rsidP="00605A5B">
      <w:pPr>
        <w:rPr>
          <w:noProof/>
          <w:color w:val="000000"/>
          <w:lang w:val="pt-PT"/>
        </w:rPr>
      </w:pPr>
    </w:p>
    <w:p w:rsidR="0084331A" w:rsidRPr="00605A5B" w:rsidRDefault="0084331A" w:rsidP="00605A5B">
      <w:pPr>
        <w:rPr>
          <w:noProof/>
          <w:color w:val="000000"/>
          <w:lang w:val="pt-PT"/>
        </w:rPr>
        <w:sectPr w:rsidR="0084331A" w:rsidRPr="00605A5B" w:rsidSect="00545710">
          <w:headerReference w:type="even" r:id="rId12"/>
          <w:headerReference w:type="default" r:id="rId13"/>
          <w:footerReference w:type="even" r:id="rId14"/>
          <w:footerReference w:type="default" r:id="rId15"/>
          <w:footnotePr>
            <w:numRestart w:val="eachSect"/>
          </w:footnotePr>
          <w:pgSz w:w="11906" w:h="16838" w:code="9"/>
          <w:pgMar w:top="1134" w:right="1134" w:bottom="1134" w:left="1701" w:header="1247" w:footer="720" w:gutter="0"/>
          <w:pgNumType w:start="1"/>
          <w:cols w:space="720"/>
          <w:docGrid w:linePitch="326"/>
        </w:sectPr>
      </w:pPr>
    </w:p>
    <w:p w:rsidR="0084331A" w:rsidRPr="00605A5B" w:rsidRDefault="006A210F" w:rsidP="00605A5B">
      <w:pPr>
        <w:pStyle w:val="DecHTitle"/>
        <w:rPr>
          <w:noProof/>
        </w:rPr>
      </w:pPr>
      <w:r>
        <w:lastRenderedPageBreak/>
        <w:t>ANEXĂ</w:t>
      </w:r>
    </w:p>
    <w:p w:rsidR="0084331A" w:rsidRPr="00605A5B" w:rsidRDefault="006A210F" w:rsidP="00605A5B">
      <w:pPr>
        <w:pStyle w:val="DecHCase"/>
        <w:keepNext w:val="0"/>
        <w:keepLines w:val="0"/>
        <w:jc w:val="left"/>
        <w:rPr>
          <w:rFonts w:ascii="Times New Roman" w:hAnsi="Times New Roman" w:cs="Times New Roman"/>
        </w:rPr>
      </w:pPr>
      <w:r>
        <w:rPr>
          <w:rFonts w:ascii="Times New Roman" w:hAnsi="Times New Roman"/>
        </w:rPr>
        <w:t>Lista reclamanților:</w:t>
      </w:r>
    </w:p>
    <w:tbl>
      <w:tblPr>
        <w:tblStyle w:val="ECHRListTable"/>
        <w:tblW w:w="3759" w:type="pct"/>
        <w:tblLayout w:type="fixed"/>
        <w:tblLook w:val="0420" w:firstRow="1" w:lastRow="0" w:firstColumn="0" w:lastColumn="0" w:noHBand="0" w:noVBand="1"/>
      </w:tblPr>
      <w:tblGrid>
        <w:gridCol w:w="704"/>
        <w:gridCol w:w="1913"/>
        <w:gridCol w:w="1399"/>
        <w:gridCol w:w="2796"/>
      </w:tblGrid>
      <w:tr w:rsidR="003C3E29" w:rsidTr="003C3E29">
        <w:trPr>
          <w:cnfStyle w:val="100000000000" w:firstRow="1" w:lastRow="0" w:firstColumn="0" w:lastColumn="0" w:oddVBand="0" w:evenVBand="0" w:oddHBand="0" w:evenHBand="0" w:firstRowFirstColumn="0" w:firstRowLastColumn="0" w:lastRowFirstColumn="0" w:lastRowLastColumn="0"/>
        </w:trPr>
        <w:tc>
          <w:tcPr>
            <w:tcW w:w="517" w:type="pct"/>
          </w:tcPr>
          <w:p w:rsidR="0084331A" w:rsidRPr="00605A5B" w:rsidRDefault="006A210F" w:rsidP="00605A5B">
            <w:pPr>
              <w:rPr>
                <w:rFonts w:eastAsia="Times New Roman"/>
              </w:rPr>
            </w:pPr>
            <w:r>
              <w:t>Nr.</w:t>
            </w:r>
          </w:p>
        </w:tc>
        <w:tc>
          <w:tcPr>
            <w:tcW w:w="1404" w:type="pct"/>
          </w:tcPr>
          <w:p w:rsidR="0084331A" w:rsidRPr="00605A5B" w:rsidRDefault="006A210F" w:rsidP="00605A5B">
            <w:pPr>
              <w:rPr>
                <w:rFonts w:eastAsia="Times New Roman"/>
              </w:rPr>
            </w:pPr>
            <w:r>
              <w:t>Numele</w:t>
            </w:r>
            <w:r>
              <w:br/>
              <w:t>reclamantului</w:t>
            </w:r>
          </w:p>
        </w:tc>
        <w:tc>
          <w:tcPr>
            <w:tcW w:w="1027" w:type="pct"/>
          </w:tcPr>
          <w:p w:rsidR="0084331A" w:rsidRPr="00605A5B" w:rsidRDefault="006A210F" w:rsidP="00605A5B">
            <w:pPr>
              <w:rPr>
                <w:rFonts w:eastAsia="Times New Roman"/>
              </w:rPr>
            </w:pPr>
            <w:r>
              <w:t>Anul nașterii</w:t>
            </w:r>
          </w:p>
        </w:tc>
        <w:tc>
          <w:tcPr>
            <w:tcW w:w="2052" w:type="pct"/>
          </w:tcPr>
          <w:p w:rsidR="0084331A" w:rsidRPr="00605A5B" w:rsidRDefault="006A210F" w:rsidP="00605A5B">
            <w:pPr>
              <w:rPr>
                <w:rFonts w:eastAsia="Times New Roman"/>
              </w:rPr>
            </w:pPr>
            <w:r>
              <w:t>Cetățenie</w:t>
            </w:r>
          </w:p>
        </w:tc>
      </w:tr>
      <w:tr w:rsidR="003C3E29" w:rsidTr="003C3E29">
        <w:tc>
          <w:tcPr>
            <w:tcW w:w="517" w:type="pct"/>
          </w:tcPr>
          <w:p w:rsidR="0084331A" w:rsidRPr="00605A5B" w:rsidRDefault="006A210F" w:rsidP="00605A5B">
            <w:pPr>
              <w:rPr>
                <w:rFonts w:eastAsia="Times New Roman"/>
              </w:rPr>
            </w:pPr>
            <w:r>
              <w:t>1.</w:t>
            </w:r>
          </w:p>
        </w:tc>
        <w:tc>
          <w:tcPr>
            <w:tcW w:w="1404" w:type="pct"/>
          </w:tcPr>
          <w:p w:rsidR="0084331A" w:rsidRPr="00605A5B" w:rsidRDefault="006A210F" w:rsidP="00605A5B">
            <w:pPr>
              <w:rPr>
                <w:rFonts w:eastAsia="Times New Roman"/>
              </w:rPr>
            </w:pPr>
            <w:r>
              <w:t>M. S.</w:t>
            </w:r>
          </w:p>
        </w:tc>
        <w:tc>
          <w:tcPr>
            <w:tcW w:w="1027" w:type="pct"/>
          </w:tcPr>
          <w:p w:rsidR="0084331A" w:rsidRPr="00605A5B" w:rsidRDefault="006A210F" w:rsidP="00605A5B">
            <w:pPr>
              <w:rPr>
                <w:rFonts w:eastAsia="Times New Roman"/>
              </w:rPr>
            </w:pPr>
            <w:r>
              <w:t>1977</w:t>
            </w:r>
          </w:p>
        </w:tc>
        <w:tc>
          <w:tcPr>
            <w:tcW w:w="2052" w:type="pct"/>
          </w:tcPr>
          <w:p w:rsidR="0084331A" w:rsidRPr="00605A5B" w:rsidRDefault="006A210F" w:rsidP="00605A5B">
            <w:pPr>
              <w:rPr>
                <w:rFonts w:eastAsia="Times New Roman"/>
              </w:rPr>
            </w:pPr>
            <w:r>
              <w:t>română</w:t>
            </w:r>
          </w:p>
        </w:tc>
      </w:tr>
      <w:tr w:rsidR="003C3E29" w:rsidTr="003C3E29">
        <w:tc>
          <w:tcPr>
            <w:tcW w:w="517" w:type="pct"/>
          </w:tcPr>
          <w:p w:rsidR="0084331A" w:rsidRPr="00605A5B" w:rsidRDefault="006A210F" w:rsidP="00605A5B">
            <w:pPr>
              <w:rPr>
                <w:rFonts w:eastAsia="Times New Roman"/>
              </w:rPr>
            </w:pPr>
            <w:r>
              <w:t>2.</w:t>
            </w:r>
          </w:p>
        </w:tc>
        <w:tc>
          <w:tcPr>
            <w:tcW w:w="1404" w:type="pct"/>
          </w:tcPr>
          <w:p w:rsidR="0084331A" w:rsidRPr="00605A5B" w:rsidRDefault="006A210F" w:rsidP="00605A5B">
            <w:pPr>
              <w:rPr>
                <w:rFonts w:eastAsia="Times New Roman"/>
              </w:rPr>
            </w:pPr>
            <w:r>
              <w:t>S. S.</w:t>
            </w:r>
          </w:p>
        </w:tc>
        <w:tc>
          <w:tcPr>
            <w:tcW w:w="1027" w:type="pct"/>
          </w:tcPr>
          <w:p w:rsidR="0084331A" w:rsidRPr="00605A5B" w:rsidRDefault="006A210F" w:rsidP="00605A5B">
            <w:pPr>
              <w:rPr>
                <w:rFonts w:eastAsia="Times New Roman"/>
              </w:rPr>
            </w:pPr>
            <w:r>
              <w:t>2010</w:t>
            </w:r>
          </w:p>
        </w:tc>
        <w:tc>
          <w:tcPr>
            <w:tcW w:w="2052" w:type="pct"/>
          </w:tcPr>
          <w:p w:rsidR="0084331A" w:rsidRPr="00605A5B" w:rsidRDefault="006A210F" w:rsidP="00605A5B">
            <w:pPr>
              <w:rPr>
                <w:rFonts w:eastAsia="Times New Roman"/>
              </w:rPr>
            </w:pPr>
            <w:r>
              <w:t>română</w:t>
            </w:r>
          </w:p>
        </w:tc>
      </w:tr>
      <w:tr w:rsidR="003C3E29" w:rsidTr="003C3E29">
        <w:tc>
          <w:tcPr>
            <w:tcW w:w="517" w:type="pct"/>
          </w:tcPr>
          <w:p w:rsidR="0084331A" w:rsidRPr="00605A5B" w:rsidRDefault="006A210F" w:rsidP="00605A5B">
            <w:pPr>
              <w:rPr>
                <w:rFonts w:eastAsia="Times New Roman"/>
              </w:rPr>
            </w:pPr>
            <w:r>
              <w:t>3.</w:t>
            </w:r>
          </w:p>
        </w:tc>
        <w:tc>
          <w:tcPr>
            <w:tcW w:w="1404" w:type="pct"/>
          </w:tcPr>
          <w:p w:rsidR="0084331A" w:rsidRPr="00605A5B" w:rsidRDefault="006A210F" w:rsidP="00605A5B">
            <w:pPr>
              <w:rPr>
                <w:rFonts w:eastAsia="Times New Roman"/>
              </w:rPr>
            </w:pPr>
            <w:r>
              <w:t>T. S.</w:t>
            </w:r>
          </w:p>
        </w:tc>
        <w:tc>
          <w:tcPr>
            <w:tcW w:w="1027" w:type="pct"/>
          </w:tcPr>
          <w:p w:rsidR="0084331A" w:rsidRPr="00605A5B" w:rsidRDefault="006A210F" w:rsidP="00605A5B">
            <w:pPr>
              <w:rPr>
                <w:rFonts w:eastAsia="Times New Roman"/>
              </w:rPr>
            </w:pPr>
            <w:r>
              <w:t>2016</w:t>
            </w:r>
          </w:p>
        </w:tc>
        <w:tc>
          <w:tcPr>
            <w:tcW w:w="2052" w:type="pct"/>
          </w:tcPr>
          <w:p w:rsidR="0084331A" w:rsidRPr="00605A5B" w:rsidRDefault="006A210F" w:rsidP="00605A5B">
            <w:pPr>
              <w:rPr>
                <w:rFonts w:eastAsia="Times New Roman"/>
              </w:rPr>
            </w:pPr>
            <w:r>
              <w:t>română</w:t>
            </w:r>
          </w:p>
        </w:tc>
      </w:tr>
    </w:tbl>
    <w:p w:rsidR="00182EBA" w:rsidRPr="00605A5B" w:rsidRDefault="00182EBA" w:rsidP="00605A5B"/>
    <w:sectPr w:rsidR="00182EBA" w:rsidRPr="00605A5B" w:rsidSect="00545710">
      <w:headerReference w:type="even" r:id="rId16"/>
      <w:headerReference w:type="default" r:id="rId17"/>
      <w:footerReference w:type="even" r:id="rId18"/>
      <w:footerReference w:type="default" r:id="rId19"/>
      <w:footnotePr>
        <w:numRestart w:val="eachSect"/>
      </w:footnotePr>
      <w:pgSz w:w="11906" w:h="16838" w:code="9"/>
      <w:pgMar w:top="1134" w:right="1134" w:bottom="1134" w:left="1701" w:header="124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DF5" w:rsidRDefault="00847DF5">
      <w:r>
        <w:separator/>
      </w:r>
    </w:p>
  </w:endnote>
  <w:endnote w:type="continuationSeparator" w:id="0">
    <w:p w:rsidR="00847DF5" w:rsidRDefault="00847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Pr="00150BFA" w:rsidRDefault="006A210F" w:rsidP="00A25D8E">
    <w:pPr>
      <w:jc w:val="center"/>
    </w:pPr>
    <w:r>
      <w:rPr>
        <w:noProof/>
        <w:lang w:eastAsia="ro-RO"/>
      </w:rPr>
      <w:drawing>
        <wp:inline distT="0" distB="0" distL="0" distR="0">
          <wp:extent cx="771525" cy="619125"/>
          <wp:effectExtent l="0" t="0" r="9525" b="9525"/>
          <wp:docPr id="1641165326" name="Picture 164116532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6532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84331A" w:rsidRDefault="0098410D" w:rsidP="00A25D8E">
    <w:pPr>
      <w:pStyle w:val="Footer0"/>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Pr="00150BFA" w:rsidRDefault="006A210F" w:rsidP="00A25D8E">
    <w:pPr>
      <w:jc w:val="center"/>
    </w:pPr>
    <w:r>
      <w:rPr>
        <w:noProof/>
        <w:lang w:eastAsia="ro-RO"/>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84331A" w:rsidRDefault="009E7A6F" w:rsidP="009E7A6F">
    <w:pPr>
      <w:pStyle w:val="Footer0"/>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Default="006A210F" w:rsidP="009A115C">
    <w:pPr>
      <w:pStyle w:val="JuHeader"/>
    </w:pPr>
    <w:r>
      <w:fldChar w:fldCharType="begin"/>
    </w:r>
    <w:r>
      <w:instrText xml:space="preserve"> PAGE  \* MERGEFORMAT </w:instrText>
    </w:r>
    <w:r>
      <w:fldChar w:fldCharType="separate"/>
    </w:r>
    <w:r w:rsidR="00545710">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Pr="000B7195" w:rsidRDefault="006A210F" w:rsidP="007D3701">
    <w:pPr>
      <w:pStyle w:val="JuHeader"/>
    </w:pPr>
    <w:r>
      <w:fldChar w:fldCharType="begin"/>
    </w:r>
    <w:r>
      <w:instrText xml:space="preserve"> PAGE  \* MERGEFORMAT </w:instrText>
    </w:r>
    <w:r>
      <w:fldChar w:fldCharType="separate"/>
    </w:r>
    <w:r w:rsidR="00545710">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A" w:rsidRDefault="006A210F" w:rsidP="009A115C">
    <w:pPr>
      <w:pStyle w:val="JuHeader"/>
    </w:pPr>
    <w:r>
      <w:fldChar w:fldCharType="begin"/>
    </w:r>
    <w:r>
      <w:instrText xml:space="preserve"> PAGE  \* MERGEFORMAT </w:instrText>
    </w:r>
    <w:r>
      <w:fldChar w:fldCharType="separate"/>
    </w:r>
    <w:r w:rsidR="004C566E">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A" w:rsidRPr="000B7195" w:rsidRDefault="006A210F" w:rsidP="007D3701">
    <w:pPr>
      <w:pStyle w:val="JuHeader"/>
    </w:pPr>
    <w:r>
      <w:fldChar w:fldCharType="begin"/>
    </w:r>
    <w:r>
      <w:instrText xml:space="preserve"> PAGE  \* MERGEFORMAT </w:instrText>
    </w:r>
    <w:r>
      <w:fldChar w:fldCharType="separate"/>
    </w:r>
    <w:r w:rsidR="00545710">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DF5" w:rsidRDefault="00847DF5">
      <w:r>
        <w:separator/>
      </w:r>
    </w:p>
  </w:footnote>
  <w:footnote w:type="continuationSeparator" w:id="0">
    <w:p w:rsidR="00847DF5" w:rsidRDefault="00847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Pr="00A45145" w:rsidRDefault="006A210F" w:rsidP="00A25D8E">
    <w:pPr>
      <w:jc w:val="center"/>
    </w:pPr>
    <w:r>
      <w:rPr>
        <w:noProof/>
        <w:lang w:eastAsia="ro-RO"/>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4331A" w:rsidRDefault="0098410D" w:rsidP="00A25D8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DDC" w:rsidRPr="00C226D1" w:rsidRDefault="002B4DDC" w:rsidP="002B4DDC">
    <w:pPr>
      <w:jc w:val="right"/>
      <w:rPr>
        <w:i/>
        <w:noProof/>
      </w:rPr>
    </w:pPr>
    <w:r>
      <w:rPr>
        <w:i/>
      </w:rPr>
      <w:t>Tradus și revizuit de IER (https://ier.gov.ro/)</w:t>
    </w:r>
  </w:p>
  <w:p w:rsidR="002B4DDC" w:rsidRDefault="002B4DDC" w:rsidP="00A25D8E">
    <w:pPr>
      <w:jc w:val="center"/>
      <w:rPr>
        <w:noProof/>
        <w:lang w:eastAsia="ro-RO"/>
      </w:rPr>
    </w:pPr>
  </w:p>
  <w:p w:rsidR="004D52DE" w:rsidRDefault="004D52DE" w:rsidP="00A25D8E">
    <w:pPr>
      <w:jc w:val="center"/>
      <w:rPr>
        <w:noProof/>
        <w:lang w:eastAsia="ro-RO"/>
      </w:rPr>
    </w:pPr>
  </w:p>
  <w:p w:rsidR="0084331A" w:rsidRPr="00A45145" w:rsidRDefault="006A210F" w:rsidP="00A25D8E">
    <w:pPr>
      <w:jc w:val="center"/>
    </w:pPr>
    <w:r>
      <w:rPr>
        <w:noProof/>
        <w:lang w:eastAsia="ro-RO"/>
      </w:rPr>
      <w:drawing>
        <wp:inline distT="0" distB="0" distL="0" distR="0">
          <wp:extent cx="2962275" cy="1219200"/>
          <wp:effectExtent l="0" t="0" r="9525" b="0"/>
          <wp:docPr id="1632142871" name="Picture 16321428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4287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84331A" w:rsidRDefault="0098410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Default="006A210F" w:rsidP="004D0EC7">
    <w:pPr>
      <w:pStyle w:val="JuHeader"/>
    </w:pPr>
    <w:r>
      <w:t>HOTĂRÂREA M.S. ȘI ALȚII ÎMPOTRIVA ROMÂNIEI</w:t>
    </w:r>
  </w:p>
  <w:p w:rsidR="004D52DE" w:rsidRDefault="004D52DE" w:rsidP="004D0EC7">
    <w:pPr>
      <w:pStyle w:val="JuHeader"/>
    </w:pPr>
  </w:p>
  <w:p w:rsidR="004D52DE" w:rsidRPr="004D0EC7" w:rsidRDefault="004D52DE" w:rsidP="004D0EC7">
    <w:pPr>
      <w:pStyle w:val="Ju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1A" w:rsidRDefault="006A210F" w:rsidP="007D3701">
    <w:pPr>
      <w:pStyle w:val="JuHeader"/>
    </w:pPr>
    <w:r>
      <w:t>HOTĂRÂREA M.S. ȘI ALȚII ÎMPOTRIVA ROMÂNIEI</w:t>
    </w:r>
  </w:p>
  <w:p w:rsidR="004D52DE" w:rsidRDefault="004D52DE" w:rsidP="007D3701">
    <w:pPr>
      <w:pStyle w:val="JuHeader"/>
    </w:pPr>
  </w:p>
  <w:p w:rsidR="004D52DE" w:rsidRPr="00882CD5" w:rsidRDefault="004D52DE" w:rsidP="007D3701">
    <w:pPr>
      <w:pStyle w:val="Ju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A" w:rsidRPr="004D0EC7" w:rsidRDefault="006A210F" w:rsidP="004D0EC7">
    <w:pPr>
      <w:pStyle w:val="JuHeader"/>
    </w:pPr>
    <w:r>
      <w:t>HOTĂRÂREA M.S. ȘI ALȚII ÎMPOTRIVA ROMÂNIEI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EBA" w:rsidRDefault="006A210F" w:rsidP="007D3701">
    <w:pPr>
      <w:pStyle w:val="JuHeader"/>
    </w:pPr>
    <w:r>
      <w:t>HOTĂRÂREA M.S. ȘI ALȚII ÎMPOTRIVA ROMÂNIEI</w:t>
    </w:r>
  </w:p>
  <w:p w:rsidR="004D52DE" w:rsidRDefault="004D52DE" w:rsidP="007D3701">
    <w:pPr>
      <w:pStyle w:val="JuHeader"/>
    </w:pPr>
  </w:p>
  <w:p w:rsidR="004D52DE" w:rsidRPr="00882CD5" w:rsidRDefault="004D52DE" w:rsidP="007D3701">
    <w:pPr>
      <w:pStyle w:val="Ju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BE323EB6">
      <w:start w:val="1"/>
      <w:numFmt w:val="bullet"/>
      <w:pStyle w:val="ListBullet"/>
      <w:lvlText w:val=""/>
      <w:lvlJc w:val="left"/>
      <w:pPr>
        <w:tabs>
          <w:tab w:val="num" w:pos="851"/>
        </w:tabs>
        <w:ind w:left="568" w:firstLine="0"/>
      </w:pPr>
      <w:rPr>
        <w:rFonts w:ascii="Wingdings" w:hAnsi="Wingdings" w:hint="default"/>
        <w:color w:val="808080"/>
        <w:sz w:val="16"/>
      </w:rPr>
    </w:lvl>
    <w:lvl w:ilvl="1" w:tplc="223CD83A" w:tentative="1">
      <w:start w:val="1"/>
      <w:numFmt w:val="bullet"/>
      <w:lvlText w:val="o"/>
      <w:lvlJc w:val="left"/>
      <w:pPr>
        <w:tabs>
          <w:tab w:val="num" w:pos="1724"/>
        </w:tabs>
        <w:ind w:left="1724" w:hanging="360"/>
      </w:pPr>
      <w:rPr>
        <w:rFonts w:ascii="Courier New" w:hAnsi="Courier New" w:cs="Courier New" w:hint="default"/>
      </w:rPr>
    </w:lvl>
    <w:lvl w:ilvl="2" w:tplc="EA2C1C26" w:tentative="1">
      <w:start w:val="1"/>
      <w:numFmt w:val="bullet"/>
      <w:lvlText w:val=""/>
      <w:lvlJc w:val="left"/>
      <w:pPr>
        <w:tabs>
          <w:tab w:val="num" w:pos="2444"/>
        </w:tabs>
        <w:ind w:left="2444" w:hanging="360"/>
      </w:pPr>
      <w:rPr>
        <w:rFonts w:ascii="Wingdings" w:hAnsi="Wingdings" w:hint="default"/>
      </w:rPr>
    </w:lvl>
    <w:lvl w:ilvl="3" w:tplc="4CEEDF84" w:tentative="1">
      <w:start w:val="1"/>
      <w:numFmt w:val="bullet"/>
      <w:lvlText w:val=""/>
      <w:lvlJc w:val="left"/>
      <w:pPr>
        <w:tabs>
          <w:tab w:val="num" w:pos="3164"/>
        </w:tabs>
        <w:ind w:left="3164" w:hanging="360"/>
      </w:pPr>
      <w:rPr>
        <w:rFonts w:ascii="Symbol" w:hAnsi="Symbol" w:hint="default"/>
      </w:rPr>
    </w:lvl>
    <w:lvl w:ilvl="4" w:tplc="55365FAA" w:tentative="1">
      <w:start w:val="1"/>
      <w:numFmt w:val="bullet"/>
      <w:lvlText w:val="o"/>
      <w:lvlJc w:val="left"/>
      <w:pPr>
        <w:tabs>
          <w:tab w:val="num" w:pos="3884"/>
        </w:tabs>
        <w:ind w:left="3884" w:hanging="360"/>
      </w:pPr>
      <w:rPr>
        <w:rFonts w:ascii="Courier New" w:hAnsi="Courier New" w:cs="Courier New" w:hint="default"/>
      </w:rPr>
    </w:lvl>
    <w:lvl w:ilvl="5" w:tplc="6028733C" w:tentative="1">
      <w:start w:val="1"/>
      <w:numFmt w:val="bullet"/>
      <w:lvlText w:val=""/>
      <w:lvlJc w:val="left"/>
      <w:pPr>
        <w:tabs>
          <w:tab w:val="num" w:pos="4604"/>
        </w:tabs>
        <w:ind w:left="4604" w:hanging="360"/>
      </w:pPr>
      <w:rPr>
        <w:rFonts w:ascii="Wingdings" w:hAnsi="Wingdings" w:hint="default"/>
      </w:rPr>
    </w:lvl>
    <w:lvl w:ilvl="6" w:tplc="376A5A82" w:tentative="1">
      <w:start w:val="1"/>
      <w:numFmt w:val="bullet"/>
      <w:lvlText w:val=""/>
      <w:lvlJc w:val="left"/>
      <w:pPr>
        <w:tabs>
          <w:tab w:val="num" w:pos="5324"/>
        </w:tabs>
        <w:ind w:left="5324" w:hanging="360"/>
      </w:pPr>
      <w:rPr>
        <w:rFonts w:ascii="Symbol" w:hAnsi="Symbol" w:hint="default"/>
      </w:rPr>
    </w:lvl>
    <w:lvl w:ilvl="7" w:tplc="A33E18DE" w:tentative="1">
      <w:start w:val="1"/>
      <w:numFmt w:val="bullet"/>
      <w:lvlText w:val="o"/>
      <w:lvlJc w:val="left"/>
      <w:pPr>
        <w:tabs>
          <w:tab w:val="num" w:pos="6044"/>
        </w:tabs>
        <w:ind w:left="6044" w:hanging="360"/>
      </w:pPr>
      <w:rPr>
        <w:rFonts w:ascii="Courier New" w:hAnsi="Courier New" w:cs="Courier New" w:hint="default"/>
      </w:rPr>
    </w:lvl>
    <w:lvl w:ilvl="8" w:tplc="40C2DBBC"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4"/>
  </w:num>
  <w:num w:numId="3">
    <w:abstractNumId w:val="12"/>
  </w:num>
  <w:num w:numId="4">
    <w:abstractNumId w:val="11"/>
  </w:num>
  <w:num w:numId="5">
    <w:abstractNumId w:val="15"/>
  </w:num>
  <w:num w:numId="6">
    <w:abstractNumId w:val="16"/>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3"/>
    <w:docVar w:name="SignForeName" w:val="0"/>
    <w:docVar w:name="SndCaseNumber" w:val="Error!Nodocumentvariablesupplied."/>
  </w:docVars>
  <w:rsids>
    <w:rsidRoot w:val="0084331A"/>
    <w:rsid w:val="000041F8"/>
    <w:rsid w:val="000042A8"/>
    <w:rsid w:val="00004308"/>
    <w:rsid w:val="00005BF0"/>
    <w:rsid w:val="0000617D"/>
    <w:rsid w:val="00007154"/>
    <w:rsid w:val="000103AE"/>
    <w:rsid w:val="00011D69"/>
    <w:rsid w:val="00012AD3"/>
    <w:rsid w:val="00013EE4"/>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22D0"/>
    <w:rsid w:val="00116955"/>
    <w:rsid w:val="00120D6C"/>
    <w:rsid w:val="001257EC"/>
    <w:rsid w:val="001269EA"/>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0DC8"/>
    <w:rsid w:val="00191D72"/>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C89"/>
    <w:rsid w:val="00230D00"/>
    <w:rsid w:val="00231DF7"/>
    <w:rsid w:val="00231FD1"/>
    <w:rsid w:val="002339E0"/>
    <w:rsid w:val="00233CF8"/>
    <w:rsid w:val="0023575D"/>
    <w:rsid w:val="00236A41"/>
    <w:rsid w:val="00237148"/>
    <w:rsid w:val="0023799F"/>
    <w:rsid w:val="0024222D"/>
    <w:rsid w:val="002422B6"/>
    <w:rsid w:val="00244B0E"/>
    <w:rsid w:val="00244F6C"/>
    <w:rsid w:val="00246B89"/>
    <w:rsid w:val="00252C4E"/>
    <w:rsid w:val="002532C5"/>
    <w:rsid w:val="00253357"/>
    <w:rsid w:val="00254DF2"/>
    <w:rsid w:val="00260C03"/>
    <w:rsid w:val="0026439A"/>
    <w:rsid w:val="0026540E"/>
    <w:rsid w:val="00275123"/>
    <w:rsid w:val="00281B7C"/>
    <w:rsid w:val="00282240"/>
    <w:rsid w:val="00282BD8"/>
    <w:rsid w:val="002841B0"/>
    <w:rsid w:val="00287AD5"/>
    <w:rsid w:val="002934D0"/>
    <w:rsid w:val="00293676"/>
    <w:rsid w:val="00293BD9"/>
    <w:rsid w:val="002948AD"/>
    <w:rsid w:val="002A01CC"/>
    <w:rsid w:val="002A613A"/>
    <w:rsid w:val="002A61B1"/>
    <w:rsid w:val="002A663C"/>
    <w:rsid w:val="002B444B"/>
    <w:rsid w:val="002B4DDC"/>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3E29"/>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2233"/>
    <w:rsid w:val="00425C67"/>
    <w:rsid w:val="00427E7A"/>
    <w:rsid w:val="004355AC"/>
    <w:rsid w:val="00436C49"/>
    <w:rsid w:val="00443D98"/>
    <w:rsid w:val="00445366"/>
    <w:rsid w:val="00447F5B"/>
    <w:rsid w:val="00461DB0"/>
    <w:rsid w:val="00463926"/>
    <w:rsid w:val="00464AB7"/>
    <w:rsid w:val="00464C9A"/>
    <w:rsid w:val="00474F3D"/>
    <w:rsid w:val="00477E3A"/>
    <w:rsid w:val="00483594"/>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7D60"/>
    <w:rsid w:val="004C01E4"/>
    <w:rsid w:val="004C086C"/>
    <w:rsid w:val="004C1F56"/>
    <w:rsid w:val="004C27BC"/>
    <w:rsid w:val="004C566E"/>
    <w:rsid w:val="004C6621"/>
    <w:rsid w:val="004D0EC7"/>
    <w:rsid w:val="004D15F3"/>
    <w:rsid w:val="004D3B3D"/>
    <w:rsid w:val="004D4EF1"/>
    <w:rsid w:val="004D52DE"/>
    <w:rsid w:val="004D5311"/>
    <w:rsid w:val="004D5DCC"/>
    <w:rsid w:val="004D7E45"/>
    <w:rsid w:val="004F10AF"/>
    <w:rsid w:val="004F11A4"/>
    <w:rsid w:val="004F2389"/>
    <w:rsid w:val="004F304D"/>
    <w:rsid w:val="004F4290"/>
    <w:rsid w:val="004F61BE"/>
    <w:rsid w:val="004F66B1"/>
    <w:rsid w:val="00505F69"/>
    <w:rsid w:val="00506848"/>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710"/>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A5B"/>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0928"/>
    <w:rsid w:val="00682BF2"/>
    <w:rsid w:val="0068508D"/>
    <w:rsid w:val="0068573E"/>
    <w:rsid w:val="006859CE"/>
    <w:rsid w:val="00691270"/>
    <w:rsid w:val="00694BA8"/>
    <w:rsid w:val="006A037C"/>
    <w:rsid w:val="006A0C84"/>
    <w:rsid w:val="006A210F"/>
    <w:rsid w:val="006A36F4"/>
    <w:rsid w:val="006A406F"/>
    <w:rsid w:val="006A4E97"/>
    <w:rsid w:val="006A5D3A"/>
    <w:rsid w:val="006B1942"/>
    <w:rsid w:val="006C23D4"/>
    <w:rsid w:val="006C7BB0"/>
    <w:rsid w:val="006D130B"/>
    <w:rsid w:val="006D3237"/>
    <w:rsid w:val="006E2E37"/>
    <w:rsid w:val="006E3CF1"/>
    <w:rsid w:val="006E68A3"/>
    <w:rsid w:val="006E7E80"/>
    <w:rsid w:val="006F1C2D"/>
    <w:rsid w:val="006F48CA"/>
    <w:rsid w:val="006F64DD"/>
    <w:rsid w:val="006F712D"/>
    <w:rsid w:val="0070237D"/>
    <w:rsid w:val="007111B3"/>
    <w:rsid w:val="00715127"/>
    <w:rsid w:val="00715E8E"/>
    <w:rsid w:val="00723580"/>
    <w:rsid w:val="00723755"/>
    <w:rsid w:val="0073136C"/>
    <w:rsid w:val="00731F0F"/>
    <w:rsid w:val="00733250"/>
    <w:rsid w:val="00741404"/>
    <w:rsid w:val="007449E5"/>
    <w:rsid w:val="0074750E"/>
    <w:rsid w:val="00747FF0"/>
    <w:rsid w:val="00751066"/>
    <w:rsid w:val="0075566E"/>
    <w:rsid w:val="00762C8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6111"/>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331A"/>
    <w:rsid w:val="00845723"/>
    <w:rsid w:val="00847DF5"/>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033"/>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66F"/>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1FA3"/>
    <w:rsid w:val="009A7FC1"/>
    <w:rsid w:val="009B1606"/>
    <w:rsid w:val="009B1B5F"/>
    <w:rsid w:val="009B6673"/>
    <w:rsid w:val="009C191B"/>
    <w:rsid w:val="009C2BD6"/>
    <w:rsid w:val="009D57AA"/>
    <w:rsid w:val="009E1F32"/>
    <w:rsid w:val="009E2CC2"/>
    <w:rsid w:val="009E47A2"/>
    <w:rsid w:val="009E776C"/>
    <w:rsid w:val="009E7A6F"/>
    <w:rsid w:val="009F1885"/>
    <w:rsid w:val="009F4C8F"/>
    <w:rsid w:val="00A015AD"/>
    <w:rsid w:val="00A02972"/>
    <w:rsid w:val="00A05588"/>
    <w:rsid w:val="00A103B9"/>
    <w:rsid w:val="00A15601"/>
    <w:rsid w:val="00A1726E"/>
    <w:rsid w:val="00A204CF"/>
    <w:rsid w:val="00A21D2B"/>
    <w:rsid w:val="00A22745"/>
    <w:rsid w:val="00A23D49"/>
    <w:rsid w:val="00A25D8E"/>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23C"/>
    <w:rsid w:val="00A94C20"/>
    <w:rsid w:val="00A95D81"/>
    <w:rsid w:val="00AA1B09"/>
    <w:rsid w:val="00AA227F"/>
    <w:rsid w:val="00AA3BC7"/>
    <w:rsid w:val="00AA754A"/>
    <w:rsid w:val="00AB099E"/>
    <w:rsid w:val="00AB4328"/>
    <w:rsid w:val="00AC38DE"/>
    <w:rsid w:val="00AC4CD4"/>
    <w:rsid w:val="00AE0A2E"/>
    <w:rsid w:val="00AE354C"/>
    <w:rsid w:val="00AF2049"/>
    <w:rsid w:val="00AF4B07"/>
    <w:rsid w:val="00AF6186"/>
    <w:rsid w:val="00AF7A3A"/>
    <w:rsid w:val="00B02587"/>
    <w:rsid w:val="00B049D1"/>
    <w:rsid w:val="00B1105C"/>
    <w:rsid w:val="00B153A0"/>
    <w:rsid w:val="00B160DB"/>
    <w:rsid w:val="00B17E54"/>
    <w:rsid w:val="00B20836"/>
    <w:rsid w:val="00B235BB"/>
    <w:rsid w:val="00B27A44"/>
    <w:rsid w:val="00B30BBF"/>
    <w:rsid w:val="00B33C03"/>
    <w:rsid w:val="00B35C09"/>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3DDC"/>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209F"/>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20A5"/>
    <w:rsid w:val="00DD37EA"/>
    <w:rsid w:val="00DD6EE5"/>
    <w:rsid w:val="00DE386C"/>
    <w:rsid w:val="00DE4D35"/>
    <w:rsid w:val="00DF098B"/>
    <w:rsid w:val="00DF11C4"/>
    <w:rsid w:val="00DF210C"/>
    <w:rsid w:val="00DF45F6"/>
    <w:rsid w:val="00DF4B6A"/>
    <w:rsid w:val="00E004C0"/>
    <w:rsid w:val="00E02C09"/>
    <w:rsid w:val="00E04D59"/>
    <w:rsid w:val="00E07DA1"/>
    <w:rsid w:val="00E123CB"/>
    <w:rsid w:val="00E13B09"/>
    <w:rsid w:val="00E20E13"/>
    <w:rsid w:val="00E21DBC"/>
    <w:rsid w:val="00E25EA7"/>
    <w:rsid w:val="00E275D7"/>
    <w:rsid w:val="00E27DBE"/>
    <w:rsid w:val="00E32AB1"/>
    <w:rsid w:val="00E36C71"/>
    <w:rsid w:val="00E37785"/>
    <w:rsid w:val="00E40404"/>
    <w:rsid w:val="00E4126A"/>
    <w:rsid w:val="00E42A06"/>
    <w:rsid w:val="00E459C6"/>
    <w:rsid w:val="00E47589"/>
    <w:rsid w:val="00E557AA"/>
    <w:rsid w:val="00E63EC7"/>
    <w:rsid w:val="00E64915"/>
    <w:rsid w:val="00E64D3A"/>
    <w:rsid w:val="00E6516D"/>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975EB"/>
    <w:rsid w:val="00EA185E"/>
    <w:rsid w:val="00EA592A"/>
    <w:rsid w:val="00EB14E4"/>
    <w:rsid w:val="00EB32A5"/>
    <w:rsid w:val="00EB34ED"/>
    <w:rsid w:val="00EB447C"/>
    <w:rsid w:val="00EB7BE0"/>
    <w:rsid w:val="00EC315E"/>
    <w:rsid w:val="00ED077C"/>
    <w:rsid w:val="00ED10A9"/>
    <w:rsid w:val="00ED1190"/>
    <w:rsid w:val="00ED34AC"/>
    <w:rsid w:val="00ED50A5"/>
    <w:rsid w:val="00ED6544"/>
    <w:rsid w:val="00ED72EE"/>
    <w:rsid w:val="00EE0277"/>
    <w:rsid w:val="00EE2899"/>
    <w:rsid w:val="00EE3E00"/>
    <w:rsid w:val="00EE5DD2"/>
    <w:rsid w:val="00EF36C5"/>
    <w:rsid w:val="00EF3DB4"/>
    <w:rsid w:val="00F00A79"/>
    <w:rsid w:val="00F00D13"/>
    <w:rsid w:val="00F00E86"/>
    <w:rsid w:val="00F03523"/>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117"/>
    <w:rsid w:val="00F90767"/>
    <w:rsid w:val="00F9263C"/>
    <w:rsid w:val="00FA1637"/>
    <w:rsid w:val="00FA2111"/>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FCEBF36-6FAE-45C1-A335-20D830073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05A5B"/>
    <w:rPr>
      <w:sz w:val="24"/>
      <w:szCs w:val="24"/>
    </w:rPr>
  </w:style>
  <w:style w:type="paragraph" w:styleId="Heading1">
    <w:name w:val="heading 1"/>
    <w:basedOn w:val="Normal"/>
    <w:next w:val="Normal"/>
    <w:link w:val="Heading1Char"/>
    <w:uiPriority w:val="98"/>
    <w:semiHidden/>
    <w:rsid w:val="00605A5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05A5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05A5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05A5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05A5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05A5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05A5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05A5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05A5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05A5B"/>
    <w:rPr>
      <w:rFonts w:ascii="Tahoma" w:hAnsi="Tahoma" w:cs="Tahoma"/>
      <w:sz w:val="16"/>
      <w:szCs w:val="16"/>
    </w:rPr>
  </w:style>
  <w:style w:type="character" w:customStyle="1" w:styleId="BalloonTextChar">
    <w:name w:val="Balloon Text Char"/>
    <w:basedOn w:val="DefaultParagraphFont"/>
    <w:link w:val="BalloonText"/>
    <w:uiPriority w:val="98"/>
    <w:semiHidden/>
    <w:rsid w:val="00605A5B"/>
    <w:rPr>
      <w:rFonts w:ascii="Tahoma" w:hAnsi="Tahoma" w:cs="Tahoma"/>
      <w:sz w:val="16"/>
      <w:szCs w:val="16"/>
      <w:lang w:val="ro-RO"/>
    </w:rPr>
  </w:style>
  <w:style w:type="character" w:styleId="BookTitle">
    <w:name w:val="Book Title"/>
    <w:uiPriority w:val="98"/>
    <w:semiHidden/>
    <w:qFormat/>
    <w:rsid w:val="00605A5B"/>
    <w:rPr>
      <w:i/>
      <w:iCs/>
      <w:smallCaps/>
      <w:spacing w:val="5"/>
    </w:rPr>
  </w:style>
  <w:style w:type="paragraph" w:customStyle="1" w:styleId="JuHeader">
    <w:name w:val="Ju_Header"/>
    <w:aliases w:val="_Header"/>
    <w:basedOn w:val="Header"/>
    <w:uiPriority w:val="29"/>
    <w:qFormat/>
    <w:rsid w:val="00605A5B"/>
    <w:pPr>
      <w:tabs>
        <w:tab w:val="clear" w:pos="4536"/>
        <w:tab w:val="clear" w:pos="9072"/>
      </w:tabs>
      <w:jc w:val="center"/>
    </w:pPr>
    <w:rPr>
      <w:sz w:val="18"/>
    </w:rPr>
  </w:style>
  <w:style w:type="paragraph" w:customStyle="1" w:styleId="NormalJustified">
    <w:name w:val="Normal_Justified"/>
    <w:basedOn w:val="Normal"/>
    <w:semiHidden/>
    <w:rsid w:val="00605A5B"/>
    <w:pPr>
      <w:jc w:val="both"/>
    </w:pPr>
  </w:style>
  <w:style w:type="character" w:styleId="Strong">
    <w:name w:val="Strong"/>
    <w:uiPriority w:val="98"/>
    <w:semiHidden/>
    <w:qFormat/>
    <w:rsid w:val="00605A5B"/>
    <w:rPr>
      <w:b/>
      <w:bCs/>
    </w:rPr>
  </w:style>
  <w:style w:type="paragraph" w:styleId="NoSpacing">
    <w:name w:val="No Spacing"/>
    <w:basedOn w:val="Normal"/>
    <w:link w:val="NoSpacingChar"/>
    <w:uiPriority w:val="98"/>
    <w:semiHidden/>
    <w:qFormat/>
    <w:rsid w:val="00605A5B"/>
  </w:style>
  <w:style w:type="character" w:customStyle="1" w:styleId="NoSpacingChar">
    <w:name w:val="No Spacing Char"/>
    <w:basedOn w:val="DefaultParagraphFont"/>
    <w:link w:val="NoSpacing"/>
    <w:uiPriority w:val="98"/>
    <w:semiHidden/>
    <w:rsid w:val="00605A5B"/>
    <w:rPr>
      <w:sz w:val="24"/>
      <w:szCs w:val="24"/>
      <w:lang w:val="ro-RO"/>
    </w:rPr>
  </w:style>
  <w:style w:type="paragraph" w:customStyle="1" w:styleId="JuQuot">
    <w:name w:val="Ju_Quot"/>
    <w:aliases w:val="_Quote"/>
    <w:basedOn w:val="NormalJustified"/>
    <w:uiPriority w:val="20"/>
    <w:qFormat/>
    <w:rsid w:val="00605A5B"/>
    <w:pPr>
      <w:spacing w:before="120" w:after="120"/>
      <w:ind w:left="425" w:firstLine="142"/>
    </w:pPr>
    <w:rPr>
      <w:sz w:val="20"/>
    </w:rPr>
  </w:style>
  <w:style w:type="paragraph" w:customStyle="1" w:styleId="DummyStyle">
    <w:name w:val="Dummy_Style"/>
    <w:aliases w:val="_Dummy"/>
    <w:basedOn w:val="Normal"/>
    <w:semiHidden/>
    <w:qFormat/>
    <w:rsid w:val="00605A5B"/>
    <w:rPr>
      <w:color w:val="00B050"/>
      <w:sz w:val="22"/>
    </w:rPr>
  </w:style>
  <w:style w:type="paragraph" w:customStyle="1" w:styleId="JuList">
    <w:name w:val="Ju_List"/>
    <w:aliases w:val="_List_1"/>
    <w:basedOn w:val="NormalJustified"/>
    <w:uiPriority w:val="23"/>
    <w:qFormat/>
    <w:rsid w:val="00605A5B"/>
    <w:pPr>
      <w:numPr>
        <w:numId w:val="20"/>
      </w:numPr>
      <w:spacing w:before="280" w:after="60"/>
    </w:pPr>
  </w:style>
  <w:style w:type="paragraph" w:customStyle="1" w:styleId="JuLista">
    <w:name w:val="Ju_List_a"/>
    <w:aliases w:val="_List_2"/>
    <w:basedOn w:val="NormalJustified"/>
    <w:uiPriority w:val="23"/>
    <w:rsid w:val="00605A5B"/>
    <w:pPr>
      <w:numPr>
        <w:ilvl w:val="1"/>
        <w:numId w:val="20"/>
      </w:numPr>
    </w:pPr>
  </w:style>
  <w:style w:type="paragraph" w:customStyle="1" w:styleId="JuListi">
    <w:name w:val="Ju_List_i"/>
    <w:aliases w:val="_List_3"/>
    <w:basedOn w:val="NormalJustified"/>
    <w:uiPriority w:val="23"/>
    <w:rsid w:val="00605A5B"/>
    <w:pPr>
      <w:numPr>
        <w:ilvl w:val="2"/>
        <w:numId w:val="20"/>
      </w:numPr>
    </w:pPr>
  </w:style>
  <w:style w:type="paragraph" w:customStyle="1" w:styleId="JuHArticle">
    <w:name w:val="Ju_H_Article"/>
    <w:aliases w:val="_Title_Quote"/>
    <w:basedOn w:val="Normal"/>
    <w:next w:val="JuQuot"/>
    <w:uiPriority w:val="19"/>
    <w:qFormat/>
    <w:rsid w:val="00605A5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05A5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05A5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05A5B"/>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05A5B"/>
    <w:pPr>
      <w:numPr>
        <w:numId w:val="5"/>
      </w:numPr>
    </w:pPr>
  </w:style>
  <w:style w:type="paragraph" w:customStyle="1" w:styleId="JuSigned">
    <w:name w:val="Ju_Signed"/>
    <w:aliases w:val="_Signature"/>
    <w:basedOn w:val="Normal"/>
    <w:next w:val="JuPara"/>
    <w:uiPriority w:val="31"/>
    <w:qFormat/>
    <w:rsid w:val="00605A5B"/>
    <w:pPr>
      <w:tabs>
        <w:tab w:val="center" w:pos="1418"/>
        <w:tab w:val="center" w:pos="5954"/>
      </w:tabs>
      <w:spacing w:before="720"/>
    </w:pPr>
  </w:style>
  <w:style w:type="paragraph" w:styleId="Title">
    <w:name w:val="Title"/>
    <w:basedOn w:val="Normal"/>
    <w:next w:val="Normal"/>
    <w:link w:val="TitleChar"/>
    <w:uiPriority w:val="98"/>
    <w:semiHidden/>
    <w:qFormat/>
    <w:rsid w:val="00605A5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05A5B"/>
    <w:rPr>
      <w:rFonts w:asciiTheme="majorHAnsi" w:eastAsiaTheme="majorEastAsia" w:hAnsiTheme="majorHAnsi" w:cstheme="majorBidi"/>
      <w:spacing w:val="5"/>
      <w:sz w:val="52"/>
      <w:szCs w:val="52"/>
      <w:lang w:val="ro-RO" w:bidi="en-US"/>
    </w:rPr>
  </w:style>
  <w:style w:type="numbering" w:customStyle="1" w:styleId="ECHRA1StyleList">
    <w:name w:val="ECHR_A1_Style_List"/>
    <w:basedOn w:val="NoList"/>
    <w:uiPriority w:val="99"/>
    <w:rsid w:val="00605A5B"/>
    <w:pPr>
      <w:numPr>
        <w:numId w:val="1"/>
      </w:numPr>
    </w:pPr>
  </w:style>
  <w:style w:type="numbering" w:customStyle="1" w:styleId="ECHRA1StyleNumberedList">
    <w:name w:val="ECHR_A1_Style_Numbered_List"/>
    <w:basedOn w:val="NoList"/>
    <w:rsid w:val="00605A5B"/>
    <w:pPr>
      <w:numPr>
        <w:numId w:val="6"/>
      </w:numPr>
    </w:pPr>
  </w:style>
  <w:style w:type="table" w:customStyle="1" w:styleId="ECHRTable2019">
    <w:name w:val="ECHR_Table_2019"/>
    <w:basedOn w:val="TableNormal"/>
    <w:uiPriority w:val="99"/>
    <w:rsid w:val="00605A5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605A5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05A5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05A5B"/>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05A5B"/>
    <w:pPr>
      <w:keepNext/>
      <w:keepLines/>
      <w:numPr>
        <w:ilvl w:val="3"/>
        <w:numId w:val="19"/>
      </w:numPr>
      <w:spacing w:before="100" w:beforeAutospacing="1" w:after="120"/>
      <w:jc w:val="both"/>
    </w:pPr>
    <w:rPr>
      <w:b w:val="0"/>
      <w:color w:val="auto"/>
      <w:sz w:val="24"/>
    </w:rPr>
  </w:style>
  <w:style w:type="paragraph" w:styleId="Header">
    <w:name w:val="header"/>
    <w:basedOn w:val="Normal"/>
    <w:link w:val="HeaderChar"/>
    <w:uiPriority w:val="98"/>
    <w:semiHidden/>
    <w:rsid w:val="00605A5B"/>
    <w:pPr>
      <w:tabs>
        <w:tab w:val="center" w:pos="4536"/>
        <w:tab w:val="right" w:pos="9072"/>
      </w:tabs>
    </w:pPr>
  </w:style>
  <w:style w:type="character" w:customStyle="1" w:styleId="HeaderChar">
    <w:name w:val="Header Char"/>
    <w:basedOn w:val="DefaultParagraphFont"/>
    <w:link w:val="Header"/>
    <w:uiPriority w:val="98"/>
    <w:semiHidden/>
    <w:rsid w:val="00605A5B"/>
    <w:rPr>
      <w:sz w:val="24"/>
      <w:szCs w:val="24"/>
      <w:lang w:val="ro-RO"/>
    </w:rPr>
  </w:style>
  <w:style w:type="character" w:customStyle="1" w:styleId="Heading1Char">
    <w:name w:val="Heading 1 Char"/>
    <w:basedOn w:val="DefaultParagraphFont"/>
    <w:link w:val="Heading1"/>
    <w:uiPriority w:val="98"/>
    <w:semiHidden/>
    <w:rsid w:val="00605A5B"/>
    <w:rPr>
      <w:rFonts w:asciiTheme="majorHAnsi" w:eastAsiaTheme="majorEastAsia" w:hAnsiTheme="majorHAnsi" w:cstheme="majorBidi"/>
      <w:b/>
      <w:bCs/>
      <w:color w:val="333333"/>
      <w:sz w:val="28"/>
      <w:szCs w:val="28"/>
      <w:lang w:val="ro-RO"/>
    </w:rPr>
  </w:style>
  <w:style w:type="paragraph" w:customStyle="1" w:styleId="JuHa0">
    <w:name w:val="Ju_H_a"/>
    <w:aliases w:val="_Head_5"/>
    <w:basedOn w:val="Heading5"/>
    <w:next w:val="JuPara"/>
    <w:uiPriority w:val="17"/>
    <w:rsid w:val="00605A5B"/>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605A5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05A5B"/>
    <w:rPr>
      <w:rFonts w:asciiTheme="majorHAnsi" w:eastAsiaTheme="majorEastAsia" w:hAnsiTheme="majorHAnsi" w:cstheme="majorBidi"/>
      <w:b/>
      <w:bCs/>
      <w:color w:val="4D4D4D"/>
      <w:sz w:val="26"/>
      <w:szCs w:val="26"/>
      <w:lang w:val="ro-RO"/>
    </w:rPr>
  </w:style>
  <w:style w:type="paragraph" w:customStyle="1" w:styleId="JuHalpha">
    <w:name w:val="Ju_H_alpha"/>
    <w:aliases w:val="_Head_7"/>
    <w:basedOn w:val="Heading7"/>
    <w:next w:val="JuPara"/>
    <w:uiPriority w:val="17"/>
    <w:rsid w:val="00605A5B"/>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05A5B"/>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605A5B"/>
    <w:rPr>
      <w:rFonts w:asciiTheme="majorHAnsi" w:eastAsiaTheme="majorEastAsia" w:hAnsiTheme="majorHAnsi" w:cstheme="majorBidi"/>
      <w:b/>
      <w:bCs/>
      <w:color w:val="5F5F5F"/>
      <w:lang w:val="ro-RO"/>
    </w:rPr>
  </w:style>
  <w:style w:type="paragraph" w:customStyle="1" w:styleId="JuParaLast">
    <w:name w:val="Ju_Para_Last"/>
    <w:aliases w:val="_Para_Spaced"/>
    <w:basedOn w:val="NormalJustified"/>
    <w:uiPriority w:val="5"/>
    <w:qFormat/>
    <w:rsid w:val="00605A5B"/>
    <w:pPr>
      <w:keepNext/>
      <w:keepLines/>
      <w:spacing w:before="240" w:after="240"/>
      <w:ind w:firstLine="284"/>
    </w:pPr>
  </w:style>
  <w:style w:type="paragraph" w:customStyle="1" w:styleId="JuJudges">
    <w:name w:val="Ju_Judges"/>
    <w:aliases w:val="_Judges"/>
    <w:basedOn w:val="Normal"/>
    <w:uiPriority w:val="32"/>
    <w:qFormat/>
    <w:rsid w:val="00605A5B"/>
    <w:pPr>
      <w:tabs>
        <w:tab w:val="left" w:pos="567"/>
        <w:tab w:val="left" w:pos="1134"/>
      </w:tabs>
    </w:pPr>
  </w:style>
  <w:style w:type="character" w:customStyle="1" w:styleId="Heading4Char">
    <w:name w:val="Heading 4 Char"/>
    <w:basedOn w:val="DefaultParagraphFont"/>
    <w:link w:val="Heading4"/>
    <w:uiPriority w:val="98"/>
    <w:semiHidden/>
    <w:rsid w:val="00605A5B"/>
    <w:rPr>
      <w:rFonts w:asciiTheme="majorHAnsi" w:eastAsiaTheme="majorEastAsia" w:hAnsiTheme="majorHAnsi" w:cstheme="majorBidi"/>
      <w:b/>
      <w:bCs/>
      <w:i/>
      <w:iCs/>
      <w:color w:val="777777"/>
      <w:lang w:val="ro-RO"/>
    </w:rPr>
  </w:style>
  <w:style w:type="paragraph" w:customStyle="1" w:styleId="JuInitialled">
    <w:name w:val="Ju_Initialled"/>
    <w:aliases w:val="_Right"/>
    <w:basedOn w:val="Normal"/>
    <w:uiPriority w:val="30"/>
    <w:qFormat/>
    <w:rsid w:val="00605A5B"/>
    <w:pPr>
      <w:tabs>
        <w:tab w:val="center" w:pos="6407"/>
      </w:tabs>
      <w:spacing w:before="720"/>
      <w:jc w:val="right"/>
    </w:pPr>
  </w:style>
  <w:style w:type="character" w:customStyle="1" w:styleId="Heading5Char">
    <w:name w:val="Heading 5 Char"/>
    <w:basedOn w:val="DefaultParagraphFont"/>
    <w:link w:val="Heading5"/>
    <w:uiPriority w:val="98"/>
    <w:semiHidden/>
    <w:rsid w:val="00605A5B"/>
    <w:rPr>
      <w:rFonts w:asciiTheme="majorHAnsi" w:eastAsiaTheme="majorEastAsia" w:hAnsiTheme="majorHAnsi" w:cstheme="majorBidi"/>
      <w:b/>
      <w:bCs/>
      <w:color w:val="808080"/>
      <w:lang w:val="ro-RO"/>
    </w:rPr>
  </w:style>
  <w:style w:type="character" w:customStyle="1" w:styleId="JuITMark">
    <w:name w:val="Ju_ITMark"/>
    <w:aliases w:val="_ITMark"/>
    <w:basedOn w:val="DefaultParagraphFont"/>
    <w:uiPriority w:val="54"/>
    <w:qFormat/>
    <w:rsid w:val="00605A5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05A5B"/>
    <w:rPr>
      <w:caps w:val="0"/>
      <w:smallCaps/>
    </w:rPr>
  </w:style>
  <w:style w:type="character" w:styleId="SubtleEmphasis">
    <w:name w:val="Subtle Emphasis"/>
    <w:uiPriority w:val="98"/>
    <w:semiHidden/>
    <w:qFormat/>
    <w:rsid w:val="00605A5B"/>
    <w:rPr>
      <w:i/>
      <w:iCs/>
    </w:rPr>
  </w:style>
  <w:style w:type="table" w:customStyle="1" w:styleId="ECHRTable">
    <w:name w:val="ECHR_Table"/>
    <w:basedOn w:val="TableNormal"/>
    <w:rsid w:val="00605A5B"/>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05A5B"/>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05A5B"/>
    <w:rPr>
      <w:b/>
      <w:bCs/>
      <w:i/>
      <w:iCs/>
      <w:spacing w:val="10"/>
      <w:bdr w:val="none" w:sz="0" w:space="0" w:color="auto"/>
      <w:shd w:val="clear" w:color="auto" w:fill="auto"/>
    </w:rPr>
  </w:style>
  <w:style w:type="paragraph" w:styleId="Footer0">
    <w:name w:val="footer"/>
    <w:basedOn w:val="Normal"/>
    <w:link w:val="FooterChar"/>
    <w:uiPriority w:val="98"/>
    <w:semiHidden/>
    <w:rsid w:val="00605A5B"/>
    <w:pPr>
      <w:tabs>
        <w:tab w:val="center" w:pos="3686"/>
        <w:tab w:val="right" w:pos="7371"/>
      </w:tabs>
    </w:pPr>
  </w:style>
  <w:style w:type="character" w:customStyle="1" w:styleId="FooterChar">
    <w:name w:val="Footer Char"/>
    <w:basedOn w:val="DefaultParagraphFont"/>
    <w:link w:val="Footer0"/>
    <w:uiPriority w:val="98"/>
    <w:semiHidden/>
    <w:rsid w:val="00605A5B"/>
    <w:rPr>
      <w:sz w:val="24"/>
      <w:szCs w:val="24"/>
      <w:lang w:val="ro-RO"/>
    </w:rPr>
  </w:style>
  <w:style w:type="character" w:styleId="FootnoteReference">
    <w:name w:val="footnote reference"/>
    <w:basedOn w:val="DefaultParagraphFont"/>
    <w:uiPriority w:val="98"/>
    <w:semiHidden/>
    <w:rsid w:val="00605A5B"/>
    <w:rPr>
      <w:vertAlign w:val="superscript"/>
    </w:rPr>
  </w:style>
  <w:style w:type="paragraph" w:styleId="FootnoteText">
    <w:name w:val="footnote text"/>
    <w:basedOn w:val="NormalJustified"/>
    <w:link w:val="FootnoteTextChar"/>
    <w:uiPriority w:val="98"/>
    <w:semiHidden/>
    <w:rsid w:val="00605A5B"/>
    <w:rPr>
      <w:sz w:val="20"/>
      <w:szCs w:val="20"/>
    </w:rPr>
  </w:style>
  <w:style w:type="character" w:customStyle="1" w:styleId="FootnoteTextChar">
    <w:name w:val="Footnote Text Char"/>
    <w:basedOn w:val="DefaultParagraphFont"/>
    <w:link w:val="FootnoteText"/>
    <w:uiPriority w:val="98"/>
    <w:semiHidden/>
    <w:rsid w:val="00605A5B"/>
    <w:rPr>
      <w:sz w:val="20"/>
      <w:szCs w:val="20"/>
      <w:lang w:val="ro-RO"/>
    </w:rPr>
  </w:style>
  <w:style w:type="character" w:customStyle="1" w:styleId="Heading6Char">
    <w:name w:val="Heading 6 Char"/>
    <w:basedOn w:val="DefaultParagraphFont"/>
    <w:link w:val="Heading6"/>
    <w:uiPriority w:val="98"/>
    <w:semiHidden/>
    <w:rsid w:val="00605A5B"/>
    <w:rPr>
      <w:rFonts w:asciiTheme="majorHAnsi" w:eastAsiaTheme="majorEastAsia" w:hAnsiTheme="majorHAnsi" w:cstheme="majorBidi"/>
      <w:b/>
      <w:bCs/>
      <w:i/>
      <w:iCs/>
      <w:color w:val="7F7F7F" w:themeColor="text1" w:themeTint="80"/>
      <w:lang w:val="ro-RO" w:bidi="en-US"/>
    </w:rPr>
  </w:style>
  <w:style w:type="character" w:customStyle="1" w:styleId="Heading7Char">
    <w:name w:val="Heading 7 Char"/>
    <w:basedOn w:val="DefaultParagraphFont"/>
    <w:link w:val="Heading7"/>
    <w:uiPriority w:val="98"/>
    <w:semiHidden/>
    <w:rsid w:val="00605A5B"/>
    <w:rPr>
      <w:rFonts w:asciiTheme="majorHAnsi" w:eastAsiaTheme="majorEastAsia" w:hAnsiTheme="majorHAnsi" w:cstheme="majorBidi"/>
      <w:i/>
      <w:iCs/>
      <w:lang w:val="ro-RO" w:bidi="en-US"/>
    </w:rPr>
  </w:style>
  <w:style w:type="character" w:customStyle="1" w:styleId="Heading8Char">
    <w:name w:val="Heading 8 Char"/>
    <w:basedOn w:val="DefaultParagraphFont"/>
    <w:link w:val="Heading8"/>
    <w:uiPriority w:val="98"/>
    <w:semiHidden/>
    <w:rsid w:val="00605A5B"/>
    <w:rPr>
      <w:rFonts w:asciiTheme="majorHAnsi" w:eastAsiaTheme="majorEastAsia" w:hAnsiTheme="majorHAnsi" w:cstheme="majorBidi"/>
      <w:sz w:val="20"/>
      <w:szCs w:val="20"/>
      <w:lang w:val="ro-RO" w:bidi="en-US"/>
    </w:rPr>
  </w:style>
  <w:style w:type="character" w:customStyle="1" w:styleId="Heading9Char">
    <w:name w:val="Heading 9 Char"/>
    <w:basedOn w:val="DefaultParagraphFont"/>
    <w:link w:val="Heading9"/>
    <w:uiPriority w:val="98"/>
    <w:semiHidden/>
    <w:rsid w:val="00605A5B"/>
    <w:rPr>
      <w:rFonts w:asciiTheme="majorHAnsi" w:eastAsiaTheme="majorEastAsia" w:hAnsiTheme="majorHAnsi" w:cstheme="majorBidi"/>
      <w:i/>
      <w:iCs/>
      <w:spacing w:val="5"/>
      <w:sz w:val="20"/>
      <w:szCs w:val="20"/>
      <w:lang w:val="ro-RO" w:bidi="en-US"/>
    </w:rPr>
  </w:style>
  <w:style w:type="character" w:styleId="Hyperlink">
    <w:name w:val="Hyperlink"/>
    <w:basedOn w:val="DefaultParagraphFont"/>
    <w:uiPriority w:val="98"/>
    <w:semiHidden/>
    <w:rsid w:val="00605A5B"/>
    <w:rPr>
      <w:color w:val="0072BC" w:themeColor="hyperlink"/>
      <w:u w:val="single"/>
    </w:rPr>
  </w:style>
  <w:style w:type="character" w:styleId="IntenseEmphasis">
    <w:name w:val="Intense Emphasis"/>
    <w:uiPriority w:val="98"/>
    <w:semiHidden/>
    <w:qFormat/>
    <w:rsid w:val="00605A5B"/>
    <w:rPr>
      <w:b/>
      <w:bCs/>
    </w:rPr>
  </w:style>
  <w:style w:type="paragraph" w:styleId="IntenseQuote">
    <w:name w:val="Intense Quote"/>
    <w:basedOn w:val="Normal"/>
    <w:next w:val="Normal"/>
    <w:link w:val="IntenseQuoteChar"/>
    <w:uiPriority w:val="98"/>
    <w:semiHidden/>
    <w:qFormat/>
    <w:rsid w:val="00605A5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05A5B"/>
    <w:rPr>
      <w:b/>
      <w:bCs/>
      <w:i/>
      <w:iCs/>
      <w:sz w:val="24"/>
      <w:szCs w:val="24"/>
      <w:lang w:val="ro-RO" w:bidi="en-US"/>
    </w:rPr>
  </w:style>
  <w:style w:type="character" w:styleId="IntenseReference">
    <w:name w:val="Intense Reference"/>
    <w:uiPriority w:val="98"/>
    <w:semiHidden/>
    <w:qFormat/>
    <w:rsid w:val="00605A5B"/>
    <w:rPr>
      <w:smallCaps/>
      <w:spacing w:val="5"/>
      <w:u w:val="single"/>
    </w:rPr>
  </w:style>
  <w:style w:type="paragraph" w:styleId="ListParagraph">
    <w:name w:val="List Paragraph"/>
    <w:basedOn w:val="Normal"/>
    <w:uiPriority w:val="98"/>
    <w:semiHidden/>
    <w:qFormat/>
    <w:rsid w:val="00605A5B"/>
    <w:pPr>
      <w:ind w:left="720"/>
      <w:contextualSpacing/>
    </w:pPr>
  </w:style>
  <w:style w:type="table" w:customStyle="1" w:styleId="LtrTableAddress">
    <w:name w:val="Ltr_Table_Address"/>
    <w:aliases w:val="ECHR_Ltr_Table_Address"/>
    <w:basedOn w:val="TableNormal"/>
    <w:uiPriority w:val="99"/>
    <w:rsid w:val="00605A5B"/>
    <w:rPr>
      <w:sz w:val="24"/>
      <w:szCs w:val="24"/>
    </w:rPr>
    <w:tblPr>
      <w:tblInd w:w="5103" w:type="dxa"/>
    </w:tblPr>
  </w:style>
  <w:style w:type="paragraph" w:styleId="Quote">
    <w:name w:val="Quote"/>
    <w:basedOn w:val="Normal"/>
    <w:next w:val="Normal"/>
    <w:link w:val="QuoteChar"/>
    <w:uiPriority w:val="98"/>
    <w:semiHidden/>
    <w:qFormat/>
    <w:rsid w:val="00605A5B"/>
    <w:pPr>
      <w:spacing w:before="200"/>
      <w:ind w:left="360" w:right="360"/>
    </w:pPr>
    <w:rPr>
      <w:i/>
      <w:iCs/>
      <w:lang w:bidi="en-US"/>
    </w:rPr>
  </w:style>
  <w:style w:type="character" w:customStyle="1" w:styleId="QuoteChar">
    <w:name w:val="Quote Char"/>
    <w:basedOn w:val="DefaultParagraphFont"/>
    <w:link w:val="Quote"/>
    <w:uiPriority w:val="98"/>
    <w:semiHidden/>
    <w:rsid w:val="00605A5B"/>
    <w:rPr>
      <w:i/>
      <w:iCs/>
      <w:sz w:val="24"/>
      <w:szCs w:val="24"/>
      <w:lang w:val="ro-RO" w:bidi="en-US"/>
    </w:rPr>
  </w:style>
  <w:style w:type="character" w:styleId="SubtleReference">
    <w:name w:val="Subtle Reference"/>
    <w:uiPriority w:val="98"/>
    <w:semiHidden/>
    <w:qFormat/>
    <w:rsid w:val="00605A5B"/>
    <w:rPr>
      <w:smallCaps/>
    </w:rPr>
  </w:style>
  <w:style w:type="table" w:styleId="TableGrid">
    <w:name w:val="Table Grid"/>
    <w:basedOn w:val="TableNormal"/>
    <w:uiPriority w:val="59"/>
    <w:semiHidden/>
    <w:rsid w:val="00605A5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05A5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05A5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05A5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05A5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05A5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05A5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05A5B"/>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05A5B"/>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05A5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05A5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05A5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05A5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05A5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05A5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05A5B"/>
    <w:rPr>
      <w:rFonts w:asciiTheme="majorHAnsi" w:eastAsiaTheme="majorEastAsia" w:hAnsiTheme="majorHAnsi" w:cstheme="majorBidi"/>
      <w:i/>
      <w:iCs/>
      <w:spacing w:val="13"/>
      <w:sz w:val="24"/>
      <w:szCs w:val="24"/>
      <w:lang w:val="ro-RO" w:bidi="en-US"/>
    </w:rPr>
  </w:style>
  <w:style w:type="numbering" w:styleId="111111">
    <w:name w:val="Outline List 2"/>
    <w:basedOn w:val="NoList"/>
    <w:uiPriority w:val="99"/>
    <w:semiHidden/>
    <w:unhideWhenUsed/>
    <w:rsid w:val="00605A5B"/>
    <w:pPr>
      <w:numPr>
        <w:numId w:val="2"/>
      </w:numPr>
    </w:pPr>
  </w:style>
  <w:style w:type="paragraph" w:customStyle="1" w:styleId="JuPara">
    <w:name w:val="Ju_Para"/>
    <w:aliases w:val="_Para"/>
    <w:basedOn w:val="NormalJustified"/>
    <w:link w:val="JuParaChar"/>
    <w:uiPriority w:val="4"/>
    <w:qFormat/>
    <w:rsid w:val="00605A5B"/>
    <w:pPr>
      <w:ind w:firstLine="284"/>
    </w:pPr>
  </w:style>
  <w:style w:type="numbering" w:styleId="1ai">
    <w:name w:val="Outline List 1"/>
    <w:basedOn w:val="NoList"/>
    <w:uiPriority w:val="99"/>
    <w:semiHidden/>
    <w:unhideWhenUsed/>
    <w:rsid w:val="00605A5B"/>
    <w:pPr>
      <w:numPr>
        <w:numId w:val="3"/>
      </w:numPr>
    </w:pPr>
  </w:style>
  <w:style w:type="table" w:customStyle="1" w:styleId="ECHRTableSimpleBox">
    <w:name w:val="ECHR_Table_Simple_Box"/>
    <w:basedOn w:val="TableNormal"/>
    <w:uiPriority w:val="99"/>
    <w:rsid w:val="00605A5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05A5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05A5B"/>
    <w:pPr>
      <w:numPr>
        <w:numId w:val="4"/>
      </w:numPr>
    </w:pPr>
  </w:style>
  <w:style w:type="table" w:customStyle="1" w:styleId="ECHRTableForInternalUse">
    <w:name w:val="ECHR_Table_For_Internal_Use"/>
    <w:basedOn w:val="TableNormal"/>
    <w:uiPriority w:val="99"/>
    <w:rsid w:val="00605A5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05A5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05A5B"/>
  </w:style>
  <w:style w:type="paragraph" w:styleId="BlockText">
    <w:name w:val="Block Text"/>
    <w:basedOn w:val="Normal"/>
    <w:uiPriority w:val="98"/>
    <w:semiHidden/>
    <w:rsid w:val="00605A5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05A5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05A5B"/>
    <w:pPr>
      <w:spacing w:after="120"/>
    </w:pPr>
  </w:style>
  <w:style w:type="character" w:customStyle="1" w:styleId="BodyTextChar">
    <w:name w:val="Body Text Char"/>
    <w:basedOn w:val="DefaultParagraphFont"/>
    <w:link w:val="BodyText"/>
    <w:uiPriority w:val="98"/>
    <w:semiHidden/>
    <w:rsid w:val="00605A5B"/>
    <w:rPr>
      <w:sz w:val="24"/>
      <w:szCs w:val="24"/>
      <w:lang w:val="ro-RO"/>
    </w:rPr>
  </w:style>
  <w:style w:type="table" w:customStyle="1" w:styleId="ECHRTableOddBanded">
    <w:name w:val="ECHR_Table_Odd_Banded"/>
    <w:basedOn w:val="TableNormal"/>
    <w:uiPriority w:val="99"/>
    <w:rsid w:val="00605A5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05A5B"/>
    <w:pPr>
      <w:spacing w:after="120" w:line="480" w:lineRule="auto"/>
    </w:pPr>
  </w:style>
  <w:style w:type="table" w:customStyle="1" w:styleId="ECHRHeaderTableReduced">
    <w:name w:val="ECHR_Header_Table_Reduced"/>
    <w:basedOn w:val="TableNormal"/>
    <w:uiPriority w:val="99"/>
    <w:rsid w:val="00605A5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05A5B"/>
    <w:pPr>
      <w:ind w:firstLine="284"/>
    </w:pPr>
    <w:rPr>
      <w:b/>
    </w:rPr>
  </w:style>
  <w:style w:type="character" w:styleId="PageNumber">
    <w:name w:val="page number"/>
    <w:uiPriority w:val="98"/>
    <w:semiHidden/>
    <w:rsid w:val="00605A5B"/>
    <w:rPr>
      <w:sz w:val="18"/>
    </w:rPr>
  </w:style>
  <w:style w:type="paragraph" w:styleId="ListBullet">
    <w:name w:val="List Bullet"/>
    <w:basedOn w:val="Normal"/>
    <w:uiPriority w:val="98"/>
    <w:semiHidden/>
    <w:rsid w:val="00605A5B"/>
    <w:pPr>
      <w:numPr>
        <w:numId w:val="7"/>
      </w:numPr>
    </w:pPr>
  </w:style>
  <w:style w:type="paragraph" w:styleId="ListBullet3">
    <w:name w:val="List Bullet 3"/>
    <w:basedOn w:val="Normal"/>
    <w:uiPriority w:val="98"/>
    <w:semiHidden/>
    <w:rsid w:val="00605A5B"/>
    <w:pPr>
      <w:numPr>
        <w:numId w:val="9"/>
      </w:numPr>
      <w:contextualSpacing/>
    </w:pPr>
  </w:style>
  <w:style w:type="character" w:customStyle="1" w:styleId="BodyText2Char">
    <w:name w:val="Body Text 2 Char"/>
    <w:basedOn w:val="DefaultParagraphFont"/>
    <w:link w:val="BodyText2"/>
    <w:uiPriority w:val="98"/>
    <w:semiHidden/>
    <w:rsid w:val="00605A5B"/>
    <w:rPr>
      <w:sz w:val="24"/>
      <w:szCs w:val="24"/>
      <w:lang w:val="ro-RO"/>
    </w:rPr>
  </w:style>
  <w:style w:type="paragraph" w:styleId="BodyText3">
    <w:name w:val="Body Text 3"/>
    <w:basedOn w:val="Normal"/>
    <w:link w:val="BodyText3Char"/>
    <w:uiPriority w:val="98"/>
    <w:semiHidden/>
    <w:rsid w:val="00605A5B"/>
    <w:pPr>
      <w:spacing w:after="120"/>
    </w:pPr>
    <w:rPr>
      <w:sz w:val="16"/>
      <w:szCs w:val="16"/>
    </w:rPr>
  </w:style>
  <w:style w:type="character" w:customStyle="1" w:styleId="BodyText3Char">
    <w:name w:val="Body Text 3 Char"/>
    <w:basedOn w:val="DefaultParagraphFont"/>
    <w:link w:val="BodyText3"/>
    <w:uiPriority w:val="98"/>
    <w:semiHidden/>
    <w:rsid w:val="00605A5B"/>
    <w:rPr>
      <w:sz w:val="16"/>
      <w:szCs w:val="16"/>
      <w:lang w:val="ro-RO"/>
    </w:rPr>
  </w:style>
  <w:style w:type="paragraph" w:styleId="BodyTextFirstIndent">
    <w:name w:val="Body Text First Indent"/>
    <w:basedOn w:val="BodyText"/>
    <w:link w:val="BodyTextFirstIndentChar"/>
    <w:uiPriority w:val="98"/>
    <w:semiHidden/>
    <w:rsid w:val="00605A5B"/>
    <w:pPr>
      <w:spacing w:after="0"/>
      <w:ind w:firstLine="360"/>
    </w:pPr>
  </w:style>
  <w:style w:type="character" w:customStyle="1" w:styleId="BodyTextFirstIndentChar">
    <w:name w:val="Body Text First Indent Char"/>
    <w:basedOn w:val="BodyTextChar"/>
    <w:link w:val="BodyTextFirstIndent"/>
    <w:uiPriority w:val="98"/>
    <w:semiHidden/>
    <w:rsid w:val="00605A5B"/>
    <w:rPr>
      <w:sz w:val="24"/>
      <w:szCs w:val="24"/>
      <w:lang w:val="ro-RO"/>
    </w:rPr>
  </w:style>
  <w:style w:type="paragraph" w:styleId="BodyTextIndent">
    <w:name w:val="Body Text Indent"/>
    <w:basedOn w:val="Normal"/>
    <w:link w:val="BodyTextIndentChar"/>
    <w:uiPriority w:val="98"/>
    <w:semiHidden/>
    <w:rsid w:val="00605A5B"/>
    <w:pPr>
      <w:spacing w:after="120"/>
      <w:ind w:left="283"/>
    </w:pPr>
  </w:style>
  <w:style w:type="character" w:customStyle="1" w:styleId="BodyTextIndentChar">
    <w:name w:val="Body Text Indent Char"/>
    <w:basedOn w:val="DefaultParagraphFont"/>
    <w:link w:val="BodyTextIndent"/>
    <w:uiPriority w:val="98"/>
    <w:semiHidden/>
    <w:rsid w:val="00605A5B"/>
    <w:rPr>
      <w:sz w:val="24"/>
      <w:szCs w:val="24"/>
      <w:lang w:val="ro-RO"/>
    </w:rPr>
  </w:style>
  <w:style w:type="paragraph" w:styleId="BodyTextFirstIndent2">
    <w:name w:val="Body Text First Indent 2"/>
    <w:basedOn w:val="BodyTextIndent"/>
    <w:link w:val="BodyTextFirstIndent2Char"/>
    <w:uiPriority w:val="98"/>
    <w:semiHidden/>
    <w:rsid w:val="00605A5B"/>
    <w:pPr>
      <w:spacing w:after="0"/>
      <w:ind w:left="360" w:firstLine="360"/>
    </w:pPr>
  </w:style>
  <w:style w:type="character" w:customStyle="1" w:styleId="BodyTextFirstIndent2Char">
    <w:name w:val="Body Text First Indent 2 Char"/>
    <w:basedOn w:val="BodyTextIndentChar"/>
    <w:link w:val="BodyTextFirstIndent2"/>
    <w:uiPriority w:val="98"/>
    <w:semiHidden/>
    <w:rsid w:val="00605A5B"/>
    <w:rPr>
      <w:sz w:val="24"/>
      <w:szCs w:val="24"/>
      <w:lang w:val="ro-RO"/>
    </w:rPr>
  </w:style>
  <w:style w:type="paragraph" w:styleId="BodyTextIndent2">
    <w:name w:val="Body Text Indent 2"/>
    <w:basedOn w:val="Normal"/>
    <w:link w:val="BodyTextIndent2Char"/>
    <w:uiPriority w:val="98"/>
    <w:semiHidden/>
    <w:rsid w:val="00605A5B"/>
    <w:pPr>
      <w:spacing w:after="120" w:line="480" w:lineRule="auto"/>
      <w:ind w:left="283"/>
    </w:pPr>
  </w:style>
  <w:style w:type="character" w:customStyle="1" w:styleId="BodyTextIndent2Char">
    <w:name w:val="Body Text Indent 2 Char"/>
    <w:basedOn w:val="DefaultParagraphFont"/>
    <w:link w:val="BodyTextIndent2"/>
    <w:uiPriority w:val="98"/>
    <w:semiHidden/>
    <w:rsid w:val="00605A5B"/>
    <w:rPr>
      <w:sz w:val="24"/>
      <w:szCs w:val="24"/>
      <w:lang w:val="ro-RO"/>
    </w:rPr>
  </w:style>
  <w:style w:type="paragraph" w:styleId="BodyTextIndent3">
    <w:name w:val="Body Text Indent 3"/>
    <w:basedOn w:val="Normal"/>
    <w:link w:val="BodyTextIndent3Char"/>
    <w:uiPriority w:val="98"/>
    <w:semiHidden/>
    <w:rsid w:val="00605A5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05A5B"/>
    <w:rPr>
      <w:sz w:val="16"/>
      <w:szCs w:val="16"/>
      <w:lang w:val="ro-RO"/>
    </w:rPr>
  </w:style>
  <w:style w:type="paragraph" w:styleId="Caption">
    <w:name w:val="caption"/>
    <w:basedOn w:val="Normal"/>
    <w:next w:val="Normal"/>
    <w:uiPriority w:val="98"/>
    <w:semiHidden/>
    <w:qFormat/>
    <w:rsid w:val="00605A5B"/>
    <w:pPr>
      <w:spacing w:after="200"/>
    </w:pPr>
    <w:rPr>
      <w:b/>
      <w:bCs/>
      <w:color w:val="0072BC" w:themeColor="accent1"/>
      <w:sz w:val="18"/>
      <w:szCs w:val="18"/>
    </w:rPr>
  </w:style>
  <w:style w:type="paragraph" w:styleId="Closing">
    <w:name w:val="Closing"/>
    <w:basedOn w:val="Normal"/>
    <w:link w:val="ClosingChar"/>
    <w:uiPriority w:val="98"/>
    <w:semiHidden/>
    <w:rsid w:val="00605A5B"/>
    <w:pPr>
      <w:ind w:left="4252"/>
    </w:pPr>
  </w:style>
  <w:style w:type="character" w:customStyle="1" w:styleId="ClosingChar">
    <w:name w:val="Closing Char"/>
    <w:basedOn w:val="DefaultParagraphFont"/>
    <w:link w:val="Closing"/>
    <w:uiPriority w:val="98"/>
    <w:semiHidden/>
    <w:rsid w:val="00605A5B"/>
    <w:rPr>
      <w:sz w:val="24"/>
      <w:szCs w:val="24"/>
      <w:lang w:val="ro-RO"/>
    </w:rPr>
  </w:style>
  <w:style w:type="table" w:styleId="ColorfulGrid">
    <w:name w:val="Colorful Grid"/>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05A5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05A5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05A5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05A5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05A5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05A5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05A5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05A5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05A5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05A5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05A5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05A5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05A5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05A5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05A5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8"/>
    <w:semiHidden/>
    <w:rsid w:val="00605A5B"/>
    <w:rPr>
      <w:sz w:val="20"/>
      <w:szCs w:val="20"/>
      <w:lang w:val="ro-RO"/>
    </w:rPr>
  </w:style>
  <w:style w:type="paragraph" w:styleId="CommentSubject">
    <w:name w:val="annotation subject"/>
    <w:basedOn w:val="CommentText"/>
    <w:next w:val="CommentText"/>
    <w:link w:val="CommentSubjectChar"/>
    <w:uiPriority w:val="98"/>
    <w:semiHidden/>
    <w:rsid w:val="00605A5B"/>
    <w:rPr>
      <w:b/>
      <w:bCs/>
    </w:rPr>
  </w:style>
  <w:style w:type="character" w:customStyle="1" w:styleId="CommentSubjectChar">
    <w:name w:val="Comment Subject Char"/>
    <w:basedOn w:val="CommentTextChar"/>
    <w:link w:val="CommentSubject"/>
    <w:uiPriority w:val="98"/>
    <w:semiHidden/>
    <w:rsid w:val="00605A5B"/>
    <w:rPr>
      <w:b/>
      <w:bCs/>
      <w:sz w:val="20"/>
      <w:szCs w:val="20"/>
      <w:lang w:val="ro-RO"/>
    </w:rPr>
  </w:style>
  <w:style w:type="table" w:styleId="DarkList">
    <w:name w:val="Dark List"/>
    <w:basedOn w:val="TableNormal"/>
    <w:uiPriority w:val="70"/>
    <w:semiHidden/>
    <w:rsid w:val="00605A5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05A5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05A5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05A5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05A5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05A5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05A5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05A5B"/>
  </w:style>
  <w:style w:type="character" w:customStyle="1" w:styleId="DateChar">
    <w:name w:val="Date Char"/>
    <w:basedOn w:val="DefaultParagraphFont"/>
    <w:link w:val="Date"/>
    <w:uiPriority w:val="98"/>
    <w:semiHidden/>
    <w:rsid w:val="00605A5B"/>
    <w:rPr>
      <w:sz w:val="24"/>
      <w:szCs w:val="24"/>
      <w:lang w:val="ro-RO"/>
    </w:rPr>
  </w:style>
  <w:style w:type="paragraph" w:styleId="DocumentMap">
    <w:name w:val="Document Map"/>
    <w:basedOn w:val="Normal"/>
    <w:link w:val="DocumentMapChar"/>
    <w:uiPriority w:val="98"/>
    <w:semiHidden/>
    <w:rsid w:val="00605A5B"/>
    <w:rPr>
      <w:rFonts w:ascii="Tahoma" w:hAnsi="Tahoma" w:cs="Tahoma"/>
      <w:sz w:val="16"/>
      <w:szCs w:val="16"/>
    </w:rPr>
  </w:style>
  <w:style w:type="character" w:customStyle="1" w:styleId="DocumentMapChar">
    <w:name w:val="Document Map Char"/>
    <w:basedOn w:val="DefaultParagraphFont"/>
    <w:link w:val="DocumentMap"/>
    <w:uiPriority w:val="98"/>
    <w:semiHidden/>
    <w:rsid w:val="00605A5B"/>
    <w:rPr>
      <w:rFonts w:ascii="Tahoma" w:hAnsi="Tahoma" w:cs="Tahoma"/>
      <w:sz w:val="16"/>
      <w:szCs w:val="16"/>
      <w:lang w:val="ro-RO"/>
    </w:rPr>
  </w:style>
  <w:style w:type="paragraph" w:styleId="E-mailSignature">
    <w:name w:val="E-mail Signature"/>
    <w:basedOn w:val="Normal"/>
    <w:link w:val="E-mailSignatureChar"/>
    <w:uiPriority w:val="98"/>
    <w:semiHidden/>
    <w:rsid w:val="00605A5B"/>
  </w:style>
  <w:style w:type="character" w:customStyle="1" w:styleId="E-mailSignatureChar">
    <w:name w:val="E-mail Signature Char"/>
    <w:basedOn w:val="DefaultParagraphFont"/>
    <w:link w:val="E-mailSignature"/>
    <w:uiPriority w:val="98"/>
    <w:semiHidden/>
    <w:rsid w:val="00605A5B"/>
    <w:rPr>
      <w:sz w:val="24"/>
      <w:szCs w:val="24"/>
      <w:lang w:val="ro-RO"/>
    </w:rPr>
  </w:style>
  <w:style w:type="character" w:styleId="EndnoteReference">
    <w:name w:val="endnote reference"/>
    <w:basedOn w:val="DefaultParagraphFont"/>
    <w:uiPriority w:val="98"/>
    <w:semiHidden/>
    <w:rsid w:val="00605A5B"/>
    <w:rPr>
      <w:vertAlign w:val="superscript"/>
    </w:rPr>
  </w:style>
  <w:style w:type="paragraph" w:styleId="EndnoteText">
    <w:name w:val="endnote text"/>
    <w:basedOn w:val="Normal"/>
    <w:link w:val="EndnoteTextChar"/>
    <w:uiPriority w:val="98"/>
    <w:semiHidden/>
    <w:rsid w:val="00605A5B"/>
    <w:rPr>
      <w:sz w:val="20"/>
      <w:szCs w:val="20"/>
    </w:rPr>
  </w:style>
  <w:style w:type="character" w:customStyle="1" w:styleId="EndnoteTextChar">
    <w:name w:val="Endnote Text Char"/>
    <w:basedOn w:val="DefaultParagraphFont"/>
    <w:link w:val="EndnoteText"/>
    <w:uiPriority w:val="98"/>
    <w:semiHidden/>
    <w:rsid w:val="00605A5B"/>
    <w:rPr>
      <w:sz w:val="20"/>
      <w:szCs w:val="20"/>
      <w:lang w:val="ro-RO"/>
    </w:rPr>
  </w:style>
  <w:style w:type="paragraph" w:styleId="EnvelopeAddress">
    <w:name w:val="envelope address"/>
    <w:basedOn w:val="Normal"/>
    <w:uiPriority w:val="98"/>
    <w:semiHidden/>
    <w:rsid w:val="00605A5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05A5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05A5B"/>
    <w:rPr>
      <w:color w:val="7030A0" w:themeColor="followedHyperlink"/>
      <w:u w:val="single"/>
    </w:rPr>
  </w:style>
  <w:style w:type="character" w:styleId="HTMLAcronym">
    <w:name w:val="HTML Acronym"/>
    <w:basedOn w:val="DefaultParagraphFont"/>
    <w:uiPriority w:val="98"/>
    <w:semiHidden/>
    <w:rsid w:val="00605A5B"/>
  </w:style>
  <w:style w:type="paragraph" w:styleId="HTMLAddress">
    <w:name w:val="HTML Address"/>
    <w:basedOn w:val="Normal"/>
    <w:link w:val="HTMLAddressChar"/>
    <w:uiPriority w:val="98"/>
    <w:semiHidden/>
    <w:rsid w:val="00605A5B"/>
    <w:rPr>
      <w:i/>
      <w:iCs/>
    </w:rPr>
  </w:style>
  <w:style w:type="character" w:customStyle="1" w:styleId="HTMLAddressChar">
    <w:name w:val="HTML Address Char"/>
    <w:basedOn w:val="DefaultParagraphFont"/>
    <w:link w:val="HTMLAddress"/>
    <w:uiPriority w:val="98"/>
    <w:semiHidden/>
    <w:rsid w:val="00605A5B"/>
    <w:rPr>
      <w:i/>
      <w:iCs/>
      <w:sz w:val="24"/>
      <w:szCs w:val="24"/>
      <w:lang w:val="ro-RO"/>
    </w:rPr>
  </w:style>
  <w:style w:type="character" w:styleId="HTMLCite">
    <w:name w:val="HTML Cite"/>
    <w:basedOn w:val="DefaultParagraphFont"/>
    <w:uiPriority w:val="98"/>
    <w:semiHidden/>
    <w:rsid w:val="00605A5B"/>
    <w:rPr>
      <w:i/>
      <w:iCs/>
    </w:rPr>
  </w:style>
  <w:style w:type="character" w:styleId="HTMLCode">
    <w:name w:val="HTML Code"/>
    <w:basedOn w:val="DefaultParagraphFont"/>
    <w:uiPriority w:val="98"/>
    <w:semiHidden/>
    <w:rsid w:val="00605A5B"/>
    <w:rPr>
      <w:rFonts w:ascii="Consolas" w:hAnsi="Consolas" w:cs="Consolas"/>
      <w:sz w:val="20"/>
      <w:szCs w:val="20"/>
    </w:rPr>
  </w:style>
  <w:style w:type="character" w:styleId="HTMLDefinition">
    <w:name w:val="HTML Definition"/>
    <w:basedOn w:val="DefaultParagraphFont"/>
    <w:uiPriority w:val="98"/>
    <w:semiHidden/>
    <w:rsid w:val="00605A5B"/>
    <w:rPr>
      <w:i/>
      <w:iCs/>
    </w:rPr>
  </w:style>
  <w:style w:type="character" w:styleId="HTMLKeyboard">
    <w:name w:val="HTML Keyboard"/>
    <w:basedOn w:val="DefaultParagraphFont"/>
    <w:uiPriority w:val="98"/>
    <w:semiHidden/>
    <w:rsid w:val="00605A5B"/>
    <w:rPr>
      <w:rFonts w:ascii="Consolas" w:hAnsi="Consolas" w:cs="Consolas"/>
      <w:sz w:val="20"/>
      <w:szCs w:val="20"/>
    </w:rPr>
  </w:style>
  <w:style w:type="paragraph" w:styleId="HTMLPreformatted">
    <w:name w:val="HTML Preformatted"/>
    <w:basedOn w:val="Normal"/>
    <w:link w:val="HTMLPreformattedChar"/>
    <w:uiPriority w:val="98"/>
    <w:semiHidden/>
    <w:rsid w:val="00605A5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05A5B"/>
    <w:rPr>
      <w:rFonts w:ascii="Consolas" w:hAnsi="Consolas" w:cs="Consolas"/>
      <w:sz w:val="20"/>
      <w:szCs w:val="20"/>
      <w:lang w:val="ro-RO"/>
    </w:rPr>
  </w:style>
  <w:style w:type="character" w:styleId="HTMLSample">
    <w:name w:val="HTML Sample"/>
    <w:basedOn w:val="DefaultParagraphFont"/>
    <w:uiPriority w:val="98"/>
    <w:semiHidden/>
    <w:rsid w:val="00605A5B"/>
    <w:rPr>
      <w:rFonts w:ascii="Consolas" w:hAnsi="Consolas" w:cs="Consolas"/>
      <w:sz w:val="24"/>
      <w:szCs w:val="24"/>
    </w:rPr>
  </w:style>
  <w:style w:type="character" w:styleId="HTMLTypewriter">
    <w:name w:val="HTML Typewriter"/>
    <w:basedOn w:val="DefaultParagraphFont"/>
    <w:uiPriority w:val="98"/>
    <w:semiHidden/>
    <w:rsid w:val="00605A5B"/>
    <w:rPr>
      <w:rFonts w:ascii="Consolas" w:hAnsi="Consolas" w:cs="Consolas"/>
      <w:sz w:val="20"/>
      <w:szCs w:val="20"/>
    </w:rPr>
  </w:style>
  <w:style w:type="character" w:styleId="HTMLVariable">
    <w:name w:val="HTML Variable"/>
    <w:basedOn w:val="DefaultParagraphFont"/>
    <w:uiPriority w:val="98"/>
    <w:semiHidden/>
    <w:rsid w:val="00605A5B"/>
    <w:rPr>
      <w:i/>
      <w:iCs/>
    </w:rPr>
  </w:style>
  <w:style w:type="paragraph" w:styleId="Index1">
    <w:name w:val="index 1"/>
    <w:basedOn w:val="Normal"/>
    <w:next w:val="Normal"/>
    <w:autoRedefine/>
    <w:uiPriority w:val="98"/>
    <w:semiHidden/>
    <w:rsid w:val="00605A5B"/>
    <w:pPr>
      <w:ind w:left="240" w:hanging="240"/>
    </w:pPr>
  </w:style>
  <w:style w:type="paragraph" w:styleId="Index2">
    <w:name w:val="index 2"/>
    <w:basedOn w:val="Normal"/>
    <w:next w:val="Normal"/>
    <w:autoRedefine/>
    <w:uiPriority w:val="98"/>
    <w:semiHidden/>
    <w:rsid w:val="00605A5B"/>
    <w:pPr>
      <w:ind w:left="480" w:hanging="240"/>
    </w:pPr>
  </w:style>
  <w:style w:type="paragraph" w:styleId="Index3">
    <w:name w:val="index 3"/>
    <w:basedOn w:val="Normal"/>
    <w:next w:val="Normal"/>
    <w:autoRedefine/>
    <w:uiPriority w:val="98"/>
    <w:semiHidden/>
    <w:rsid w:val="00605A5B"/>
    <w:pPr>
      <w:ind w:left="720" w:hanging="240"/>
    </w:pPr>
  </w:style>
  <w:style w:type="paragraph" w:styleId="Index4">
    <w:name w:val="index 4"/>
    <w:basedOn w:val="Normal"/>
    <w:next w:val="Normal"/>
    <w:autoRedefine/>
    <w:uiPriority w:val="98"/>
    <w:semiHidden/>
    <w:rsid w:val="00605A5B"/>
    <w:pPr>
      <w:ind w:left="960" w:hanging="240"/>
    </w:pPr>
  </w:style>
  <w:style w:type="paragraph" w:styleId="Index5">
    <w:name w:val="index 5"/>
    <w:basedOn w:val="Normal"/>
    <w:next w:val="Normal"/>
    <w:autoRedefine/>
    <w:uiPriority w:val="98"/>
    <w:semiHidden/>
    <w:rsid w:val="00605A5B"/>
    <w:pPr>
      <w:ind w:left="1200" w:hanging="240"/>
    </w:pPr>
  </w:style>
  <w:style w:type="paragraph" w:styleId="Index6">
    <w:name w:val="index 6"/>
    <w:basedOn w:val="Normal"/>
    <w:next w:val="Normal"/>
    <w:autoRedefine/>
    <w:uiPriority w:val="98"/>
    <w:semiHidden/>
    <w:rsid w:val="00605A5B"/>
    <w:pPr>
      <w:ind w:left="1440" w:hanging="240"/>
    </w:pPr>
  </w:style>
  <w:style w:type="paragraph" w:styleId="Index7">
    <w:name w:val="index 7"/>
    <w:basedOn w:val="Normal"/>
    <w:next w:val="Normal"/>
    <w:autoRedefine/>
    <w:uiPriority w:val="98"/>
    <w:semiHidden/>
    <w:rsid w:val="00605A5B"/>
    <w:pPr>
      <w:ind w:left="1680" w:hanging="240"/>
    </w:pPr>
  </w:style>
  <w:style w:type="paragraph" w:styleId="Index8">
    <w:name w:val="index 8"/>
    <w:basedOn w:val="Normal"/>
    <w:next w:val="Normal"/>
    <w:autoRedefine/>
    <w:uiPriority w:val="98"/>
    <w:semiHidden/>
    <w:rsid w:val="00605A5B"/>
    <w:pPr>
      <w:ind w:left="1920" w:hanging="240"/>
    </w:pPr>
  </w:style>
  <w:style w:type="paragraph" w:styleId="Index9">
    <w:name w:val="index 9"/>
    <w:basedOn w:val="Normal"/>
    <w:next w:val="Normal"/>
    <w:autoRedefine/>
    <w:uiPriority w:val="98"/>
    <w:semiHidden/>
    <w:rsid w:val="00605A5B"/>
    <w:pPr>
      <w:ind w:left="2160" w:hanging="240"/>
    </w:pPr>
  </w:style>
  <w:style w:type="paragraph" w:styleId="IndexHeading">
    <w:name w:val="index heading"/>
    <w:basedOn w:val="Normal"/>
    <w:next w:val="Index1"/>
    <w:uiPriority w:val="98"/>
    <w:semiHidden/>
    <w:rsid w:val="00605A5B"/>
    <w:rPr>
      <w:rFonts w:asciiTheme="majorHAnsi" w:eastAsiaTheme="majorEastAsia" w:hAnsiTheme="majorHAnsi" w:cstheme="majorBidi"/>
      <w:b/>
      <w:bCs/>
    </w:rPr>
  </w:style>
  <w:style w:type="table" w:styleId="LightGrid">
    <w:name w:val="Light Grid"/>
    <w:basedOn w:val="TableNormal"/>
    <w:uiPriority w:val="62"/>
    <w:semiHidden/>
    <w:rsid w:val="00605A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05A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05A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05A5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05A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05A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05A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05A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05A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05A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05A5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05A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05A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05A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05A5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05A5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05A5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05A5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05A5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05A5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05A5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05A5B"/>
  </w:style>
  <w:style w:type="paragraph" w:styleId="List">
    <w:name w:val="List"/>
    <w:basedOn w:val="Normal"/>
    <w:uiPriority w:val="98"/>
    <w:semiHidden/>
    <w:rsid w:val="00605A5B"/>
    <w:pPr>
      <w:ind w:left="283" w:hanging="283"/>
      <w:contextualSpacing/>
    </w:pPr>
  </w:style>
  <w:style w:type="paragraph" w:styleId="List2">
    <w:name w:val="List 2"/>
    <w:basedOn w:val="Normal"/>
    <w:uiPriority w:val="98"/>
    <w:semiHidden/>
    <w:rsid w:val="00605A5B"/>
    <w:pPr>
      <w:ind w:left="566" w:hanging="283"/>
      <w:contextualSpacing/>
    </w:pPr>
  </w:style>
  <w:style w:type="paragraph" w:styleId="List3">
    <w:name w:val="List 3"/>
    <w:basedOn w:val="Normal"/>
    <w:uiPriority w:val="98"/>
    <w:semiHidden/>
    <w:rsid w:val="00605A5B"/>
    <w:pPr>
      <w:ind w:left="849" w:hanging="283"/>
      <w:contextualSpacing/>
    </w:pPr>
  </w:style>
  <w:style w:type="paragraph" w:styleId="List4">
    <w:name w:val="List 4"/>
    <w:basedOn w:val="Normal"/>
    <w:uiPriority w:val="98"/>
    <w:semiHidden/>
    <w:rsid w:val="00605A5B"/>
    <w:pPr>
      <w:ind w:left="1132" w:hanging="283"/>
      <w:contextualSpacing/>
    </w:pPr>
  </w:style>
  <w:style w:type="paragraph" w:styleId="List5">
    <w:name w:val="List 5"/>
    <w:basedOn w:val="Normal"/>
    <w:uiPriority w:val="98"/>
    <w:semiHidden/>
    <w:rsid w:val="00605A5B"/>
    <w:pPr>
      <w:ind w:left="1415" w:hanging="283"/>
      <w:contextualSpacing/>
    </w:pPr>
  </w:style>
  <w:style w:type="paragraph" w:styleId="ListBullet2">
    <w:name w:val="List Bullet 2"/>
    <w:basedOn w:val="Normal"/>
    <w:uiPriority w:val="98"/>
    <w:semiHidden/>
    <w:rsid w:val="00605A5B"/>
    <w:pPr>
      <w:numPr>
        <w:numId w:val="8"/>
      </w:numPr>
      <w:contextualSpacing/>
    </w:pPr>
  </w:style>
  <w:style w:type="paragraph" w:styleId="ListBullet4">
    <w:name w:val="List Bullet 4"/>
    <w:basedOn w:val="Normal"/>
    <w:uiPriority w:val="98"/>
    <w:semiHidden/>
    <w:rsid w:val="00605A5B"/>
    <w:pPr>
      <w:numPr>
        <w:numId w:val="10"/>
      </w:numPr>
      <w:contextualSpacing/>
    </w:pPr>
  </w:style>
  <w:style w:type="paragraph" w:styleId="ListBullet5">
    <w:name w:val="List Bullet 5"/>
    <w:basedOn w:val="Normal"/>
    <w:uiPriority w:val="98"/>
    <w:semiHidden/>
    <w:rsid w:val="00605A5B"/>
    <w:pPr>
      <w:numPr>
        <w:numId w:val="11"/>
      </w:numPr>
      <w:contextualSpacing/>
    </w:pPr>
  </w:style>
  <w:style w:type="paragraph" w:styleId="ListContinue">
    <w:name w:val="List Continue"/>
    <w:basedOn w:val="Normal"/>
    <w:uiPriority w:val="98"/>
    <w:semiHidden/>
    <w:rsid w:val="00605A5B"/>
    <w:pPr>
      <w:spacing w:after="120"/>
      <w:ind w:left="283"/>
      <w:contextualSpacing/>
    </w:pPr>
  </w:style>
  <w:style w:type="paragraph" w:styleId="ListContinue2">
    <w:name w:val="List Continue 2"/>
    <w:basedOn w:val="Normal"/>
    <w:uiPriority w:val="98"/>
    <w:semiHidden/>
    <w:rsid w:val="00605A5B"/>
    <w:pPr>
      <w:spacing w:after="120"/>
      <w:ind w:left="566"/>
      <w:contextualSpacing/>
    </w:pPr>
  </w:style>
  <w:style w:type="paragraph" w:styleId="ListContinue3">
    <w:name w:val="List Continue 3"/>
    <w:basedOn w:val="Normal"/>
    <w:uiPriority w:val="98"/>
    <w:semiHidden/>
    <w:rsid w:val="00605A5B"/>
    <w:pPr>
      <w:spacing w:after="120"/>
      <w:ind w:left="849"/>
      <w:contextualSpacing/>
    </w:pPr>
  </w:style>
  <w:style w:type="paragraph" w:styleId="ListContinue4">
    <w:name w:val="List Continue 4"/>
    <w:basedOn w:val="Normal"/>
    <w:uiPriority w:val="98"/>
    <w:semiHidden/>
    <w:rsid w:val="00605A5B"/>
    <w:pPr>
      <w:spacing w:after="120"/>
      <w:ind w:left="1132"/>
      <w:contextualSpacing/>
    </w:pPr>
  </w:style>
  <w:style w:type="paragraph" w:styleId="ListContinue5">
    <w:name w:val="List Continue 5"/>
    <w:basedOn w:val="Normal"/>
    <w:uiPriority w:val="98"/>
    <w:semiHidden/>
    <w:rsid w:val="00605A5B"/>
    <w:pPr>
      <w:spacing w:after="120"/>
      <w:ind w:left="1415"/>
      <w:contextualSpacing/>
    </w:pPr>
  </w:style>
  <w:style w:type="paragraph" w:styleId="ListNumber">
    <w:name w:val="List Number"/>
    <w:basedOn w:val="Normal"/>
    <w:uiPriority w:val="98"/>
    <w:semiHidden/>
    <w:rsid w:val="00605A5B"/>
    <w:pPr>
      <w:numPr>
        <w:numId w:val="12"/>
      </w:numPr>
      <w:contextualSpacing/>
    </w:pPr>
  </w:style>
  <w:style w:type="paragraph" w:styleId="ListNumber2">
    <w:name w:val="List Number 2"/>
    <w:basedOn w:val="Normal"/>
    <w:uiPriority w:val="98"/>
    <w:semiHidden/>
    <w:rsid w:val="00605A5B"/>
    <w:pPr>
      <w:numPr>
        <w:numId w:val="13"/>
      </w:numPr>
      <w:contextualSpacing/>
    </w:pPr>
  </w:style>
  <w:style w:type="paragraph" w:styleId="ListNumber3">
    <w:name w:val="List Number 3"/>
    <w:basedOn w:val="Normal"/>
    <w:uiPriority w:val="98"/>
    <w:semiHidden/>
    <w:rsid w:val="00605A5B"/>
    <w:pPr>
      <w:numPr>
        <w:numId w:val="14"/>
      </w:numPr>
      <w:contextualSpacing/>
    </w:pPr>
  </w:style>
  <w:style w:type="paragraph" w:styleId="ListNumber4">
    <w:name w:val="List Number 4"/>
    <w:basedOn w:val="Normal"/>
    <w:uiPriority w:val="98"/>
    <w:semiHidden/>
    <w:rsid w:val="00605A5B"/>
    <w:pPr>
      <w:numPr>
        <w:numId w:val="15"/>
      </w:numPr>
      <w:contextualSpacing/>
    </w:pPr>
  </w:style>
  <w:style w:type="paragraph" w:styleId="ListNumber5">
    <w:name w:val="List Number 5"/>
    <w:basedOn w:val="Normal"/>
    <w:uiPriority w:val="98"/>
    <w:semiHidden/>
    <w:rsid w:val="00605A5B"/>
    <w:pPr>
      <w:numPr>
        <w:numId w:val="16"/>
      </w:numPr>
      <w:contextualSpacing/>
    </w:pPr>
  </w:style>
  <w:style w:type="paragraph" w:styleId="MacroText">
    <w:name w:val="macro"/>
    <w:link w:val="MacroTextChar"/>
    <w:uiPriority w:val="98"/>
    <w:semiHidden/>
    <w:rsid w:val="00605A5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05A5B"/>
    <w:rPr>
      <w:rFonts w:ascii="Consolas" w:eastAsiaTheme="minorEastAsia" w:hAnsi="Consolas" w:cs="Consolas"/>
      <w:sz w:val="20"/>
      <w:szCs w:val="20"/>
    </w:rPr>
  </w:style>
  <w:style w:type="table" w:styleId="MediumGrid1">
    <w:name w:val="Medium Grid 1"/>
    <w:basedOn w:val="TableNormal"/>
    <w:uiPriority w:val="67"/>
    <w:semiHidden/>
    <w:rsid w:val="00605A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05A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05A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05A5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05A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05A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05A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05A5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05A5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05A5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05A5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05A5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05A5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05A5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05A5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05A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05A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05A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05A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05A5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05A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05A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05A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05A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05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05A5B"/>
    <w:rPr>
      <w:rFonts w:asciiTheme="majorHAnsi" w:eastAsiaTheme="majorEastAsia" w:hAnsiTheme="majorHAnsi" w:cstheme="majorBidi"/>
      <w:sz w:val="24"/>
      <w:szCs w:val="24"/>
      <w:shd w:val="pct20" w:color="auto" w:fill="auto"/>
      <w:lang w:val="ro-RO"/>
    </w:rPr>
  </w:style>
  <w:style w:type="paragraph" w:styleId="NormalWeb">
    <w:name w:val="Normal (Web)"/>
    <w:basedOn w:val="Normal"/>
    <w:uiPriority w:val="98"/>
    <w:semiHidden/>
    <w:rsid w:val="00605A5B"/>
    <w:rPr>
      <w:rFonts w:ascii="Times New Roman" w:hAnsi="Times New Roman" w:cs="Times New Roman"/>
    </w:rPr>
  </w:style>
  <w:style w:type="paragraph" w:styleId="NormalIndent">
    <w:name w:val="Normal Indent"/>
    <w:basedOn w:val="Normal"/>
    <w:uiPriority w:val="98"/>
    <w:semiHidden/>
    <w:rsid w:val="00605A5B"/>
    <w:pPr>
      <w:ind w:left="720"/>
    </w:pPr>
  </w:style>
  <w:style w:type="paragraph" w:styleId="NoteHeading">
    <w:name w:val="Note Heading"/>
    <w:basedOn w:val="Normal"/>
    <w:next w:val="Normal"/>
    <w:link w:val="NoteHeadingChar"/>
    <w:uiPriority w:val="98"/>
    <w:semiHidden/>
    <w:rsid w:val="00605A5B"/>
  </w:style>
  <w:style w:type="character" w:customStyle="1" w:styleId="NoteHeadingChar">
    <w:name w:val="Note Heading Char"/>
    <w:basedOn w:val="DefaultParagraphFont"/>
    <w:link w:val="NoteHeading"/>
    <w:uiPriority w:val="98"/>
    <w:semiHidden/>
    <w:rsid w:val="00605A5B"/>
    <w:rPr>
      <w:sz w:val="24"/>
      <w:szCs w:val="24"/>
      <w:lang w:val="ro-RO"/>
    </w:rPr>
  </w:style>
  <w:style w:type="character" w:styleId="PlaceholderText">
    <w:name w:val="Placeholder Text"/>
    <w:basedOn w:val="DefaultParagraphFont"/>
    <w:uiPriority w:val="98"/>
    <w:semiHidden/>
    <w:rsid w:val="00605A5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05A5B"/>
    <w:rPr>
      <w:rFonts w:ascii="Consolas" w:hAnsi="Consolas" w:cs="Consolas"/>
      <w:sz w:val="21"/>
      <w:szCs w:val="21"/>
    </w:rPr>
  </w:style>
  <w:style w:type="character" w:customStyle="1" w:styleId="PlainTextChar">
    <w:name w:val="Plain Text Char"/>
    <w:basedOn w:val="DefaultParagraphFont"/>
    <w:link w:val="PlainText"/>
    <w:uiPriority w:val="98"/>
    <w:semiHidden/>
    <w:rsid w:val="00605A5B"/>
    <w:rPr>
      <w:rFonts w:ascii="Consolas" w:hAnsi="Consolas" w:cs="Consolas"/>
      <w:sz w:val="21"/>
      <w:szCs w:val="21"/>
      <w:lang w:val="ro-RO"/>
    </w:rPr>
  </w:style>
  <w:style w:type="paragraph" w:styleId="Salutation">
    <w:name w:val="Salutation"/>
    <w:basedOn w:val="Normal"/>
    <w:next w:val="Normal"/>
    <w:link w:val="SalutationChar"/>
    <w:uiPriority w:val="98"/>
    <w:semiHidden/>
    <w:rsid w:val="00605A5B"/>
  </w:style>
  <w:style w:type="character" w:customStyle="1" w:styleId="SalutationChar">
    <w:name w:val="Salutation Char"/>
    <w:basedOn w:val="DefaultParagraphFont"/>
    <w:link w:val="Salutation"/>
    <w:uiPriority w:val="98"/>
    <w:semiHidden/>
    <w:rsid w:val="00605A5B"/>
    <w:rPr>
      <w:sz w:val="24"/>
      <w:szCs w:val="24"/>
      <w:lang w:val="ro-RO"/>
    </w:rPr>
  </w:style>
  <w:style w:type="paragraph" w:styleId="Signature">
    <w:name w:val="Signature"/>
    <w:basedOn w:val="Normal"/>
    <w:link w:val="SignatureChar"/>
    <w:uiPriority w:val="98"/>
    <w:semiHidden/>
    <w:rsid w:val="00605A5B"/>
    <w:pPr>
      <w:ind w:left="4252"/>
    </w:pPr>
  </w:style>
  <w:style w:type="character" w:customStyle="1" w:styleId="SignatureChar">
    <w:name w:val="Signature Char"/>
    <w:basedOn w:val="DefaultParagraphFont"/>
    <w:link w:val="Signature"/>
    <w:uiPriority w:val="98"/>
    <w:semiHidden/>
    <w:rsid w:val="00605A5B"/>
    <w:rPr>
      <w:sz w:val="24"/>
      <w:szCs w:val="24"/>
      <w:lang w:val="ro-RO"/>
    </w:rPr>
  </w:style>
  <w:style w:type="table" w:styleId="Table3Deffects1">
    <w:name w:val="Table 3D effects 1"/>
    <w:basedOn w:val="TableNormal"/>
    <w:uiPriority w:val="99"/>
    <w:semiHidden/>
    <w:unhideWhenUsed/>
    <w:rsid w:val="00605A5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5A5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5A5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5A5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5A5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5A5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5A5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5A5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5A5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5A5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5A5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5A5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5A5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5A5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5A5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5A5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5A5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5A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5A5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5A5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5A5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5A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5A5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5A5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5A5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05A5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5A5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5A5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5A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5A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5A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5A5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5A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05A5B"/>
    <w:pPr>
      <w:ind w:left="240" w:hanging="240"/>
    </w:pPr>
  </w:style>
  <w:style w:type="paragraph" w:styleId="TableofFigures">
    <w:name w:val="table of figures"/>
    <w:basedOn w:val="Normal"/>
    <w:next w:val="Normal"/>
    <w:uiPriority w:val="98"/>
    <w:semiHidden/>
    <w:rsid w:val="00605A5B"/>
  </w:style>
  <w:style w:type="table" w:styleId="TableProfessional">
    <w:name w:val="Table Professional"/>
    <w:basedOn w:val="TableNormal"/>
    <w:uiPriority w:val="99"/>
    <w:semiHidden/>
    <w:unhideWhenUsed/>
    <w:rsid w:val="00605A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5A5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5A5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5A5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5A5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5A5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5A5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5A5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5A5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5A5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05A5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05A5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05A5B"/>
    <w:pPr>
      <w:spacing w:after="100"/>
      <w:ind w:left="1680"/>
    </w:pPr>
  </w:style>
  <w:style w:type="paragraph" w:styleId="TOC9">
    <w:name w:val="toc 9"/>
    <w:basedOn w:val="Normal"/>
    <w:next w:val="Normal"/>
    <w:autoRedefine/>
    <w:uiPriority w:val="98"/>
    <w:semiHidden/>
    <w:rsid w:val="00605A5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605A5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05A5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05A5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05A5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05A5B"/>
    <w:pPr>
      <w:numPr>
        <w:numId w:val="17"/>
      </w:numPr>
      <w:spacing w:before="60" w:after="60"/>
    </w:pPr>
  </w:style>
  <w:style w:type="paragraph" w:customStyle="1" w:styleId="ECHRBullet2">
    <w:name w:val="ECHR_Bullet_2"/>
    <w:aliases w:val="_Bul_2"/>
    <w:basedOn w:val="ECHRBullet1"/>
    <w:uiPriority w:val="23"/>
    <w:semiHidden/>
    <w:rsid w:val="00605A5B"/>
    <w:pPr>
      <w:numPr>
        <w:ilvl w:val="1"/>
      </w:numPr>
    </w:pPr>
  </w:style>
  <w:style w:type="paragraph" w:customStyle="1" w:styleId="ECHRBullet3">
    <w:name w:val="ECHR_Bullet_3"/>
    <w:aliases w:val="_Bul_3"/>
    <w:basedOn w:val="ECHRBullet2"/>
    <w:uiPriority w:val="23"/>
    <w:semiHidden/>
    <w:rsid w:val="00605A5B"/>
    <w:pPr>
      <w:numPr>
        <w:ilvl w:val="2"/>
      </w:numPr>
    </w:pPr>
  </w:style>
  <w:style w:type="paragraph" w:customStyle="1" w:styleId="ECHRBullet4">
    <w:name w:val="ECHR_Bullet_4"/>
    <w:aliases w:val="_Bul_4"/>
    <w:basedOn w:val="ECHRBullet3"/>
    <w:uiPriority w:val="23"/>
    <w:semiHidden/>
    <w:rsid w:val="00605A5B"/>
    <w:pPr>
      <w:numPr>
        <w:ilvl w:val="3"/>
      </w:numPr>
    </w:pPr>
  </w:style>
  <w:style w:type="paragraph" w:customStyle="1" w:styleId="ECHRConfidential">
    <w:name w:val="ECHR_Confidential"/>
    <w:aliases w:val="_Confidential"/>
    <w:basedOn w:val="Normal"/>
    <w:next w:val="Normal"/>
    <w:uiPriority w:val="42"/>
    <w:semiHidden/>
    <w:qFormat/>
    <w:rsid w:val="00605A5B"/>
    <w:pPr>
      <w:jc w:val="right"/>
    </w:pPr>
    <w:rPr>
      <w:color w:val="C00000"/>
      <w:sz w:val="20"/>
    </w:rPr>
  </w:style>
  <w:style w:type="paragraph" w:customStyle="1" w:styleId="ECHRDecisionBody">
    <w:name w:val="ECHR_Decision_Body"/>
    <w:aliases w:val="_Decision_Body"/>
    <w:basedOn w:val="NormalJustified"/>
    <w:uiPriority w:val="54"/>
    <w:semiHidden/>
    <w:rsid w:val="00605A5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05A5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05A5B"/>
    <w:rPr>
      <w:rFonts w:ascii="Arial" w:hAnsi="Arial"/>
      <w:i/>
      <w:color w:val="002856"/>
      <w:sz w:val="32"/>
      <w:szCs w:val="24"/>
      <w:lang w:val="ro-RO"/>
    </w:rPr>
  </w:style>
  <w:style w:type="paragraph" w:customStyle="1" w:styleId="ECHRFooterLineLandscape">
    <w:name w:val="ECHR_Footer_Line_Landscape"/>
    <w:aliases w:val="_Footer_Line_Landscape"/>
    <w:basedOn w:val="Normal"/>
    <w:uiPriority w:val="30"/>
    <w:semiHidden/>
    <w:rsid w:val="00605A5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05A5B"/>
    <w:pPr>
      <w:jc w:val="right"/>
    </w:pPr>
    <w:rPr>
      <w:sz w:val="20"/>
    </w:rPr>
  </w:style>
  <w:style w:type="paragraph" w:customStyle="1" w:styleId="ECHRHeaderRefIt">
    <w:name w:val="ECHR_Header_Ref_It"/>
    <w:aliases w:val="_Ref_Ital"/>
    <w:basedOn w:val="Normal"/>
    <w:next w:val="ECHRHeaderDate"/>
    <w:uiPriority w:val="43"/>
    <w:qFormat/>
    <w:rsid w:val="00605A5B"/>
    <w:pPr>
      <w:jc w:val="right"/>
    </w:pPr>
    <w:rPr>
      <w:i/>
      <w:sz w:val="20"/>
    </w:rPr>
  </w:style>
  <w:style w:type="paragraph" w:customStyle="1" w:styleId="ECHRHeading9">
    <w:name w:val="ECHR_Heading_9"/>
    <w:aliases w:val="_Head_9"/>
    <w:basedOn w:val="Heading9"/>
    <w:uiPriority w:val="17"/>
    <w:semiHidden/>
    <w:rsid w:val="00605A5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05A5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05A5B"/>
    <w:pPr>
      <w:numPr>
        <w:numId w:val="18"/>
      </w:numPr>
      <w:spacing w:before="60" w:after="60"/>
    </w:pPr>
  </w:style>
  <w:style w:type="paragraph" w:customStyle="1" w:styleId="ECHRNumberedList2">
    <w:name w:val="ECHR_Numbered_List_2"/>
    <w:aliases w:val="_Num_2"/>
    <w:basedOn w:val="ECHRNumberedList1"/>
    <w:uiPriority w:val="23"/>
    <w:semiHidden/>
    <w:rsid w:val="00605A5B"/>
    <w:pPr>
      <w:numPr>
        <w:ilvl w:val="1"/>
      </w:numPr>
    </w:pPr>
  </w:style>
  <w:style w:type="paragraph" w:customStyle="1" w:styleId="ECHRNumberedList3">
    <w:name w:val="ECHR_Numbered_List_3"/>
    <w:aliases w:val="_Num_3"/>
    <w:basedOn w:val="ECHRNumberedList2"/>
    <w:uiPriority w:val="23"/>
    <w:semiHidden/>
    <w:rsid w:val="00605A5B"/>
    <w:pPr>
      <w:numPr>
        <w:ilvl w:val="2"/>
      </w:numPr>
    </w:pPr>
  </w:style>
  <w:style w:type="paragraph" w:customStyle="1" w:styleId="ECHRParaHanging">
    <w:name w:val="ECHR_Para_Hanging"/>
    <w:aliases w:val="_Hanging"/>
    <w:basedOn w:val="NormalJustified"/>
    <w:uiPriority w:val="8"/>
    <w:semiHidden/>
    <w:qFormat/>
    <w:rsid w:val="00605A5B"/>
    <w:pPr>
      <w:ind w:left="567" w:hanging="567"/>
    </w:pPr>
  </w:style>
  <w:style w:type="paragraph" w:customStyle="1" w:styleId="ECHRParaIndent">
    <w:name w:val="ECHR_Para_Indent"/>
    <w:aliases w:val="_Indent"/>
    <w:basedOn w:val="NormalJustified"/>
    <w:uiPriority w:val="7"/>
    <w:semiHidden/>
    <w:qFormat/>
    <w:rsid w:val="00605A5B"/>
    <w:pPr>
      <w:spacing w:before="120" w:after="120"/>
      <w:ind w:left="284"/>
    </w:pPr>
  </w:style>
  <w:style w:type="character" w:customStyle="1" w:styleId="ECHRRed">
    <w:name w:val="ECHR_Red"/>
    <w:aliases w:val="_Red"/>
    <w:basedOn w:val="DefaultParagraphFont"/>
    <w:uiPriority w:val="15"/>
    <w:semiHidden/>
    <w:qFormat/>
    <w:rsid w:val="00605A5B"/>
    <w:rPr>
      <w:color w:val="C00000" w:themeColor="accent2"/>
    </w:rPr>
  </w:style>
  <w:style w:type="paragraph" w:customStyle="1" w:styleId="DecList">
    <w:name w:val="Dec_List"/>
    <w:aliases w:val="_List"/>
    <w:basedOn w:val="JuList"/>
    <w:uiPriority w:val="22"/>
    <w:rsid w:val="00605A5B"/>
    <w:pPr>
      <w:numPr>
        <w:numId w:val="0"/>
      </w:numPr>
      <w:ind w:left="284"/>
    </w:pPr>
  </w:style>
  <w:style w:type="table" w:customStyle="1" w:styleId="ECHRTable2">
    <w:name w:val="ECHR_Table_2"/>
    <w:basedOn w:val="TableNormal"/>
    <w:uiPriority w:val="99"/>
    <w:rsid w:val="00605A5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05A5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05A5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05A5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05A5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05A5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05A5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05A5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05A5B"/>
    <w:pPr>
      <w:outlineLvl w:val="0"/>
    </w:pPr>
  </w:style>
  <w:style w:type="paragraph" w:customStyle="1" w:styleId="ECHRTitleTOC1">
    <w:name w:val="ECHR_Title_TOC_1"/>
    <w:aliases w:val="_Title_L_TOC"/>
    <w:basedOn w:val="ECHRTitle1"/>
    <w:next w:val="Normal"/>
    <w:uiPriority w:val="27"/>
    <w:semiHidden/>
    <w:qFormat/>
    <w:rsid w:val="00605A5B"/>
    <w:pPr>
      <w:outlineLvl w:val="0"/>
    </w:pPr>
  </w:style>
  <w:style w:type="paragraph" w:customStyle="1" w:styleId="ECHRPlaceholder">
    <w:name w:val="ECHR_Placeholder"/>
    <w:aliases w:val="_Placeholder"/>
    <w:basedOn w:val="JuSigned"/>
    <w:uiPriority w:val="31"/>
    <w:rsid w:val="00605A5B"/>
    <w:rPr>
      <w:color w:val="FFFFFF"/>
    </w:rPr>
  </w:style>
  <w:style w:type="paragraph" w:customStyle="1" w:styleId="ECHRSpacer">
    <w:name w:val="ECHR_Spacer"/>
    <w:aliases w:val="_Spacer"/>
    <w:basedOn w:val="Normal"/>
    <w:uiPriority w:val="45"/>
    <w:semiHidden/>
    <w:rsid w:val="00605A5B"/>
    <w:rPr>
      <w:sz w:val="4"/>
    </w:rPr>
  </w:style>
  <w:style w:type="table" w:customStyle="1" w:styleId="ECHRTableGrey">
    <w:name w:val="ECHR_Table_Grey"/>
    <w:basedOn w:val="TableNormal"/>
    <w:uiPriority w:val="99"/>
    <w:rsid w:val="00605A5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05A5B"/>
    <w:rPr>
      <w:color w:val="605E5C"/>
      <w:shd w:val="clear" w:color="auto" w:fill="E1DFDD"/>
    </w:rPr>
  </w:style>
  <w:style w:type="character" w:customStyle="1" w:styleId="JuParaChar">
    <w:name w:val="Ju_Para Char"/>
    <w:aliases w:val="_Para Char"/>
    <w:link w:val="JuPara"/>
    <w:uiPriority w:val="4"/>
    <w:rsid w:val="0084331A"/>
    <w:rPr>
      <w:sz w:val="24"/>
      <w:szCs w:val="24"/>
      <w:lang w:val="ro-RO"/>
    </w:rPr>
  </w:style>
  <w:style w:type="table" w:styleId="GridTable1Light">
    <w:name w:val="Grid Table 1 Light"/>
    <w:basedOn w:val="TableNormal"/>
    <w:uiPriority w:val="46"/>
    <w:semiHidden/>
    <w:rsid w:val="0084331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84331A"/>
    <w:rPr>
      <w:smallCaps/>
    </w:rPr>
  </w:style>
  <w:style w:type="paragraph" w:customStyle="1" w:styleId="JuList4">
    <w:name w:val="Ju_List_4"/>
    <w:aliases w:val="N_Bul_4"/>
    <w:basedOn w:val="JuListi"/>
    <w:uiPriority w:val="19"/>
    <w:rsid w:val="0084331A"/>
    <w:pPr>
      <w:numPr>
        <w:ilvl w:val="0"/>
        <w:numId w:val="0"/>
      </w:numPr>
      <w:tabs>
        <w:tab w:val="num" w:pos="1701"/>
      </w:tabs>
      <w:spacing w:before="60" w:after="60" w:line="240" w:lineRule="exact"/>
      <w:ind w:left="1703" w:hanging="284"/>
      <w:contextualSpacing/>
    </w:pPr>
    <w:rPr>
      <w:sz w:val="22"/>
      <w:lang w:eastAsia="fr-FR"/>
    </w:rPr>
  </w:style>
  <w:style w:type="table" w:styleId="GridTable1Light-Accent1">
    <w:name w:val="Grid Table 1 Light Accent 1"/>
    <w:basedOn w:val="TableNormal"/>
    <w:uiPriority w:val="46"/>
    <w:semiHidden/>
    <w:rsid w:val="0084331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4331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4331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4331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4331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4331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4331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4331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4331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4331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4331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4331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4331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433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433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433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4331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433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433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433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433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433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433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4331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433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433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433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4331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433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433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433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4331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433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433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433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4331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4331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4331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4331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4331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4331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4331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4331A"/>
    <w:rPr>
      <w:color w:val="2B579A"/>
      <w:shd w:val="clear" w:color="auto" w:fill="E1DFDD"/>
    </w:rPr>
  </w:style>
  <w:style w:type="table" w:styleId="ListTable1Light">
    <w:name w:val="List Table 1 Light"/>
    <w:basedOn w:val="TableNormal"/>
    <w:uiPriority w:val="46"/>
    <w:semiHidden/>
    <w:rsid w:val="0084331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4331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4331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4331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4331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4331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4331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4331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4331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4331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4331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4331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4331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4331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4331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4331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4331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4331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4331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4331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4331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4331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4331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4331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4331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4331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4331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4331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4331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4331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4331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4331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4331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4331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4331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4331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4331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4331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4331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4331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4331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4331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4331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4331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4331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4331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4331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4331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4331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4331A"/>
    <w:rPr>
      <w:color w:val="2B579A"/>
      <w:shd w:val="clear" w:color="auto" w:fill="E1DFDD"/>
    </w:rPr>
  </w:style>
  <w:style w:type="table" w:styleId="PlainTable1">
    <w:name w:val="Plain Table 1"/>
    <w:basedOn w:val="TableNormal"/>
    <w:uiPriority w:val="41"/>
    <w:semiHidden/>
    <w:rsid w:val="0084331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4331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4331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4331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4331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4331A"/>
    <w:rPr>
      <w:u w:val="dotted"/>
    </w:rPr>
  </w:style>
  <w:style w:type="character" w:customStyle="1" w:styleId="SmartLink">
    <w:name w:val="Smart Link"/>
    <w:basedOn w:val="DefaultParagraphFont"/>
    <w:uiPriority w:val="99"/>
    <w:semiHidden/>
    <w:unhideWhenUsed/>
    <w:rsid w:val="0084331A"/>
    <w:rPr>
      <w:color w:val="0000FF"/>
      <w:u w:val="single"/>
      <w:shd w:val="clear" w:color="auto" w:fill="F3F2F1"/>
    </w:rPr>
  </w:style>
  <w:style w:type="table" w:styleId="TableGridLight">
    <w:name w:val="Grid Table Light"/>
    <w:basedOn w:val="TableNormal"/>
    <w:uiPriority w:val="40"/>
    <w:semiHidden/>
    <w:rsid w:val="0084331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4331A"/>
    <w:rPr>
      <w:sz w:val="24"/>
      <w:szCs w:val="24"/>
    </w:rPr>
  </w:style>
  <w:style w:type="numbering" w:customStyle="1" w:styleId="ECHRA1StyleList1">
    <w:name w:val="ECHR_A1_Style_List1"/>
    <w:basedOn w:val="NoList"/>
    <w:uiPriority w:val="99"/>
    <w:rsid w:val="00843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C1064-6AFB-4DAE-941B-5FE09E8C3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4990</Words>
  <Characters>28859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lastModifiedBy>Ionela Haralambie</cp:lastModifiedBy>
  <cp:revision>7</cp:revision>
  <dcterms:created xsi:type="dcterms:W3CDTF">2026-05-28T08:08:00Z</dcterms:created>
  <dcterms:modified xsi:type="dcterms:W3CDTF">2026-09-23T07:09:00Z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1759036</vt:lpwstr>
  </property>
  <property fmtid="{D5CDD505-2E9C-101B-9397-08002B2CF9AE}" pid="3" name="cstLanguage">
    <vt:i4>2057</vt:i4>
  </property>
  <property fmtid="{D5CDD505-2E9C-101B-9397-08002B2CF9AE}" pid="4" name="RegisteredNo">
    <vt:lpwstr>27737/22</vt:lpwstr>
  </property>
</Properties>
</file>